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51695145" w14:textId="77777777" w:rsidR="00D8125E" w:rsidRDefault="00D8125E" w:rsidP="00D8125E">
      <w:pPr>
        <w:rPr>
          <w:b/>
          <w:bCs/>
          <w:lang w:eastAsia="pl-PL"/>
        </w:rPr>
      </w:pPr>
    </w:p>
    <w:p w14:paraId="0C825356" w14:textId="7B2EE738" w:rsidR="00741060" w:rsidRPr="00D8125E" w:rsidRDefault="00741060" w:rsidP="00D8125E">
      <w:pPr>
        <w:rPr>
          <w:b/>
          <w:bCs/>
          <w:lang w:eastAsia="pl-PL"/>
        </w:rPr>
      </w:pPr>
      <w:r w:rsidRPr="00D8125E">
        <w:rPr>
          <w:b/>
          <w:bCs/>
          <w:lang w:eastAsia="pl-PL"/>
        </w:rPr>
        <w:t xml:space="preserve">Studium </w:t>
      </w:r>
      <w:r w:rsidR="00AC2DAC" w:rsidRPr="00D8125E">
        <w:rPr>
          <w:b/>
          <w:bCs/>
          <w:lang w:eastAsia="pl-PL"/>
        </w:rPr>
        <w:t>Magisterskie</w:t>
      </w:r>
      <w:r w:rsidRPr="00D8125E">
        <w:rPr>
          <w:b/>
          <w:bCs/>
          <w:sz w:val="20"/>
          <w:szCs w:val="20"/>
          <w:vertAlign w:val="superscript"/>
          <w:lang w:eastAsia="pl-PL"/>
        </w:rPr>
        <w:t xml:space="preserve"> </w:t>
      </w:r>
    </w:p>
    <w:p w14:paraId="352CDAB5" w14:textId="42F42083" w:rsidR="00741060" w:rsidRPr="00741060" w:rsidRDefault="00741060" w:rsidP="00D8125E">
      <w:pPr>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D8125E">
      <w:pPr>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607656" w:rsidRPr="00741060" w:rsidRDefault="00607656" w:rsidP="00741060">
                            <w:pPr>
                              <w:rPr>
                                <w:rFonts w:cs="Times New Roman"/>
                                <w:szCs w:val="24"/>
                              </w:rPr>
                            </w:pPr>
                            <w:r w:rsidRPr="00741060">
                              <w:rPr>
                                <w:rFonts w:cs="Times New Roman"/>
                                <w:szCs w:val="24"/>
                              </w:rPr>
                              <w:t>Marcin Mandziej</w:t>
                            </w:r>
                          </w:p>
                          <w:p w14:paraId="17C0BD59" w14:textId="12D3B087" w:rsidR="00607656" w:rsidRPr="00741060" w:rsidRDefault="00607656"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607656" w:rsidRPr="00741060" w:rsidRDefault="00607656" w:rsidP="00741060">
                      <w:pPr>
                        <w:rPr>
                          <w:rFonts w:cs="Times New Roman"/>
                          <w:szCs w:val="24"/>
                        </w:rPr>
                      </w:pPr>
                      <w:r w:rsidRPr="00741060">
                        <w:rPr>
                          <w:rFonts w:cs="Times New Roman"/>
                          <w:szCs w:val="24"/>
                        </w:rPr>
                        <w:t>Marcin Mandziej</w:t>
                      </w:r>
                    </w:p>
                    <w:p w14:paraId="17C0BD59" w14:textId="12D3B087" w:rsidR="00607656" w:rsidRPr="00741060" w:rsidRDefault="00607656"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D8125E">
      <w:pPr>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D8125E">
      <w:pPr>
        <w:rPr>
          <w:rFonts w:eastAsia="Times New Roman" w:cs="Times New Roman"/>
          <w:szCs w:val="24"/>
          <w:lang w:eastAsia="pl-PL"/>
        </w:rPr>
      </w:pPr>
    </w:p>
    <w:p w14:paraId="6BABBF06" w14:textId="5075E163" w:rsidR="00741060" w:rsidRPr="00882785" w:rsidRDefault="00AC2DAC" w:rsidP="00D8125E">
      <w:pPr>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1312"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607656" w:rsidRPr="00741060" w:rsidRDefault="00607656"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607656" w:rsidRPr="00741060" w:rsidRDefault="00607656"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607656" w:rsidRPr="00741060" w:rsidRDefault="00607656" w:rsidP="00741060">
                            <w:pPr>
                              <w:rPr>
                                <w:rFonts w:cs="Times New Roman"/>
                                <w:szCs w:val="24"/>
                              </w:rPr>
                            </w:pPr>
                            <w:r w:rsidRPr="00741060">
                              <w:rPr>
                                <w:rFonts w:cs="Times New Roman"/>
                                <w:szCs w:val="24"/>
                              </w:rPr>
                              <w:t xml:space="preserve">pod kierunkiem naukowym </w:t>
                            </w:r>
                          </w:p>
                          <w:p w14:paraId="081B391D" w14:textId="3214305D" w:rsidR="00607656" w:rsidRPr="00741060" w:rsidRDefault="00607656"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margin-left:237.7pt;margin-top:21pt;width:199.5pt;height:110.6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607656" w:rsidRPr="00741060" w:rsidRDefault="00607656"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607656" w:rsidRPr="00741060" w:rsidRDefault="00607656"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607656" w:rsidRPr="00741060" w:rsidRDefault="00607656" w:rsidP="00741060">
                      <w:pPr>
                        <w:rPr>
                          <w:rFonts w:cs="Times New Roman"/>
                          <w:szCs w:val="24"/>
                        </w:rPr>
                      </w:pPr>
                      <w:r w:rsidRPr="00741060">
                        <w:rPr>
                          <w:rFonts w:cs="Times New Roman"/>
                          <w:szCs w:val="24"/>
                        </w:rPr>
                        <w:t xml:space="preserve">pod kierunkiem naukowym </w:t>
                      </w:r>
                    </w:p>
                    <w:p w14:paraId="081B391D" w14:textId="3214305D" w:rsidR="00607656" w:rsidRPr="00741060" w:rsidRDefault="00607656"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D8125E">
      <w:pPr>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D8125E">
      <w:pPr>
        <w:rPr>
          <w:rFonts w:eastAsia="Times New Roman" w:cs="Times New Roman"/>
          <w:szCs w:val="24"/>
          <w:lang w:eastAsia="pl-PL"/>
        </w:rPr>
      </w:pPr>
    </w:p>
    <w:p w14:paraId="42D3FA25" w14:textId="77777777" w:rsidR="00741060" w:rsidRPr="00741060" w:rsidRDefault="00741060" w:rsidP="00D8125E">
      <w:pPr>
        <w:rPr>
          <w:rFonts w:eastAsia="Times New Roman" w:cs="Times New Roman"/>
          <w:szCs w:val="24"/>
          <w:lang w:eastAsia="pl-PL"/>
        </w:rPr>
      </w:pPr>
    </w:p>
    <w:p w14:paraId="131A2A76" w14:textId="77777777" w:rsidR="0061217E" w:rsidRDefault="0061217E" w:rsidP="00D8125E">
      <w:pPr>
        <w:rPr>
          <w:rFonts w:eastAsia="Times New Roman"/>
          <w:lang w:eastAsia="pl-PL"/>
        </w:rPr>
      </w:pPr>
    </w:p>
    <w:p w14:paraId="4D6E9593" w14:textId="77777777" w:rsidR="00382EF1" w:rsidRDefault="0061217E" w:rsidP="00D8125E">
      <w:pPr>
        <w:rPr>
          <w:rFonts w:eastAsia="Times New Roman"/>
          <w:lang w:eastAsia="pl-PL"/>
        </w:rPr>
      </w:pPr>
      <w:r>
        <w:rPr>
          <w:rFonts w:eastAsia="Times New Roman"/>
          <w:lang w:eastAsia="pl-PL"/>
        </w:rPr>
        <w:t xml:space="preserve">         </w:t>
      </w:r>
    </w:p>
    <w:p w14:paraId="3F521251" w14:textId="0603563C" w:rsidR="00382EF1" w:rsidRDefault="00382EF1" w:rsidP="00D8125E">
      <w:pPr>
        <w:rPr>
          <w:lang w:eastAsia="pl-PL"/>
        </w:rPr>
      </w:pPr>
    </w:p>
    <w:p w14:paraId="490FE289" w14:textId="01727817" w:rsidR="00D8125E" w:rsidRDefault="00D8125E" w:rsidP="00D8125E">
      <w:pPr>
        <w:rPr>
          <w:lang w:eastAsia="pl-PL"/>
        </w:rPr>
      </w:pPr>
    </w:p>
    <w:p w14:paraId="1F75C76D" w14:textId="0A38AEDE" w:rsidR="00D8125E" w:rsidRDefault="00D8125E" w:rsidP="00D8125E">
      <w:pPr>
        <w:rPr>
          <w:lang w:eastAsia="pl-PL"/>
        </w:rPr>
      </w:pPr>
    </w:p>
    <w:p w14:paraId="3B992A01" w14:textId="77777777" w:rsidR="00D8125E" w:rsidRDefault="00D8125E" w:rsidP="00D8125E">
      <w:pPr>
        <w:rPr>
          <w:lang w:eastAsia="pl-PL"/>
        </w:rPr>
      </w:pPr>
    </w:p>
    <w:p w14:paraId="1E88C716" w14:textId="63A3E2A6" w:rsidR="00677FA5" w:rsidRPr="00D8125E" w:rsidRDefault="00741060" w:rsidP="00D8125E">
      <w:pPr>
        <w:jc w:val="center"/>
        <w:rPr>
          <w:b/>
          <w:bCs/>
          <w:lang w:eastAsia="pl-PL"/>
        </w:rPr>
      </w:pPr>
      <w:r w:rsidRPr="00D8125E">
        <w:rPr>
          <w:b/>
          <w:bCs/>
          <w:lang w:eastAsia="pl-PL"/>
        </w:rPr>
        <w:t xml:space="preserve">Warszawa </w:t>
      </w:r>
      <w:r w:rsidR="00AC2DAC" w:rsidRPr="00D8125E">
        <w:rPr>
          <w:b/>
          <w:bCs/>
          <w:lang w:eastAsia="pl-PL"/>
        </w:rPr>
        <w:t>2020</w:t>
      </w:r>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0FAC3BBC" w14:textId="669010CB" w:rsidR="00C32FCD"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804434" w:history="1">
            <w:r w:rsidR="00C32FCD" w:rsidRPr="006230BE">
              <w:rPr>
                <w:rStyle w:val="Hipercze"/>
                <w:shd w:val="clear" w:color="auto" w:fill="FFFFFF"/>
              </w:rPr>
              <w:t>Wstęp.</w:t>
            </w:r>
            <w:r w:rsidR="00C32FCD">
              <w:rPr>
                <w:webHidden/>
              </w:rPr>
              <w:tab/>
            </w:r>
            <w:r w:rsidR="00C32FCD">
              <w:rPr>
                <w:webHidden/>
              </w:rPr>
              <w:fldChar w:fldCharType="begin"/>
            </w:r>
            <w:r w:rsidR="00C32FCD">
              <w:rPr>
                <w:webHidden/>
              </w:rPr>
              <w:instrText xml:space="preserve"> PAGEREF _Toc61804434 \h </w:instrText>
            </w:r>
            <w:r w:rsidR="00C32FCD">
              <w:rPr>
                <w:webHidden/>
              </w:rPr>
            </w:r>
            <w:r w:rsidR="00C32FCD">
              <w:rPr>
                <w:webHidden/>
              </w:rPr>
              <w:fldChar w:fldCharType="separate"/>
            </w:r>
            <w:r w:rsidR="00C32FCD">
              <w:rPr>
                <w:webHidden/>
              </w:rPr>
              <w:t>- 4 -</w:t>
            </w:r>
            <w:r w:rsidR="00C32FCD">
              <w:rPr>
                <w:webHidden/>
              </w:rPr>
              <w:fldChar w:fldCharType="end"/>
            </w:r>
          </w:hyperlink>
        </w:p>
        <w:p w14:paraId="5D7C53B7" w14:textId="794A6524" w:rsidR="00C32FCD" w:rsidRDefault="00607656">
          <w:pPr>
            <w:pStyle w:val="Spistreci2"/>
            <w:tabs>
              <w:tab w:val="right" w:leader="dot" w:pos="9061"/>
            </w:tabs>
            <w:rPr>
              <w:rFonts w:asciiTheme="minorHAnsi" w:eastAsiaTheme="minorEastAsia" w:hAnsiTheme="minorHAnsi"/>
              <w:noProof/>
              <w:sz w:val="22"/>
              <w:lang w:eastAsia="pl-PL"/>
            </w:rPr>
          </w:pPr>
          <w:hyperlink w:anchor="_Toc61804435" w:history="1">
            <w:r w:rsidR="00C32FCD" w:rsidRPr="006230BE">
              <w:rPr>
                <w:rStyle w:val="Hipercze"/>
                <w:rFonts w:cs="Times New Roman"/>
                <w:noProof/>
              </w:rPr>
              <w:t>Uzasadnienie wyboru tematu.</w:t>
            </w:r>
            <w:r w:rsidR="00C32FCD">
              <w:rPr>
                <w:noProof/>
                <w:webHidden/>
              </w:rPr>
              <w:tab/>
            </w:r>
            <w:r w:rsidR="00C32FCD">
              <w:rPr>
                <w:noProof/>
                <w:webHidden/>
              </w:rPr>
              <w:fldChar w:fldCharType="begin"/>
            </w:r>
            <w:r w:rsidR="00C32FCD">
              <w:rPr>
                <w:noProof/>
                <w:webHidden/>
              </w:rPr>
              <w:instrText xml:space="preserve"> PAGEREF _Toc61804435 \h </w:instrText>
            </w:r>
            <w:r w:rsidR="00C32FCD">
              <w:rPr>
                <w:noProof/>
                <w:webHidden/>
              </w:rPr>
            </w:r>
            <w:r w:rsidR="00C32FCD">
              <w:rPr>
                <w:noProof/>
                <w:webHidden/>
              </w:rPr>
              <w:fldChar w:fldCharType="separate"/>
            </w:r>
            <w:r w:rsidR="00C32FCD">
              <w:rPr>
                <w:noProof/>
                <w:webHidden/>
              </w:rPr>
              <w:t>- 4 -</w:t>
            </w:r>
            <w:r w:rsidR="00C32FCD">
              <w:rPr>
                <w:noProof/>
                <w:webHidden/>
              </w:rPr>
              <w:fldChar w:fldCharType="end"/>
            </w:r>
          </w:hyperlink>
        </w:p>
        <w:p w14:paraId="05A48B12" w14:textId="01F3DECF" w:rsidR="00C32FCD" w:rsidRDefault="00607656">
          <w:pPr>
            <w:pStyle w:val="Spistreci2"/>
            <w:tabs>
              <w:tab w:val="right" w:leader="dot" w:pos="9061"/>
            </w:tabs>
            <w:rPr>
              <w:rFonts w:asciiTheme="minorHAnsi" w:eastAsiaTheme="minorEastAsia" w:hAnsiTheme="minorHAnsi"/>
              <w:noProof/>
              <w:sz w:val="22"/>
              <w:lang w:eastAsia="pl-PL"/>
            </w:rPr>
          </w:pPr>
          <w:hyperlink w:anchor="_Toc61804436" w:history="1">
            <w:r w:rsidR="00C32FCD" w:rsidRPr="006230BE">
              <w:rPr>
                <w:rStyle w:val="Hipercze"/>
                <w:rFonts w:cs="Times New Roman"/>
                <w:noProof/>
              </w:rPr>
              <w:t>Struktura pracy:</w:t>
            </w:r>
            <w:r w:rsidR="00C32FCD">
              <w:rPr>
                <w:noProof/>
                <w:webHidden/>
              </w:rPr>
              <w:tab/>
            </w:r>
            <w:r w:rsidR="00C32FCD">
              <w:rPr>
                <w:noProof/>
                <w:webHidden/>
              </w:rPr>
              <w:fldChar w:fldCharType="begin"/>
            </w:r>
            <w:r w:rsidR="00C32FCD">
              <w:rPr>
                <w:noProof/>
                <w:webHidden/>
              </w:rPr>
              <w:instrText xml:space="preserve"> PAGEREF _Toc61804436 \h </w:instrText>
            </w:r>
            <w:r w:rsidR="00C32FCD">
              <w:rPr>
                <w:noProof/>
                <w:webHidden/>
              </w:rPr>
            </w:r>
            <w:r w:rsidR="00C32FCD">
              <w:rPr>
                <w:noProof/>
                <w:webHidden/>
              </w:rPr>
              <w:fldChar w:fldCharType="separate"/>
            </w:r>
            <w:r w:rsidR="00C32FCD">
              <w:rPr>
                <w:noProof/>
                <w:webHidden/>
              </w:rPr>
              <w:t>- 6 -</w:t>
            </w:r>
            <w:r w:rsidR="00C32FCD">
              <w:rPr>
                <w:noProof/>
                <w:webHidden/>
              </w:rPr>
              <w:fldChar w:fldCharType="end"/>
            </w:r>
          </w:hyperlink>
        </w:p>
        <w:p w14:paraId="1477E11F" w14:textId="04072951" w:rsidR="00C32FCD" w:rsidRDefault="00607656">
          <w:pPr>
            <w:pStyle w:val="Spistreci1"/>
            <w:rPr>
              <w:rFonts w:asciiTheme="minorHAnsi" w:eastAsiaTheme="minorEastAsia" w:hAnsiTheme="minorHAnsi" w:cstheme="minorBidi"/>
              <w:b w:val="0"/>
              <w:sz w:val="22"/>
              <w:szCs w:val="22"/>
              <w:lang w:eastAsia="pl-PL"/>
            </w:rPr>
          </w:pPr>
          <w:hyperlink w:anchor="_Toc61804437" w:history="1">
            <w:r w:rsidR="00C32FCD" w:rsidRPr="006230BE">
              <w:rPr>
                <w:rStyle w:val="Hipercze"/>
              </w:rPr>
              <w:t>I. Pojęcie ryzyka bankructwa przedsiębiorstwa i korzyści z jego predykcji</w:t>
            </w:r>
            <w:r w:rsidR="00C32FCD">
              <w:rPr>
                <w:webHidden/>
              </w:rPr>
              <w:tab/>
            </w:r>
            <w:r w:rsidR="00C32FCD">
              <w:rPr>
                <w:webHidden/>
              </w:rPr>
              <w:fldChar w:fldCharType="begin"/>
            </w:r>
            <w:r w:rsidR="00C32FCD">
              <w:rPr>
                <w:webHidden/>
              </w:rPr>
              <w:instrText xml:space="preserve"> PAGEREF _Toc61804437 \h </w:instrText>
            </w:r>
            <w:r w:rsidR="00C32FCD">
              <w:rPr>
                <w:webHidden/>
              </w:rPr>
            </w:r>
            <w:r w:rsidR="00C32FCD">
              <w:rPr>
                <w:webHidden/>
              </w:rPr>
              <w:fldChar w:fldCharType="separate"/>
            </w:r>
            <w:r w:rsidR="00C32FCD">
              <w:rPr>
                <w:webHidden/>
              </w:rPr>
              <w:t>- 8 -</w:t>
            </w:r>
            <w:r w:rsidR="00C32FCD">
              <w:rPr>
                <w:webHidden/>
              </w:rPr>
              <w:fldChar w:fldCharType="end"/>
            </w:r>
          </w:hyperlink>
        </w:p>
        <w:p w14:paraId="560422D9" w14:textId="14920D7C" w:rsidR="00C32FCD" w:rsidRDefault="00607656">
          <w:pPr>
            <w:pStyle w:val="Spistreci2"/>
            <w:tabs>
              <w:tab w:val="right" w:leader="dot" w:pos="9061"/>
            </w:tabs>
            <w:rPr>
              <w:rFonts w:asciiTheme="minorHAnsi" w:eastAsiaTheme="minorEastAsia" w:hAnsiTheme="minorHAnsi"/>
              <w:noProof/>
              <w:sz w:val="22"/>
              <w:lang w:eastAsia="pl-PL"/>
            </w:rPr>
          </w:pPr>
          <w:hyperlink w:anchor="_Toc61804438" w:history="1">
            <w:r w:rsidR="00C32FCD" w:rsidRPr="006230BE">
              <w:rPr>
                <w:rStyle w:val="Hipercze"/>
                <w:rFonts w:cs="Times New Roman"/>
                <w:noProof/>
              </w:rPr>
              <w:t>I.1 Pojęcie ryzyka w kontekście prowadzenia działalności gospodarczej.</w:t>
            </w:r>
            <w:r w:rsidR="00C32FCD">
              <w:rPr>
                <w:noProof/>
                <w:webHidden/>
              </w:rPr>
              <w:tab/>
            </w:r>
            <w:r w:rsidR="00C32FCD">
              <w:rPr>
                <w:noProof/>
                <w:webHidden/>
              </w:rPr>
              <w:fldChar w:fldCharType="begin"/>
            </w:r>
            <w:r w:rsidR="00C32FCD">
              <w:rPr>
                <w:noProof/>
                <w:webHidden/>
              </w:rPr>
              <w:instrText xml:space="preserve"> PAGEREF _Toc61804438 \h </w:instrText>
            </w:r>
            <w:r w:rsidR="00C32FCD">
              <w:rPr>
                <w:noProof/>
                <w:webHidden/>
              </w:rPr>
            </w:r>
            <w:r w:rsidR="00C32FCD">
              <w:rPr>
                <w:noProof/>
                <w:webHidden/>
              </w:rPr>
              <w:fldChar w:fldCharType="separate"/>
            </w:r>
            <w:r w:rsidR="00C32FCD">
              <w:rPr>
                <w:noProof/>
                <w:webHidden/>
              </w:rPr>
              <w:t>- 8 -</w:t>
            </w:r>
            <w:r w:rsidR="00C32FCD">
              <w:rPr>
                <w:noProof/>
                <w:webHidden/>
              </w:rPr>
              <w:fldChar w:fldCharType="end"/>
            </w:r>
          </w:hyperlink>
        </w:p>
        <w:p w14:paraId="77B9CEB2" w14:textId="01F50A50" w:rsidR="00C32FCD" w:rsidRDefault="00607656">
          <w:pPr>
            <w:pStyle w:val="Spistreci2"/>
            <w:tabs>
              <w:tab w:val="right" w:leader="dot" w:pos="9061"/>
            </w:tabs>
            <w:rPr>
              <w:rFonts w:asciiTheme="minorHAnsi" w:eastAsiaTheme="minorEastAsia" w:hAnsiTheme="minorHAnsi"/>
              <w:noProof/>
              <w:sz w:val="22"/>
              <w:lang w:eastAsia="pl-PL"/>
            </w:rPr>
          </w:pPr>
          <w:hyperlink w:anchor="_Toc61804439" w:history="1">
            <w:r w:rsidR="00C32FCD" w:rsidRPr="006230BE">
              <w:rPr>
                <w:rStyle w:val="Hipercze"/>
                <w:rFonts w:cs="Times New Roman"/>
                <w:noProof/>
              </w:rPr>
              <w:t>I.2 Pojęcie upadłości i likwidacji przedsiębiorstwa.</w:t>
            </w:r>
            <w:r w:rsidR="00C32FCD">
              <w:rPr>
                <w:noProof/>
                <w:webHidden/>
              </w:rPr>
              <w:tab/>
            </w:r>
            <w:r w:rsidR="00C32FCD">
              <w:rPr>
                <w:noProof/>
                <w:webHidden/>
              </w:rPr>
              <w:fldChar w:fldCharType="begin"/>
            </w:r>
            <w:r w:rsidR="00C32FCD">
              <w:rPr>
                <w:noProof/>
                <w:webHidden/>
              </w:rPr>
              <w:instrText xml:space="preserve"> PAGEREF _Toc61804439 \h </w:instrText>
            </w:r>
            <w:r w:rsidR="00C32FCD">
              <w:rPr>
                <w:noProof/>
                <w:webHidden/>
              </w:rPr>
            </w:r>
            <w:r w:rsidR="00C32FCD">
              <w:rPr>
                <w:noProof/>
                <w:webHidden/>
              </w:rPr>
              <w:fldChar w:fldCharType="separate"/>
            </w:r>
            <w:r w:rsidR="00C32FCD">
              <w:rPr>
                <w:noProof/>
                <w:webHidden/>
              </w:rPr>
              <w:t>- 10 -</w:t>
            </w:r>
            <w:r w:rsidR="00C32FCD">
              <w:rPr>
                <w:noProof/>
                <w:webHidden/>
              </w:rPr>
              <w:fldChar w:fldCharType="end"/>
            </w:r>
          </w:hyperlink>
        </w:p>
        <w:p w14:paraId="2E3B8A23" w14:textId="2D32627D" w:rsidR="00C32FCD" w:rsidRDefault="00607656">
          <w:pPr>
            <w:pStyle w:val="Spistreci2"/>
            <w:tabs>
              <w:tab w:val="right" w:leader="dot" w:pos="9061"/>
            </w:tabs>
            <w:rPr>
              <w:rFonts w:asciiTheme="minorHAnsi" w:eastAsiaTheme="minorEastAsia" w:hAnsiTheme="minorHAnsi"/>
              <w:noProof/>
              <w:sz w:val="22"/>
              <w:lang w:eastAsia="pl-PL"/>
            </w:rPr>
          </w:pPr>
          <w:hyperlink w:anchor="_Toc61804440" w:history="1">
            <w:r w:rsidR="00C32FCD" w:rsidRPr="006230BE">
              <w:rPr>
                <w:rStyle w:val="Hipercze"/>
                <w:rFonts w:cs="Times New Roman"/>
                <w:noProof/>
              </w:rPr>
              <w:t>I.3 Wymogi regulacyjne odnośnie weryfikacji kontrahentów w Polsce.</w:t>
            </w:r>
            <w:r w:rsidR="00C32FCD">
              <w:rPr>
                <w:noProof/>
                <w:webHidden/>
              </w:rPr>
              <w:tab/>
            </w:r>
            <w:r w:rsidR="00C32FCD">
              <w:rPr>
                <w:noProof/>
                <w:webHidden/>
              </w:rPr>
              <w:fldChar w:fldCharType="begin"/>
            </w:r>
            <w:r w:rsidR="00C32FCD">
              <w:rPr>
                <w:noProof/>
                <w:webHidden/>
              </w:rPr>
              <w:instrText xml:space="preserve"> PAGEREF _Toc61804440 \h </w:instrText>
            </w:r>
            <w:r w:rsidR="00C32FCD">
              <w:rPr>
                <w:noProof/>
                <w:webHidden/>
              </w:rPr>
            </w:r>
            <w:r w:rsidR="00C32FCD">
              <w:rPr>
                <w:noProof/>
                <w:webHidden/>
              </w:rPr>
              <w:fldChar w:fldCharType="separate"/>
            </w:r>
            <w:r w:rsidR="00C32FCD">
              <w:rPr>
                <w:noProof/>
                <w:webHidden/>
              </w:rPr>
              <w:t>- 13 -</w:t>
            </w:r>
            <w:r w:rsidR="00C32FCD">
              <w:rPr>
                <w:noProof/>
                <w:webHidden/>
              </w:rPr>
              <w:fldChar w:fldCharType="end"/>
            </w:r>
          </w:hyperlink>
        </w:p>
        <w:p w14:paraId="3D2F23C7" w14:textId="2C9F5989" w:rsidR="00C32FCD" w:rsidRDefault="00607656">
          <w:pPr>
            <w:pStyle w:val="Spistreci2"/>
            <w:tabs>
              <w:tab w:val="right" w:leader="dot" w:pos="9061"/>
            </w:tabs>
            <w:rPr>
              <w:rFonts w:asciiTheme="minorHAnsi" w:eastAsiaTheme="minorEastAsia" w:hAnsiTheme="minorHAnsi"/>
              <w:noProof/>
              <w:sz w:val="22"/>
              <w:lang w:eastAsia="pl-PL"/>
            </w:rPr>
          </w:pPr>
          <w:hyperlink w:anchor="_Toc61804441" w:history="1">
            <w:r w:rsidR="00C32FCD" w:rsidRPr="006230BE">
              <w:rPr>
                <w:rStyle w:val="Hipercze"/>
                <w:rFonts w:cs="Times New Roman"/>
                <w:noProof/>
              </w:rPr>
              <w:t>I.4 Korzyści z możliwości automatycznej predykcji bankructwa przedsiębiorstw.</w:t>
            </w:r>
            <w:r w:rsidR="00C32FCD">
              <w:rPr>
                <w:noProof/>
                <w:webHidden/>
              </w:rPr>
              <w:tab/>
            </w:r>
            <w:r w:rsidR="00C32FCD">
              <w:rPr>
                <w:noProof/>
                <w:webHidden/>
              </w:rPr>
              <w:fldChar w:fldCharType="begin"/>
            </w:r>
            <w:r w:rsidR="00C32FCD">
              <w:rPr>
                <w:noProof/>
                <w:webHidden/>
              </w:rPr>
              <w:instrText xml:space="preserve"> PAGEREF _Toc61804441 \h </w:instrText>
            </w:r>
            <w:r w:rsidR="00C32FCD">
              <w:rPr>
                <w:noProof/>
                <w:webHidden/>
              </w:rPr>
            </w:r>
            <w:r w:rsidR="00C32FCD">
              <w:rPr>
                <w:noProof/>
                <w:webHidden/>
              </w:rPr>
              <w:fldChar w:fldCharType="separate"/>
            </w:r>
            <w:r w:rsidR="00C32FCD">
              <w:rPr>
                <w:noProof/>
                <w:webHidden/>
              </w:rPr>
              <w:t>- 16 -</w:t>
            </w:r>
            <w:r w:rsidR="00C32FCD">
              <w:rPr>
                <w:noProof/>
                <w:webHidden/>
              </w:rPr>
              <w:fldChar w:fldCharType="end"/>
            </w:r>
          </w:hyperlink>
        </w:p>
        <w:p w14:paraId="547C5292" w14:textId="2970DFF2" w:rsidR="00C32FCD" w:rsidRDefault="00607656">
          <w:pPr>
            <w:pStyle w:val="Spistreci1"/>
            <w:rPr>
              <w:rFonts w:asciiTheme="minorHAnsi" w:eastAsiaTheme="minorEastAsia" w:hAnsiTheme="minorHAnsi" w:cstheme="minorBidi"/>
              <w:b w:val="0"/>
              <w:sz w:val="22"/>
              <w:szCs w:val="22"/>
              <w:lang w:eastAsia="pl-PL"/>
            </w:rPr>
          </w:pPr>
          <w:hyperlink w:anchor="_Toc61804442" w:history="1">
            <w:r w:rsidR="00C32FCD" w:rsidRPr="006230BE">
              <w:rPr>
                <w:rStyle w:val="Hipercze"/>
              </w:rPr>
              <w:t>II. Omówienie danych wykorzystanych do przeprowadzenia analizy.</w:t>
            </w:r>
            <w:r w:rsidR="00C32FCD">
              <w:rPr>
                <w:webHidden/>
              </w:rPr>
              <w:tab/>
            </w:r>
            <w:r w:rsidR="00C32FCD">
              <w:rPr>
                <w:webHidden/>
              </w:rPr>
              <w:fldChar w:fldCharType="begin"/>
            </w:r>
            <w:r w:rsidR="00C32FCD">
              <w:rPr>
                <w:webHidden/>
              </w:rPr>
              <w:instrText xml:space="preserve"> PAGEREF _Toc61804442 \h </w:instrText>
            </w:r>
            <w:r w:rsidR="00C32FCD">
              <w:rPr>
                <w:webHidden/>
              </w:rPr>
            </w:r>
            <w:r w:rsidR="00C32FCD">
              <w:rPr>
                <w:webHidden/>
              </w:rPr>
              <w:fldChar w:fldCharType="separate"/>
            </w:r>
            <w:r w:rsidR="00C32FCD">
              <w:rPr>
                <w:webHidden/>
              </w:rPr>
              <w:t>- 21 -</w:t>
            </w:r>
            <w:r w:rsidR="00C32FCD">
              <w:rPr>
                <w:webHidden/>
              </w:rPr>
              <w:fldChar w:fldCharType="end"/>
            </w:r>
          </w:hyperlink>
        </w:p>
        <w:p w14:paraId="40789D9B" w14:textId="11270C82" w:rsidR="00C32FCD" w:rsidRDefault="00607656">
          <w:pPr>
            <w:pStyle w:val="Spistreci2"/>
            <w:tabs>
              <w:tab w:val="right" w:leader="dot" w:pos="9061"/>
            </w:tabs>
            <w:rPr>
              <w:rFonts w:asciiTheme="minorHAnsi" w:eastAsiaTheme="minorEastAsia" w:hAnsiTheme="minorHAnsi"/>
              <w:noProof/>
              <w:sz w:val="22"/>
              <w:lang w:eastAsia="pl-PL"/>
            </w:rPr>
          </w:pPr>
          <w:hyperlink w:anchor="_Toc61804443" w:history="1">
            <w:r w:rsidR="00C32FCD" w:rsidRPr="006230BE">
              <w:rPr>
                <w:rStyle w:val="Hipercze"/>
                <w:rFonts w:cs="Times New Roman"/>
                <w:noProof/>
              </w:rPr>
              <w:t>II.1 Źródła danych wykorzystane do przeprowadzenia analizy.</w:t>
            </w:r>
            <w:r w:rsidR="00C32FCD">
              <w:rPr>
                <w:noProof/>
                <w:webHidden/>
              </w:rPr>
              <w:tab/>
            </w:r>
            <w:r w:rsidR="00C32FCD">
              <w:rPr>
                <w:noProof/>
                <w:webHidden/>
              </w:rPr>
              <w:fldChar w:fldCharType="begin"/>
            </w:r>
            <w:r w:rsidR="00C32FCD">
              <w:rPr>
                <w:noProof/>
                <w:webHidden/>
              </w:rPr>
              <w:instrText xml:space="preserve"> PAGEREF _Toc61804443 \h </w:instrText>
            </w:r>
            <w:r w:rsidR="00C32FCD">
              <w:rPr>
                <w:noProof/>
                <w:webHidden/>
              </w:rPr>
            </w:r>
            <w:r w:rsidR="00C32FCD">
              <w:rPr>
                <w:noProof/>
                <w:webHidden/>
              </w:rPr>
              <w:fldChar w:fldCharType="separate"/>
            </w:r>
            <w:r w:rsidR="00C32FCD">
              <w:rPr>
                <w:noProof/>
                <w:webHidden/>
              </w:rPr>
              <w:t>- 21 -</w:t>
            </w:r>
            <w:r w:rsidR="00C32FCD">
              <w:rPr>
                <w:noProof/>
                <w:webHidden/>
              </w:rPr>
              <w:fldChar w:fldCharType="end"/>
            </w:r>
          </w:hyperlink>
        </w:p>
        <w:p w14:paraId="6E4312BB" w14:textId="206FF7E6" w:rsidR="00C32FCD" w:rsidRDefault="00607656">
          <w:pPr>
            <w:pStyle w:val="Spistreci2"/>
            <w:tabs>
              <w:tab w:val="right" w:leader="dot" w:pos="9061"/>
            </w:tabs>
            <w:rPr>
              <w:rFonts w:asciiTheme="minorHAnsi" w:eastAsiaTheme="minorEastAsia" w:hAnsiTheme="minorHAnsi"/>
              <w:noProof/>
              <w:sz w:val="22"/>
              <w:lang w:eastAsia="pl-PL"/>
            </w:rPr>
          </w:pPr>
          <w:hyperlink w:anchor="_Toc61804444" w:history="1">
            <w:r w:rsidR="00C32FCD" w:rsidRPr="006230BE">
              <w:rPr>
                <w:rStyle w:val="Hipercze"/>
                <w:rFonts w:cs="Times New Roman"/>
                <w:noProof/>
              </w:rPr>
              <w:t>II.2 Struktura i przekształcenia zebranych danych.</w:t>
            </w:r>
            <w:r w:rsidR="00C32FCD">
              <w:rPr>
                <w:noProof/>
                <w:webHidden/>
              </w:rPr>
              <w:tab/>
            </w:r>
            <w:r w:rsidR="00C32FCD">
              <w:rPr>
                <w:noProof/>
                <w:webHidden/>
              </w:rPr>
              <w:fldChar w:fldCharType="begin"/>
            </w:r>
            <w:r w:rsidR="00C32FCD">
              <w:rPr>
                <w:noProof/>
                <w:webHidden/>
              </w:rPr>
              <w:instrText xml:space="preserve"> PAGEREF _Toc61804444 \h </w:instrText>
            </w:r>
            <w:r w:rsidR="00C32FCD">
              <w:rPr>
                <w:noProof/>
                <w:webHidden/>
              </w:rPr>
            </w:r>
            <w:r w:rsidR="00C32FCD">
              <w:rPr>
                <w:noProof/>
                <w:webHidden/>
              </w:rPr>
              <w:fldChar w:fldCharType="separate"/>
            </w:r>
            <w:r w:rsidR="00C32FCD">
              <w:rPr>
                <w:noProof/>
                <w:webHidden/>
              </w:rPr>
              <w:t>- 24 -</w:t>
            </w:r>
            <w:r w:rsidR="00C32FCD">
              <w:rPr>
                <w:noProof/>
                <w:webHidden/>
              </w:rPr>
              <w:fldChar w:fldCharType="end"/>
            </w:r>
          </w:hyperlink>
        </w:p>
        <w:p w14:paraId="1E327E75" w14:textId="427F67A1" w:rsidR="00C32FCD" w:rsidRDefault="00607656">
          <w:pPr>
            <w:pStyle w:val="Spistreci2"/>
            <w:tabs>
              <w:tab w:val="right" w:leader="dot" w:pos="9061"/>
            </w:tabs>
            <w:rPr>
              <w:rFonts w:asciiTheme="minorHAnsi" w:eastAsiaTheme="minorEastAsia" w:hAnsiTheme="minorHAnsi"/>
              <w:noProof/>
              <w:sz w:val="22"/>
              <w:lang w:eastAsia="pl-PL"/>
            </w:rPr>
          </w:pPr>
          <w:hyperlink w:anchor="_Toc61804445" w:history="1">
            <w:r w:rsidR="00C32FCD" w:rsidRPr="006230BE">
              <w:rPr>
                <w:rStyle w:val="Hipercze"/>
                <w:rFonts w:cs="Times New Roman"/>
                <w:noProof/>
              </w:rPr>
              <w:t>II.3 Analiza eksploracyjna wykorzystanych danych.</w:t>
            </w:r>
            <w:r w:rsidR="00C32FCD">
              <w:rPr>
                <w:noProof/>
                <w:webHidden/>
              </w:rPr>
              <w:tab/>
            </w:r>
            <w:r w:rsidR="00C32FCD">
              <w:rPr>
                <w:noProof/>
                <w:webHidden/>
              </w:rPr>
              <w:fldChar w:fldCharType="begin"/>
            </w:r>
            <w:r w:rsidR="00C32FCD">
              <w:rPr>
                <w:noProof/>
                <w:webHidden/>
              </w:rPr>
              <w:instrText xml:space="preserve"> PAGEREF _Toc61804445 \h </w:instrText>
            </w:r>
            <w:r w:rsidR="00C32FCD">
              <w:rPr>
                <w:noProof/>
                <w:webHidden/>
              </w:rPr>
            </w:r>
            <w:r w:rsidR="00C32FCD">
              <w:rPr>
                <w:noProof/>
                <w:webHidden/>
              </w:rPr>
              <w:fldChar w:fldCharType="separate"/>
            </w:r>
            <w:r w:rsidR="00C32FCD">
              <w:rPr>
                <w:noProof/>
                <w:webHidden/>
              </w:rPr>
              <w:t>- 31 -</w:t>
            </w:r>
            <w:r w:rsidR="00C32FCD">
              <w:rPr>
                <w:noProof/>
                <w:webHidden/>
              </w:rPr>
              <w:fldChar w:fldCharType="end"/>
            </w:r>
          </w:hyperlink>
        </w:p>
        <w:p w14:paraId="1229FEFC" w14:textId="32722CDA" w:rsidR="00C32FCD" w:rsidRDefault="00607656">
          <w:pPr>
            <w:pStyle w:val="Spistreci2"/>
            <w:tabs>
              <w:tab w:val="right" w:leader="dot" w:pos="9061"/>
            </w:tabs>
            <w:rPr>
              <w:rFonts w:asciiTheme="minorHAnsi" w:eastAsiaTheme="minorEastAsia" w:hAnsiTheme="minorHAnsi"/>
              <w:noProof/>
              <w:sz w:val="22"/>
              <w:lang w:eastAsia="pl-PL"/>
            </w:rPr>
          </w:pPr>
          <w:hyperlink w:anchor="_Toc61804446" w:history="1">
            <w:r w:rsidR="00C32FCD" w:rsidRPr="006230BE">
              <w:rPr>
                <w:rStyle w:val="Hipercze"/>
                <w:rFonts w:cs="Times New Roman"/>
                <w:noProof/>
              </w:rPr>
              <w:t>II.4 Wybór zmiennych najlepiej wyjaśniających zjawisko zakończenia działalności gospodarczej.</w:t>
            </w:r>
            <w:r w:rsidR="00C32FCD">
              <w:rPr>
                <w:noProof/>
                <w:webHidden/>
              </w:rPr>
              <w:tab/>
            </w:r>
            <w:r w:rsidR="00C32FCD">
              <w:rPr>
                <w:noProof/>
                <w:webHidden/>
              </w:rPr>
              <w:fldChar w:fldCharType="begin"/>
            </w:r>
            <w:r w:rsidR="00C32FCD">
              <w:rPr>
                <w:noProof/>
                <w:webHidden/>
              </w:rPr>
              <w:instrText xml:space="preserve"> PAGEREF _Toc61804446 \h </w:instrText>
            </w:r>
            <w:r w:rsidR="00C32FCD">
              <w:rPr>
                <w:noProof/>
                <w:webHidden/>
              </w:rPr>
            </w:r>
            <w:r w:rsidR="00C32FCD">
              <w:rPr>
                <w:noProof/>
                <w:webHidden/>
              </w:rPr>
              <w:fldChar w:fldCharType="separate"/>
            </w:r>
            <w:r w:rsidR="00C32FCD">
              <w:rPr>
                <w:noProof/>
                <w:webHidden/>
              </w:rPr>
              <w:t>- 44 -</w:t>
            </w:r>
            <w:r w:rsidR="00C32FCD">
              <w:rPr>
                <w:noProof/>
                <w:webHidden/>
              </w:rPr>
              <w:fldChar w:fldCharType="end"/>
            </w:r>
          </w:hyperlink>
        </w:p>
        <w:p w14:paraId="7027D107" w14:textId="30DCBFF8" w:rsidR="00C32FCD" w:rsidRDefault="00607656">
          <w:pPr>
            <w:pStyle w:val="Spistreci1"/>
            <w:rPr>
              <w:rFonts w:asciiTheme="minorHAnsi" w:eastAsiaTheme="minorEastAsia" w:hAnsiTheme="minorHAnsi" w:cstheme="minorBidi"/>
              <w:b w:val="0"/>
              <w:sz w:val="22"/>
              <w:szCs w:val="22"/>
              <w:lang w:eastAsia="pl-PL"/>
            </w:rPr>
          </w:pPr>
          <w:hyperlink w:anchor="_Toc61804447" w:history="1">
            <w:r w:rsidR="00C32FCD" w:rsidRPr="006230BE">
              <w:rPr>
                <w:rStyle w:val="Hipercze"/>
              </w:rPr>
              <w:t>III. Analiza właściwa. Budowa i ocena jakości modeli klasyfikacyjnych.</w:t>
            </w:r>
            <w:r w:rsidR="00C32FCD">
              <w:rPr>
                <w:webHidden/>
              </w:rPr>
              <w:tab/>
            </w:r>
            <w:r w:rsidR="00C32FCD">
              <w:rPr>
                <w:webHidden/>
              </w:rPr>
              <w:fldChar w:fldCharType="begin"/>
            </w:r>
            <w:r w:rsidR="00C32FCD">
              <w:rPr>
                <w:webHidden/>
              </w:rPr>
              <w:instrText xml:space="preserve"> PAGEREF _Toc61804447 \h </w:instrText>
            </w:r>
            <w:r w:rsidR="00C32FCD">
              <w:rPr>
                <w:webHidden/>
              </w:rPr>
            </w:r>
            <w:r w:rsidR="00C32FCD">
              <w:rPr>
                <w:webHidden/>
              </w:rPr>
              <w:fldChar w:fldCharType="separate"/>
            </w:r>
            <w:r w:rsidR="00C32FCD">
              <w:rPr>
                <w:webHidden/>
              </w:rPr>
              <w:t>- 50 -</w:t>
            </w:r>
            <w:r w:rsidR="00C32FCD">
              <w:rPr>
                <w:webHidden/>
              </w:rPr>
              <w:fldChar w:fldCharType="end"/>
            </w:r>
          </w:hyperlink>
        </w:p>
        <w:p w14:paraId="428ADE52" w14:textId="4227F27D" w:rsidR="00C32FCD" w:rsidRDefault="00607656">
          <w:pPr>
            <w:pStyle w:val="Spistreci2"/>
            <w:tabs>
              <w:tab w:val="right" w:leader="dot" w:pos="9061"/>
            </w:tabs>
            <w:rPr>
              <w:rFonts w:asciiTheme="minorHAnsi" w:eastAsiaTheme="minorEastAsia" w:hAnsiTheme="minorHAnsi"/>
              <w:noProof/>
              <w:sz w:val="22"/>
              <w:lang w:eastAsia="pl-PL"/>
            </w:rPr>
          </w:pPr>
          <w:hyperlink w:anchor="_Toc61804448" w:history="1">
            <w:r w:rsidR="00C32FCD" w:rsidRPr="006230BE">
              <w:rPr>
                <w:rStyle w:val="Hipercze"/>
                <w:rFonts w:cs="Times New Roman"/>
                <w:noProof/>
              </w:rPr>
              <w:t>III.1 Model klasyfikacyjny zbudowany na podstawie algorytmu Gradient Boosted Machine.</w:t>
            </w:r>
            <w:r w:rsidR="00C32FCD">
              <w:rPr>
                <w:noProof/>
                <w:webHidden/>
              </w:rPr>
              <w:tab/>
            </w:r>
            <w:r w:rsidR="00C32FCD">
              <w:rPr>
                <w:noProof/>
                <w:webHidden/>
              </w:rPr>
              <w:fldChar w:fldCharType="begin"/>
            </w:r>
            <w:r w:rsidR="00C32FCD">
              <w:rPr>
                <w:noProof/>
                <w:webHidden/>
              </w:rPr>
              <w:instrText xml:space="preserve"> PAGEREF _Toc61804448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647FD577" w14:textId="0D322224" w:rsidR="00C32FCD" w:rsidRDefault="00607656">
          <w:pPr>
            <w:pStyle w:val="Spistreci2"/>
            <w:tabs>
              <w:tab w:val="right" w:leader="dot" w:pos="9061"/>
            </w:tabs>
            <w:rPr>
              <w:rFonts w:asciiTheme="minorHAnsi" w:eastAsiaTheme="minorEastAsia" w:hAnsiTheme="minorHAnsi"/>
              <w:noProof/>
              <w:sz w:val="22"/>
              <w:lang w:eastAsia="pl-PL"/>
            </w:rPr>
          </w:pPr>
          <w:hyperlink w:anchor="_Toc61804449" w:history="1">
            <w:r w:rsidR="00C32FCD" w:rsidRPr="006230BE">
              <w:rPr>
                <w:rStyle w:val="Hipercze"/>
                <w:rFonts w:cs="Times New Roman"/>
                <w:noProof/>
              </w:rPr>
              <w:t>III.2 Model klasyfikacyjny zbudowany na podstawie algorytmu klasyfikacyjnych lasów losowych.</w:t>
            </w:r>
            <w:r w:rsidR="00C32FCD">
              <w:rPr>
                <w:noProof/>
                <w:webHidden/>
              </w:rPr>
              <w:tab/>
            </w:r>
            <w:r w:rsidR="00C32FCD">
              <w:rPr>
                <w:noProof/>
                <w:webHidden/>
              </w:rPr>
              <w:fldChar w:fldCharType="begin"/>
            </w:r>
            <w:r w:rsidR="00C32FCD">
              <w:rPr>
                <w:noProof/>
                <w:webHidden/>
              </w:rPr>
              <w:instrText xml:space="preserve"> PAGEREF _Toc61804449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172D22BB" w14:textId="2FBBEF64" w:rsidR="00C32FCD" w:rsidRDefault="00607656">
          <w:pPr>
            <w:pStyle w:val="Spistreci2"/>
            <w:tabs>
              <w:tab w:val="right" w:leader="dot" w:pos="9061"/>
            </w:tabs>
            <w:rPr>
              <w:rFonts w:asciiTheme="minorHAnsi" w:eastAsiaTheme="minorEastAsia" w:hAnsiTheme="minorHAnsi"/>
              <w:noProof/>
              <w:sz w:val="22"/>
              <w:lang w:eastAsia="pl-PL"/>
            </w:rPr>
          </w:pPr>
          <w:hyperlink w:anchor="_Toc61804450" w:history="1">
            <w:r w:rsidR="00C32FCD" w:rsidRPr="006230BE">
              <w:rPr>
                <w:rStyle w:val="Hipercze"/>
                <w:noProof/>
              </w:rPr>
              <w:t xml:space="preserve">III.3 </w:t>
            </w:r>
            <w:r w:rsidR="00C32FCD" w:rsidRPr="006230BE">
              <w:rPr>
                <w:rStyle w:val="Hipercze"/>
                <w:rFonts w:cs="Times New Roman"/>
                <w:noProof/>
              </w:rPr>
              <w:t>Model klasyfikacyjny zbudowany na podstawie algorytmu sieci neuronowych</w:t>
            </w:r>
            <w:r w:rsidR="00C32FCD" w:rsidRPr="006230BE">
              <w:rPr>
                <w:rStyle w:val="Hipercze"/>
                <w:noProof/>
              </w:rPr>
              <w:t>.</w:t>
            </w:r>
            <w:r w:rsidR="00C32FCD">
              <w:rPr>
                <w:noProof/>
                <w:webHidden/>
              </w:rPr>
              <w:tab/>
            </w:r>
            <w:r w:rsidR="00C32FCD">
              <w:rPr>
                <w:noProof/>
                <w:webHidden/>
              </w:rPr>
              <w:fldChar w:fldCharType="begin"/>
            </w:r>
            <w:r w:rsidR="00C32FCD">
              <w:rPr>
                <w:noProof/>
                <w:webHidden/>
              </w:rPr>
              <w:instrText xml:space="preserve"> PAGEREF _Toc61804450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399A1402" w14:textId="36DEE3EE" w:rsidR="00C32FCD" w:rsidRDefault="00607656">
          <w:pPr>
            <w:pStyle w:val="Spistreci2"/>
            <w:tabs>
              <w:tab w:val="right" w:leader="dot" w:pos="9061"/>
            </w:tabs>
            <w:rPr>
              <w:rFonts w:asciiTheme="minorHAnsi" w:eastAsiaTheme="minorEastAsia" w:hAnsiTheme="minorHAnsi"/>
              <w:noProof/>
              <w:sz w:val="22"/>
              <w:lang w:eastAsia="pl-PL"/>
            </w:rPr>
          </w:pPr>
          <w:hyperlink w:anchor="_Toc61804451" w:history="1">
            <w:r w:rsidR="00C32FCD" w:rsidRPr="006230BE">
              <w:rPr>
                <w:rStyle w:val="Hipercze"/>
                <w:noProof/>
              </w:rPr>
              <w:t>III.4 Porównanie i ocena jakości zbudowanych modeli klasyfikacyjnych</w:t>
            </w:r>
            <w:r w:rsidR="00C32FCD">
              <w:rPr>
                <w:noProof/>
                <w:webHidden/>
              </w:rPr>
              <w:tab/>
            </w:r>
            <w:r w:rsidR="00C32FCD">
              <w:rPr>
                <w:noProof/>
                <w:webHidden/>
              </w:rPr>
              <w:fldChar w:fldCharType="begin"/>
            </w:r>
            <w:r w:rsidR="00C32FCD">
              <w:rPr>
                <w:noProof/>
                <w:webHidden/>
              </w:rPr>
              <w:instrText xml:space="preserve"> PAGEREF _Toc61804451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66FE73C8" w14:textId="458FD944" w:rsidR="00C32FCD" w:rsidRDefault="00607656">
          <w:pPr>
            <w:pStyle w:val="Spistreci2"/>
            <w:tabs>
              <w:tab w:val="right" w:leader="dot" w:pos="9061"/>
            </w:tabs>
            <w:rPr>
              <w:rFonts w:asciiTheme="minorHAnsi" w:eastAsiaTheme="minorEastAsia" w:hAnsiTheme="minorHAnsi"/>
              <w:noProof/>
              <w:sz w:val="22"/>
              <w:lang w:eastAsia="pl-PL"/>
            </w:rPr>
          </w:pPr>
          <w:hyperlink w:anchor="_Toc61804452" w:history="1">
            <w:r w:rsidR="00C32FCD" w:rsidRPr="006230BE">
              <w:rPr>
                <w:rStyle w:val="Hipercze"/>
                <w:noProof/>
              </w:rPr>
              <w:t>III.5 Interpretacja uzyskanych wyników i wyciągnięcie wniosków.</w:t>
            </w:r>
            <w:r w:rsidR="00C32FCD">
              <w:rPr>
                <w:noProof/>
                <w:webHidden/>
              </w:rPr>
              <w:tab/>
            </w:r>
            <w:r w:rsidR="00C32FCD">
              <w:rPr>
                <w:noProof/>
                <w:webHidden/>
              </w:rPr>
              <w:fldChar w:fldCharType="begin"/>
            </w:r>
            <w:r w:rsidR="00C32FCD">
              <w:rPr>
                <w:noProof/>
                <w:webHidden/>
              </w:rPr>
              <w:instrText xml:space="preserve"> PAGEREF _Toc61804452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4AAC9E71" w14:textId="2F183158" w:rsidR="00C32FCD" w:rsidRDefault="00607656">
          <w:pPr>
            <w:pStyle w:val="Spistreci1"/>
            <w:rPr>
              <w:rFonts w:asciiTheme="minorHAnsi" w:eastAsiaTheme="minorEastAsia" w:hAnsiTheme="minorHAnsi" w:cstheme="minorBidi"/>
              <w:b w:val="0"/>
              <w:sz w:val="22"/>
              <w:szCs w:val="22"/>
              <w:lang w:eastAsia="pl-PL"/>
            </w:rPr>
          </w:pPr>
          <w:hyperlink w:anchor="_Toc61804453" w:history="1">
            <w:r w:rsidR="00C32FCD" w:rsidRPr="006230BE">
              <w:rPr>
                <w:rStyle w:val="Hipercze"/>
              </w:rPr>
              <w:t>Zakończenie.</w:t>
            </w:r>
            <w:r w:rsidR="00C32FCD">
              <w:rPr>
                <w:webHidden/>
              </w:rPr>
              <w:tab/>
            </w:r>
            <w:r w:rsidR="00C32FCD">
              <w:rPr>
                <w:webHidden/>
              </w:rPr>
              <w:fldChar w:fldCharType="begin"/>
            </w:r>
            <w:r w:rsidR="00C32FCD">
              <w:rPr>
                <w:webHidden/>
              </w:rPr>
              <w:instrText xml:space="preserve"> PAGEREF _Toc61804453 \h </w:instrText>
            </w:r>
            <w:r w:rsidR="00C32FCD">
              <w:rPr>
                <w:webHidden/>
              </w:rPr>
            </w:r>
            <w:r w:rsidR="00C32FCD">
              <w:rPr>
                <w:webHidden/>
              </w:rPr>
              <w:fldChar w:fldCharType="separate"/>
            </w:r>
            <w:r w:rsidR="00C32FCD">
              <w:rPr>
                <w:webHidden/>
              </w:rPr>
              <w:t>- 54 -</w:t>
            </w:r>
            <w:r w:rsidR="00C32FCD">
              <w:rPr>
                <w:webHidden/>
              </w:rPr>
              <w:fldChar w:fldCharType="end"/>
            </w:r>
          </w:hyperlink>
        </w:p>
        <w:p w14:paraId="5B472646" w14:textId="154BD54E" w:rsidR="00C32FCD" w:rsidRDefault="00607656">
          <w:pPr>
            <w:pStyle w:val="Spistreci1"/>
            <w:rPr>
              <w:rFonts w:asciiTheme="minorHAnsi" w:eastAsiaTheme="minorEastAsia" w:hAnsiTheme="minorHAnsi" w:cstheme="minorBidi"/>
              <w:b w:val="0"/>
              <w:sz w:val="22"/>
              <w:szCs w:val="22"/>
              <w:lang w:eastAsia="pl-PL"/>
            </w:rPr>
          </w:pPr>
          <w:hyperlink w:anchor="_Toc61804454" w:history="1">
            <w:r w:rsidR="00C32FCD" w:rsidRPr="006230BE">
              <w:rPr>
                <w:rStyle w:val="Hipercze"/>
              </w:rPr>
              <w:t>Bibliografia.</w:t>
            </w:r>
            <w:r w:rsidR="00C32FCD">
              <w:rPr>
                <w:webHidden/>
              </w:rPr>
              <w:tab/>
            </w:r>
            <w:r w:rsidR="00C32FCD">
              <w:rPr>
                <w:webHidden/>
              </w:rPr>
              <w:fldChar w:fldCharType="begin"/>
            </w:r>
            <w:r w:rsidR="00C32FCD">
              <w:rPr>
                <w:webHidden/>
              </w:rPr>
              <w:instrText xml:space="preserve"> PAGEREF _Toc61804454 \h </w:instrText>
            </w:r>
            <w:r w:rsidR="00C32FCD">
              <w:rPr>
                <w:webHidden/>
              </w:rPr>
            </w:r>
            <w:r w:rsidR="00C32FCD">
              <w:rPr>
                <w:webHidden/>
              </w:rPr>
              <w:fldChar w:fldCharType="separate"/>
            </w:r>
            <w:r w:rsidR="00C32FCD">
              <w:rPr>
                <w:webHidden/>
              </w:rPr>
              <w:t>- 55 -</w:t>
            </w:r>
            <w:r w:rsidR="00C32FCD">
              <w:rPr>
                <w:webHidden/>
              </w:rPr>
              <w:fldChar w:fldCharType="end"/>
            </w:r>
          </w:hyperlink>
        </w:p>
        <w:p w14:paraId="5394215F" w14:textId="75319C61" w:rsidR="00C32FCD" w:rsidRDefault="00607656">
          <w:pPr>
            <w:pStyle w:val="Spistreci2"/>
            <w:tabs>
              <w:tab w:val="right" w:leader="dot" w:pos="9061"/>
            </w:tabs>
            <w:rPr>
              <w:rFonts w:asciiTheme="minorHAnsi" w:eastAsiaTheme="minorEastAsia" w:hAnsiTheme="minorHAnsi"/>
              <w:noProof/>
              <w:sz w:val="22"/>
              <w:lang w:eastAsia="pl-PL"/>
            </w:rPr>
          </w:pPr>
          <w:hyperlink w:anchor="_Toc61804455" w:history="1">
            <w:r w:rsidR="00C32FCD" w:rsidRPr="006230BE">
              <w:rPr>
                <w:rStyle w:val="Hipercze"/>
                <w:noProof/>
              </w:rPr>
              <w:t>I. Wydawnictwa zwarte.</w:t>
            </w:r>
            <w:r w:rsidR="00C32FCD">
              <w:rPr>
                <w:noProof/>
                <w:webHidden/>
              </w:rPr>
              <w:tab/>
            </w:r>
            <w:r w:rsidR="00C32FCD">
              <w:rPr>
                <w:noProof/>
                <w:webHidden/>
              </w:rPr>
              <w:fldChar w:fldCharType="begin"/>
            </w:r>
            <w:r w:rsidR="00C32FCD">
              <w:rPr>
                <w:noProof/>
                <w:webHidden/>
              </w:rPr>
              <w:instrText xml:space="preserve"> PAGEREF _Toc61804455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4D12076" w14:textId="24139354" w:rsidR="00C32FCD" w:rsidRDefault="00607656">
          <w:pPr>
            <w:pStyle w:val="Spistreci2"/>
            <w:tabs>
              <w:tab w:val="right" w:leader="dot" w:pos="9061"/>
            </w:tabs>
            <w:rPr>
              <w:rFonts w:asciiTheme="minorHAnsi" w:eastAsiaTheme="minorEastAsia" w:hAnsiTheme="minorHAnsi"/>
              <w:noProof/>
              <w:sz w:val="22"/>
              <w:lang w:eastAsia="pl-PL"/>
            </w:rPr>
          </w:pPr>
          <w:hyperlink w:anchor="_Toc61804456" w:history="1">
            <w:r w:rsidR="00C32FCD" w:rsidRPr="006230BE">
              <w:rPr>
                <w:rStyle w:val="Hipercze"/>
                <w:noProof/>
              </w:rPr>
              <w:t>II. Artykuły.</w:t>
            </w:r>
            <w:r w:rsidR="00C32FCD">
              <w:rPr>
                <w:noProof/>
                <w:webHidden/>
              </w:rPr>
              <w:tab/>
            </w:r>
            <w:r w:rsidR="00C32FCD">
              <w:rPr>
                <w:noProof/>
                <w:webHidden/>
              </w:rPr>
              <w:fldChar w:fldCharType="begin"/>
            </w:r>
            <w:r w:rsidR="00C32FCD">
              <w:rPr>
                <w:noProof/>
                <w:webHidden/>
              </w:rPr>
              <w:instrText xml:space="preserve"> PAGEREF _Toc61804456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5D73EBD" w14:textId="11F03965" w:rsidR="00C32FCD" w:rsidRDefault="00607656">
          <w:pPr>
            <w:pStyle w:val="Spistreci2"/>
            <w:tabs>
              <w:tab w:val="right" w:leader="dot" w:pos="9061"/>
            </w:tabs>
            <w:rPr>
              <w:rFonts w:asciiTheme="minorHAnsi" w:eastAsiaTheme="minorEastAsia" w:hAnsiTheme="minorHAnsi"/>
              <w:noProof/>
              <w:sz w:val="22"/>
              <w:lang w:eastAsia="pl-PL"/>
            </w:rPr>
          </w:pPr>
          <w:hyperlink w:anchor="_Toc61804457" w:history="1">
            <w:r w:rsidR="00C32FCD" w:rsidRPr="006230BE">
              <w:rPr>
                <w:rStyle w:val="Hipercze"/>
                <w:noProof/>
              </w:rPr>
              <w:t>III. Akty prawne.</w:t>
            </w:r>
            <w:r w:rsidR="00C32FCD">
              <w:rPr>
                <w:noProof/>
                <w:webHidden/>
              </w:rPr>
              <w:tab/>
            </w:r>
            <w:r w:rsidR="00C32FCD">
              <w:rPr>
                <w:noProof/>
                <w:webHidden/>
              </w:rPr>
              <w:fldChar w:fldCharType="begin"/>
            </w:r>
            <w:r w:rsidR="00C32FCD">
              <w:rPr>
                <w:noProof/>
                <w:webHidden/>
              </w:rPr>
              <w:instrText xml:space="preserve"> PAGEREF _Toc61804457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D8E937A" w14:textId="008A05F3" w:rsidR="00C32FCD" w:rsidRDefault="00607656">
          <w:pPr>
            <w:pStyle w:val="Spistreci2"/>
            <w:tabs>
              <w:tab w:val="right" w:leader="dot" w:pos="9061"/>
            </w:tabs>
            <w:rPr>
              <w:rFonts w:asciiTheme="minorHAnsi" w:eastAsiaTheme="minorEastAsia" w:hAnsiTheme="minorHAnsi"/>
              <w:noProof/>
              <w:sz w:val="22"/>
              <w:lang w:eastAsia="pl-PL"/>
            </w:rPr>
          </w:pPr>
          <w:hyperlink w:anchor="_Toc61804458" w:history="1">
            <w:r w:rsidR="00C32FCD" w:rsidRPr="006230BE">
              <w:rPr>
                <w:rStyle w:val="Hipercze"/>
                <w:noProof/>
              </w:rPr>
              <w:t>IV. Strony internetowe.</w:t>
            </w:r>
            <w:r w:rsidR="00C32FCD">
              <w:rPr>
                <w:noProof/>
                <w:webHidden/>
              </w:rPr>
              <w:tab/>
            </w:r>
            <w:r w:rsidR="00C32FCD">
              <w:rPr>
                <w:noProof/>
                <w:webHidden/>
              </w:rPr>
              <w:fldChar w:fldCharType="begin"/>
            </w:r>
            <w:r w:rsidR="00C32FCD">
              <w:rPr>
                <w:noProof/>
                <w:webHidden/>
              </w:rPr>
              <w:instrText xml:space="preserve"> PAGEREF _Toc61804458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61BC9FB6" w14:textId="13C2635F" w:rsidR="00C32FCD" w:rsidRDefault="00607656">
          <w:pPr>
            <w:pStyle w:val="Spistreci2"/>
            <w:tabs>
              <w:tab w:val="right" w:leader="dot" w:pos="9061"/>
            </w:tabs>
            <w:rPr>
              <w:rFonts w:asciiTheme="minorHAnsi" w:eastAsiaTheme="minorEastAsia" w:hAnsiTheme="minorHAnsi"/>
              <w:noProof/>
              <w:sz w:val="22"/>
              <w:lang w:eastAsia="pl-PL"/>
            </w:rPr>
          </w:pPr>
          <w:hyperlink w:anchor="_Toc61804459" w:history="1">
            <w:r w:rsidR="00C32FCD" w:rsidRPr="006230BE">
              <w:rPr>
                <w:rStyle w:val="Hipercze"/>
                <w:noProof/>
              </w:rPr>
              <w:t>V. Inne źródła.</w:t>
            </w:r>
            <w:r w:rsidR="00C32FCD">
              <w:rPr>
                <w:noProof/>
                <w:webHidden/>
              </w:rPr>
              <w:tab/>
            </w:r>
            <w:r w:rsidR="00C32FCD">
              <w:rPr>
                <w:noProof/>
                <w:webHidden/>
              </w:rPr>
              <w:fldChar w:fldCharType="begin"/>
            </w:r>
            <w:r w:rsidR="00C32FCD">
              <w:rPr>
                <w:noProof/>
                <w:webHidden/>
              </w:rPr>
              <w:instrText xml:space="preserve"> PAGEREF _Toc61804459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C47F4A4" w14:textId="4983AB7E" w:rsidR="00C32FCD" w:rsidRDefault="00607656">
          <w:pPr>
            <w:pStyle w:val="Spistreci1"/>
            <w:rPr>
              <w:rFonts w:asciiTheme="minorHAnsi" w:eastAsiaTheme="minorEastAsia" w:hAnsiTheme="minorHAnsi" w:cstheme="minorBidi"/>
              <w:b w:val="0"/>
              <w:sz w:val="22"/>
              <w:szCs w:val="22"/>
              <w:lang w:eastAsia="pl-PL"/>
            </w:rPr>
          </w:pPr>
          <w:hyperlink w:anchor="_Toc61804460" w:history="1">
            <w:r w:rsidR="00C32FCD" w:rsidRPr="006230BE">
              <w:rPr>
                <w:rStyle w:val="Hipercze"/>
              </w:rPr>
              <w:t>Spis wykresów.</w:t>
            </w:r>
            <w:r w:rsidR="00C32FCD">
              <w:rPr>
                <w:webHidden/>
              </w:rPr>
              <w:tab/>
            </w:r>
            <w:r w:rsidR="00C32FCD">
              <w:rPr>
                <w:webHidden/>
              </w:rPr>
              <w:fldChar w:fldCharType="begin"/>
            </w:r>
            <w:r w:rsidR="00C32FCD">
              <w:rPr>
                <w:webHidden/>
              </w:rPr>
              <w:instrText xml:space="preserve"> PAGEREF _Toc61804460 \h </w:instrText>
            </w:r>
            <w:r w:rsidR="00C32FCD">
              <w:rPr>
                <w:webHidden/>
              </w:rPr>
            </w:r>
            <w:r w:rsidR="00C32FCD">
              <w:rPr>
                <w:webHidden/>
              </w:rPr>
              <w:fldChar w:fldCharType="separate"/>
            </w:r>
            <w:r w:rsidR="00C32FCD">
              <w:rPr>
                <w:webHidden/>
              </w:rPr>
              <w:t>- 57 -</w:t>
            </w:r>
            <w:r w:rsidR="00C32FCD">
              <w:rPr>
                <w:webHidden/>
              </w:rPr>
              <w:fldChar w:fldCharType="end"/>
            </w:r>
          </w:hyperlink>
        </w:p>
        <w:p w14:paraId="0F810428" w14:textId="3ADB1D00" w:rsidR="00C32FCD" w:rsidRDefault="00607656">
          <w:pPr>
            <w:pStyle w:val="Spistreci1"/>
            <w:rPr>
              <w:rFonts w:asciiTheme="minorHAnsi" w:eastAsiaTheme="minorEastAsia" w:hAnsiTheme="minorHAnsi" w:cstheme="minorBidi"/>
              <w:b w:val="0"/>
              <w:sz w:val="22"/>
              <w:szCs w:val="22"/>
              <w:lang w:eastAsia="pl-PL"/>
            </w:rPr>
          </w:pPr>
          <w:hyperlink w:anchor="_Toc61804461" w:history="1">
            <w:r w:rsidR="00C32FCD" w:rsidRPr="006230BE">
              <w:rPr>
                <w:rStyle w:val="Hipercze"/>
              </w:rPr>
              <w:t>Spis tabel.</w:t>
            </w:r>
            <w:r w:rsidR="00C32FCD">
              <w:rPr>
                <w:webHidden/>
              </w:rPr>
              <w:tab/>
            </w:r>
            <w:r w:rsidR="00C32FCD">
              <w:rPr>
                <w:webHidden/>
              </w:rPr>
              <w:fldChar w:fldCharType="begin"/>
            </w:r>
            <w:r w:rsidR="00C32FCD">
              <w:rPr>
                <w:webHidden/>
              </w:rPr>
              <w:instrText xml:space="preserve"> PAGEREF _Toc61804461 \h </w:instrText>
            </w:r>
            <w:r w:rsidR="00C32FCD">
              <w:rPr>
                <w:webHidden/>
              </w:rPr>
            </w:r>
            <w:r w:rsidR="00C32FCD">
              <w:rPr>
                <w:webHidden/>
              </w:rPr>
              <w:fldChar w:fldCharType="separate"/>
            </w:r>
            <w:r w:rsidR="00C32FCD">
              <w:rPr>
                <w:webHidden/>
              </w:rPr>
              <w:t>- 57 -</w:t>
            </w:r>
            <w:r w:rsidR="00C32FCD">
              <w:rPr>
                <w:webHidden/>
              </w:rPr>
              <w:fldChar w:fldCharType="end"/>
            </w:r>
          </w:hyperlink>
        </w:p>
        <w:p w14:paraId="63893E6F" w14:textId="2E989B10" w:rsidR="00C32FCD" w:rsidRDefault="00607656">
          <w:pPr>
            <w:pStyle w:val="Spistreci1"/>
            <w:rPr>
              <w:rFonts w:asciiTheme="minorHAnsi" w:eastAsiaTheme="minorEastAsia" w:hAnsiTheme="minorHAnsi" w:cstheme="minorBidi"/>
              <w:b w:val="0"/>
              <w:sz w:val="22"/>
              <w:szCs w:val="22"/>
              <w:lang w:eastAsia="pl-PL"/>
            </w:rPr>
          </w:pPr>
          <w:hyperlink w:anchor="_Toc61804462" w:history="1">
            <w:r w:rsidR="00C32FCD" w:rsidRPr="006230BE">
              <w:rPr>
                <w:rStyle w:val="Hipercze"/>
              </w:rPr>
              <w:t>Streszczenie.</w:t>
            </w:r>
            <w:r w:rsidR="00C32FCD">
              <w:rPr>
                <w:webHidden/>
              </w:rPr>
              <w:tab/>
            </w:r>
            <w:r w:rsidR="00C32FCD">
              <w:rPr>
                <w:webHidden/>
              </w:rPr>
              <w:fldChar w:fldCharType="begin"/>
            </w:r>
            <w:r w:rsidR="00C32FCD">
              <w:rPr>
                <w:webHidden/>
              </w:rPr>
              <w:instrText xml:space="preserve"> PAGEREF _Toc61804462 \h </w:instrText>
            </w:r>
            <w:r w:rsidR="00C32FCD">
              <w:rPr>
                <w:webHidden/>
              </w:rPr>
            </w:r>
            <w:r w:rsidR="00C32FCD">
              <w:rPr>
                <w:webHidden/>
              </w:rPr>
              <w:fldChar w:fldCharType="separate"/>
            </w:r>
            <w:r w:rsidR="00C32FCD">
              <w:rPr>
                <w:webHidden/>
              </w:rPr>
              <w:t>- 58 -</w:t>
            </w:r>
            <w:r w:rsidR="00C32FCD">
              <w:rPr>
                <w:webHidden/>
              </w:rPr>
              <w:fldChar w:fldCharType="end"/>
            </w:r>
          </w:hyperlink>
        </w:p>
        <w:p w14:paraId="648F79F3" w14:textId="232D023E" w:rsidR="00677FA5" w:rsidRDefault="00677FA5" w:rsidP="00983F85">
          <w:pPr>
            <w:spacing w:line="360" w:lineRule="auto"/>
            <w:jc w:val="both"/>
          </w:pPr>
          <w:r w:rsidRPr="00596C98">
            <w:rPr>
              <w:rFonts w:cs="Times New Roman"/>
              <w:b/>
              <w:bCs/>
              <w:szCs w:val="24"/>
            </w:rPr>
            <w:lastRenderedPageBreak/>
            <w:fldChar w:fldCharType="end"/>
          </w:r>
        </w:p>
      </w:sdtContent>
    </w:sdt>
    <w:p w14:paraId="4B6611F8" w14:textId="77777777" w:rsidR="009810AE" w:rsidRDefault="009810AE">
      <w:pPr>
        <w:spacing w:after="160"/>
        <w:rPr>
          <w:rFonts w:eastAsiaTheme="majorEastAsia" w:cs="Times New Roman"/>
          <w:b/>
          <w:bCs/>
          <w:szCs w:val="24"/>
          <w:shd w:val="clear" w:color="auto" w:fill="FFFFFF"/>
        </w:rPr>
      </w:pPr>
      <w:r>
        <w:rPr>
          <w:rFonts w:cs="Times New Roman"/>
          <w:szCs w:val="24"/>
          <w:shd w:val="clear" w:color="auto" w:fill="FFFFFF"/>
        </w:rPr>
        <w:br w:type="page"/>
      </w:r>
    </w:p>
    <w:p w14:paraId="751E98D3" w14:textId="71C27096" w:rsidR="002F652E" w:rsidRPr="00983F85" w:rsidRDefault="00F24841" w:rsidP="00566FBB">
      <w:pPr>
        <w:pStyle w:val="Nagwek1"/>
        <w:spacing w:line="360" w:lineRule="auto"/>
        <w:jc w:val="both"/>
        <w:rPr>
          <w:rFonts w:cs="Times New Roman"/>
          <w:b w:val="0"/>
          <w:color w:val="000000"/>
          <w:szCs w:val="24"/>
          <w:shd w:val="clear" w:color="auto" w:fill="FFFFFF"/>
        </w:rPr>
      </w:pPr>
      <w:bookmarkStart w:id="1" w:name="_Toc61804434"/>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1"/>
    </w:p>
    <w:p w14:paraId="6B7219E8" w14:textId="0DB2D001" w:rsidR="00F24841" w:rsidRPr="00983F85" w:rsidRDefault="00764ACB" w:rsidP="00566FBB">
      <w:pPr>
        <w:pStyle w:val="Nagwek2"/>
        <w:spacing w:line="360" w:lineRule="auto"/>
        <w:jc w:val="both"/>
        <w:rPr>
          <w:rFonts w:cs="Times New Roman"/>
          <w:szCs w:val="24"/>
        </w:rPr>
      </w:pPr>
      <w:bookmarkStart w:id="2" w:name="_Toc61804435"/>
      <w:r w:rsidRPr="00983F85">
        <w:rPr>
          <w:rFonts w:cs="Times New Roman"/>
          <w:szCs w:val="24"/>
        </w:rPr>
        <w:t>Uzasadnienie wyboru tematu</w:t>
      </w:r>
      <w:r w:rsidR="0049131D">
        <w:rPr>
          <w:rFonts w:cs="Times New Roman"/>
          <w:szCs w:val="24"/>
        </w:rPr>
        <w:t>.</w:t>
      </w:r>
      <w:bookmarkEnd w:id="2"/>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3" w:name="_Toc61804436"/>
      <w:r w:rsidRPr="00983F85">
        <w:rPr>
          <w:rFonts w:cs="Times New Roman"/>
          <w:szCs w:val="24"/>
        </w:rPr>
        <w:t>Struktura pracy:</w:t>
      </w:r>
      <w:bookmarkEnd w:id="3"/>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4" w:name="_Toc61804437"/>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4"/>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5" w:name="_Toc61804438"/>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5"/>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6" w:name="_Toc61804439"/>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6"/>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0B0B3C0B" w14:textId="77777777" w:rsidR="00F117A8" w:rsidRDefault="00D65C81" w:rsidP="00F117A8">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54C0FF33" w:rsidR="00D65C81" w:rsidRPr="00983F85" w:rsidRDefault="00D127C2" w:rsidP="00F117A8">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30CBD1EB"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50817E51" w:rsidR="007F7573" w:rsidRDefault="007F7573" w:rsidP="00983F85">
      <w:pPr>
        <w:pStyle w:val="Legenda"/>
        <w:keepNext/>
        <w:spacing w:line="360" w:lineRule="auto"/>
        <w:jc w:val="both"/>
        <w:rPr>
          <w:rFonts w:cs="Times New Roman"/>
          <w:i w:val="0"/>
          <w:color w:val="auto"/>
          <w:sz w:val="24"/>
          <w:szCs w:val="24"/>
        </w:rPr>
      </w:pPr>
      <w:bookmarkStart w:id="7" w:name="_Toc62166166"/>
      <w:r w:rsidRPr="00983F85">
        <w:rPr>
          <w:rFonts w:cs="Times New Roman"/>
          <w:i w:val="0"/>
          <w:color w:val="auto"/>
          <w:sz w:val="24"/>
          <w:szCs w:val="24"/>
        </w:rPr>
        <w:t xml:space="preserve">Wykres </w:t>
      </w:r>
      <w:r w:rsidR="008F0CFB">
        <w:rPr>
          <w:rFonts w:cs="Times New Roman"/>
          <w:i w:val="0"/>
          <w:color w:val="auto"/>
          <w:sz w:val="24"/>
          <w:szCs w:val="24"/>
        </w:rPr>
        <w:fldChar w:fldCharType="begin"/>
      </w:r>
      <w:r w:rsidR="008F0CFB">
        <w:rPr>
          <w:rFonts w:cs="Times New Roman"/>
          <w:i w:val="0"/>
          <w:color w:val="auto"/>
          <w:sz w:val="24"/>
          <w:szCs w:val="24"/>
        </w:rPr>
        <w:instrText xml:space="preserve"> SEQ Wykres \* ARABIC </w:instrText>
      </w:r>
      <w:r w:rsidR="008F0CFB">
        <w:rPr>
          <w:rFonts w:cs="Times New Roman"/>
          <w:i w:val="0"/>
          <w:color w:val="auto"/>
          <w:sz w:val="24"/>
          <w:szCs w:val="24"/>
        </w:rPr>
        <w:fldChar w:fldCharType="separate"/>
      </w:r>
      <w:r w:rsidR="00082597">
        <w:rPr>
          <w:rFonts w:cs="Times New Roman"/>
          <w:i w:val="0"/>
          <w:noProof/>
          <w:color w:val="auto"/>
          <w:sz w:val="24"/>
          <w:szCs w:val="24"/>
        </w:rPr>
        <w:t>1</w:t>
      </w:r>
      <w:r w:rsidR="008F0CFB">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7"/>
    </w:p>
    <w:p w14:paraId="26E06992" w14:textId="77A8E6A2" w:rsidR="007F7573" w:rsidRDefault="00133CF6" w:rsidP="00133CF6">
      <w:pPr>
        <w:jc w:val="center"/>
        <w:rPr>
          <w:rFonts w:cs="Times New Roman"/>
          <w:szCs w:val="24"/>
        </w:rPr>
      </w:pPr>
      <w:r>
        <w:rPr>
          <w:noProof/>
        </w:rPr>
        <w:drawing>
          <wp:inline distT="0" distB="0" distL="0" distR="0" wp14:anchorId="53309B3E" wp14:editId="556AC689">
            <wp:extent cx="4495800" cy="293773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zba_likwidacji_upadlosci.png"/>
                    <pic:cNvPicPr/>
                  </pic:nvPicPr>
                  <pic:blipFill>
                    <a:blip r:embed="rId9">
                      <a:extLst>
                        <a:ext uri="{28A0092B-C50C-407E-A947-70E740481C1C}">
                          <a14:useLocalDpi xmlns:a14="http://schemas.microsoft.com/office/drawing/2010/main" val="0"/>
                        </a:ext>
                      </a:extLst>
                    </a:blip>
                    <a:stretch>
                      <a:fillRect/>
                    </a:stretch>
                  </pic:blipFill>
                  <pic:spPr>
                    <a:xfrm>
                      <a:off x="0" y="0"/>
                      <a:ext cx="4518600" cy="2952629"/>
                    </a:xfrm>
                    <a:prstGeom prst="rect">
                      <a:avLst/>
                    </a:prstGeom>
                  </pic:spPr>
                </pic:pic>
              </a:graphicData>
            </a:graphic>
          </wp:inline>
        </w:drawing>
      </w:r>
    </w:p>
    <w:p w14:paraId="25A4CF83" w14:textId="77777777" w:rsidR="006B0A6C" w:rsidRPr="00983F85" w:rsidRDefault="006B0A6C" w:rsidP="00133CF6">
      <w:pPr>
        <w:jc w:val="center"/>
        <w:rPr>
          <w:rFonts w:cs="Times New Roman"/>
          <w:szCs w:val="24"/>
        </w:rPr>
      </w:pP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8" w:name="_Toc61804440"/>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8"/>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t>
      </w:r>
      <w:r w:rsidRPr="00983F85">
        <w:rPr>
          <w:rFonts w:cs="Times New Roman"/>
          <w:szCs w:val="24"/>
        </w:rPr>
        <w:lastRenderedPageBreak/>
        <w:t xml:space="preserve">wypłacalności. </w:t>
      </w:r>
      <w:r w:rsidR="00192E3B">
        <w:rPr>
          <w:rFonts w:cs="Times New Roman"/>
          <w:szCs w:val="24"/>
        </w:rPr>
        <w:t xml:space="preserve">Obecnie </w:t>
      </w:r>
      <w:r w:rsidRPr="00983F85">
        <w:rPr>
          <w:rFonts w:cs="Times New Roman"/>
          <w:szCs w:val="24"/>
        </w:rPr>
        <w:t>sprawdzenie rzetelności partnerów biznesowych jest koniecznością, 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9" w:name="_Toc61804441"/>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9"/>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0" w:name="_Toc61804442"/>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0"/>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1" w:name="_Toc61804443"/>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1"/>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2" w:name="_Toc61804444"/>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2"/>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3" w:name="_Toc61804445"/>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3"/>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w:t>
      </w:r>
      <w:proofErr w:type="spellStart"/>
      <w:r>
        <w:t>Label</w:t>
      </w:r>
      <w:proofErr w:type="spellEnd"/>
      <w:r>
        <w:t>”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7777493B" w14:textId="60B60CD0" w:rsidR="00DC0446" w:rsidRPr="006627D2" w:rsidRDefault="000D7664" w:rsidP="006627D2">
      <w:pPr>
        <w:pStyle w:val="Akapitzlist"/>
        <w:numPr>
          <w:ilvl w:val="0"/>
          <w:numId w:val="16"/>
        </w:numPr>
        <w:spacing w:line="360" w:lineRule="auto"/>
        <w:jc w:val="both"/>
      </w:pPr>
      <w:r>
        <w:t>1 – dla firm, które zakończyły działalność g</w:t>
      </w:r>
      <w:r w:rsidR="00E82F64">
        <w:t>ospodarczą w badanym okresie (35,9%).</w:t>
      </w:r>
    </w:p>
    <w:p w14:paraId="1FEC93AB" w14:textId="3F7EA0B9" w:rsidR="00DC0446" w:rsidRPr="00DC0446" w:rsidRDefault="00DC0446" w:rsidP="00DC0446">
      <w:pPr>
        <w:pStyle w:val="Legenda"/>
        <w:keepNext/>
        <w:rPr>
          <w:i w:val="0"/>
          <w:iCs w:val="0"/>
          <w:color w:val="auto"/>
          <w:sz w:val="24"/>
          <w:szCs w:val="24"/>
        </w:rPr>
      </w:pPr>
      <w:bookmarkStart w:id="14" w:name="_Toc62166167"/>
      <w:r w:rsidRPr="00DC0446">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2</w:t>
      </w:r>
      <w:r w:rsidR="008F0CFB">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4"/>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w:t>
      </w:r>
      <w:r w:rsidR="00541252">
        <w:rPr>
          <w:rFonts w:cs="Times New Roman"/>
          <w:bCs/>
        </w:rPr>
        <w:lastRenderedPageBreak/>
        <w:t xml:space="preserve">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12F04F7A" w:rsidR="006B1C83" w:rsidRPr="006B1C83" w:rsidRDefault="006B1C83" w:rsidP="006B1C83">
      <w:pPr>
        <w:pStyle w:val="Legenda"/>
        <w:keepNext/>
        <w:rPr>
          <w:i w:val="0"/>
          <w:iCs w:val="0"/>
          <w:color w:val="auto"/>
          <w:sz w:val="24"/>
          <w:szCs w:val="24"/>
        </w:rPr>
      </w:pPr>
      <w:bookmarkStart w:id="15" w:name="_Toc62167793"/>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A76947">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bookmarkEnd w:id="15"/>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sidR="00042F31">
              <w:rPr>
                <w:rFonts w:eastAsia="Times New Roman"/>
                <w:b/>
                <w:szCs w:val="32"/>
              </w:rPr>
              <w:t>nominalne</w:t>
            </w:r>
            <w:proofErr w:type="spellEnd"/>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Voivodeship</w:t>
            </w:r>
            <w:proofErr w:type="spellEnd"/>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EMISLegalForm</w:t>
            </w:r>
            <w:proofErr w:type="spellEnd"/>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w:t>
            </w:r>
            <w:r>
              <w:rPr>
                <w:rFonts w:eastAsia="Times New Roman"/>
                <w:sz w:val="20"/>
                <w:szCs w:val="20"/>
                <w:lang w:val="pl-PL"/>
              </w:rPr>
              <w:lastRenderedPageBreak/>
              <w:t>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roofErr w:type="spellEnd"/>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w:t>
            </w:r>
            <w:r w:rsidR="00FC7879">
              <w:rPr>
                <w:rFonts w:eastAsia="Times New Roman"/>
                <w:sz w:val="20"/>
                <w:szCs w:val="20"/>
                <w:lang w:val="pl-PL"/>
              </w:rPr>
              <w:t>OwnershipForm</w:t>
            </w:r>
            <w:proofErr w:type="spellEnd"/>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MainPKD</w:t>
            </w:r>
            <w:proofErr w:type="spellEnd"/>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MainNAICSCodes</w:t>
            </w:r>
            <w:proofErr w:type="spellEnd"/>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proofErr w:type="spellStart"/>
            <w:r w:rsidRPr="00786E4F">
              <w:rPr>
                <w:rFonts w:eastAsia="Times New Roman"/>
                <w:sz w:val="20"/>
                <w:szCs w:val="20"/>
                <w:lang w:val="pl-PL"/>
              </w:rPr>
              <w:t>North</w:t>
            </w:r>
            <w:proofErr w:type="spellEnd"/>
            <w:r w:rsidRPr="00786E4F">
              <w:rPr>
                <w:rFonts w:eastAsia="Times New Roman"/>
                <w:sz w:val="20"/>
                <w:szCs w:val="20"/>
                <w:lang w:val="pl-PL"/>
              </w:rPr>
              <w:t xml:space="preserve"> American </w:t>
            </w:r>
            <w:proofErr w:type="spellStart"/>
            <w:r w:rsidRPr="00786E4F">
              <w:rPr>
                <w:rFonts w:eastAsia="Times New Roman"/>
                <w:sz w:val="20"/>
                <w:szCs w:val="20"/>
                <w:lang w:val="pl-PL"/>
              </w:rPr>
              <w:t>Industry</w:t>
            </w:r>
            <w:proofErr w:type="spellEnd"/>
            <w:r w:rsidRPr="00786E4F">
              <w:rPr>
                <w:rFonts w:eastAsia="Times New Roman"/>
                <w:sz w:val="20"/>
                <w:szCs w:val="20"/>
                <w:lang w:val="pl-PL"/>
              </w:rPr>
              <w:t xml:space="preserve"> </w:t>
            </w:r>
            <w:proofErr w:type="spellStart"/>
            <w:r w:rsidRPr="00786E4F">
              <w:rPr>
                <w:rFonts w:eastAsia="Times New Roman"/>
                <w:sz w:val="20"/>
                <w:szCs w:val="20"/>
                <w:lang w:val="pl-PL"/>
              </w:rPr>
              <w:t>Classification</w:t>
            </w:r>
            <w:proofErr w:type="spellEnd"/>
            <w:r w:rsidRPr="00786E4F">
              <w:rPr>
                <w:rFonts w:eastAsia="Times New Roman"/>
                <w:sz w:val="20"/>
                <w:szCs w:val="20"/>
                <w:lang w:val="pl-PL"/>
              </w:rPr>
              <w:t xml:space="preserve">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RiskyMainPKD</w:t>
            </w:r>
            <w:proofErr w:type="spellEnd"/>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 xml:space="preserve">łówna działalność przedsiębiorstwa </w:t>
            </w:r>
            <w:r>
              <w:rPr>
                <w:rFonts w:eastAsia="Times New Roman"/>
                <w:sz w:val="20"/>
                <w:szCs w:val="20"/>
                <w:lang w:val="pl-PL"/>
              </w:rPr>
              <w:lastRenderedPageBreak/>
              <w:t>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lastRenderedPageBreak/>
              <w:t>RiskySecondaryPKDs</w:t>
            </w:r>
            <w:proofErr w:type="spellEnd"/>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NoWebsite</w:t>
            </w:r>
            <w:proofErr w:type="spellEnd"/>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PublicMail</w:t>
            </w:r>
            <w:proofErr w:type="spellEnd"/>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NoMail</w:t>
            </w:r>
            <w:proofErr w:type="spellEnd"/>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NoFax</w:t>
            </w:r>
            <w:proofErr w:type="spellEnd"/>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NoPhone</w:t>
            </w:r>
            <w:proofErr w:type="spellEnd"/>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NoDescription</w:t>
            </w:r>
            <w:proofErr w:type="spellEnd"/>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AdresVirtualOffice</w:t>
            </w:r>
            <w:proofErr w:type="spellEnd"/>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Adres</w:t>
            </w:r>
            <w:r w:rsidR="00B723DA">
              <w:rPr>
                <w:rFonts w:eastAsia="Times New Roman"/>
                <w:sz w:val="20"/>
                <w:szCs w:val="20"/>
                <w:lang w:val="pl-PL"/>
              </w:rPr>
              <w:t>Flat</w:t>
            </w:r>
            <w:proofErr w:type="spellEnd"/>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CAACImport</w:t>
            </w:r>
            <w:proofErr w:type="spellEnd"/>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w bazie danych CAAC znajdują się dane na </w:t>
            </w:r>
            <w:r>
              <w:rPr>
                <w:rFonts w:eastAsia="Times New Roman"/>
                <w:sz w:val="20"/>
                <w:szCs w:val="20"/>
                <w:lang w:val="pl-PL"/>
              </w:rPr>
              <w:lastRenderedPageBreak/>
              <w:t>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CAACExport</w:t>
            </w:r>
            <w:proofErr w:type="spellEnd"/>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EntityListedInVATRegistry</w:t>
            </w:r>
            <w:proofErr w:type="spellEnd"/>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VirtualAccountsPresence</w:t>
            </w:r>
            <w:proofErr w:type="spellEnd"/>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RiskyRemovalBasis</w:t>
            </w:r>
            <w:proofErr w:type="spellEnd"/>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w:t>
      </w:r>
      <w:proofErr w:type="spellStart"/>
      <w:r w:rsidR="009171EE">
        <w:rPr>
          <w:rFonts w:cs="Times New Roman"/>
          <w:bCs/>
        </w:rPr>
        <w:t>score</w:t>
      </w:r>
      <w:proofErr w:type="spellEnd"/>
      <w:r w:rsidR="009171EE">
        <w:rPr>
          <w:rFonts w:cs="Times New Roman"/>
          <w:bCs/>
        </w:rPr>
        <w:t>.</w:t>
      </w:r>
    </w:p>
    <w:p w14:paraId="1BCB9FCD" w14:textId="1CDC7B23" w:rsidR="001666E0" w:rsidRPr="002E60C3" w:rsidRDefault="001666E0" w:rsidP="001666E0">
      <w:pPr>
        <w:pStyle w:val="Legenda"/>
        <w:keepNext/>
        <w:rPr>
          <w:i w:val="0"/>
          <w:iCs w:val="0"/>
          <w:color w:val="auto"/>
          <w:sz w:val="24"/>
          <w:szCs w:val="24"/>
        </w:rPr>
      </w:pPr>
      <w:bookmarkStart w:id="16" w:name="_Toc62167794"/>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00A76947">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bookmarkEnd w:id="16"/>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Pr>
                <w:rFonts w:eastAsia="Times New Roman"/>
                <w:b/>
                <w:szCs w:val="32"/>
              </w:rPr>
              <w:t>ciągłe</w:t>
            </w:r>
            <w:proofErr w:type="spellEnd"/>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AgeDays</w:t>
            </w:r>
            <w:proofErr w:type="spellEnd"/>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LocalBranches</w:t>
            </w:r>
            <w:proofErr w:type="spellEnd"/>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SecondaryPKDCount</w:t>
            </w:r>
            <w:proofErr w:type="spellEnd"/>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ActiveLicenses</w:t>
            </w:r>
            <w:proofErr w:type="spellEnd"/>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RevertedLicenses</w:t>
            </w:r>
            <w:proofErr w:type="spellEnd"/>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ExpiredLicenses</w:t>
            </w:r>
            <w:proofErr w:type="spellEnd"/>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DeclaredAccountsCount</w:t>
            </w:r>
            <w:proofErr w:type="spellEnd"/>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RepresentationCount</w:t>
            </w:r>
            <w:proofErr w:type="spellEnd"/>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NumberOfEmployees</w:t>
            </w:r>
            <w:proofErr w:type="spellEnd"/>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ExecutivesCount</w:t>
            </w:r>
            <w:proofErr w:type="spellEnd"/>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OwnersCount</w:t>
            </w:r>
            <w:proofErr w:type="spellEnd"/>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AffiliatesCount</w:t>
            </w:r>
            <w:proofErr w:type="spellEnd"/>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ExternalIdsOthers</w:t>
            </w:r>
            <w:proofErr w:type="spellEnd"/>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RegisteredCapitalValue</w:t>
            </w:r>
            <w:proofErr w:type="spellEnd"/>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AuditDaysAgo</w:t>
            </w:r>
            <w:proofErr w:type="spellEnd"/>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PreviousNamesCount</w:t>
            </w:r>
            <w:proofErr w:type="spellEnd"/>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PreviousNameChangeYearsAgo</w:t>
            </w:r>
            <w:proofErr w:type="spellEnd"/>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LatestMarketCapitalization</w:t>
            </w:r>
            <w:proofErr w:type="spellEnd"/>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DividendSum</w:t>
            </w:r>
            <w:proofErr w:type="spellEnd"/>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NetSalesRevenue</w:t>
            </w:r>
            <w:proofErr w:type="spellEnd"/>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OperatingProfitEBIT</w:t>
            </w:r>
            <w:proofErr w:type="spellEnd"/>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EmployeeBenefitExpense</w:t>
            </w:r>
            <w:proofErr w:type="spellEnd"/>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TotalAssets</w:t>
            </w:r>
            <w:proofErr w:type="spellEnd"/>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NetProfitLossForThePeriod</w:t>
            </w:r>
            <w:proofErr w:type="spellEnd"/>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PropertyPlantAndEquipment</w:t>
            </w:r>
            <w:proofErr w:type="spellEnd"/>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0B6D4191" w:rsidR="008101E1" w:rsidRPr="00432DEB" w:rsidRDefault="00240D07"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virtual</w:t>
            </w:r>
            <w:r w:rsidR="008101E1" w:rsidRPr="00432DEB">
              <w:rPr>
                <w:rFonts w:eastAsia="Times New Roman"/>
                <w:sz w:val="20"/>
                <w:szCs w:val="20"/>
                <w:lang w:val="pl-PL"/>
              </w:rPr>
              <w:t>CashEquivalents</w:t>
            </w:r>
            <w:proofErr w:type="spellEnd"/>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TotalEquity</w:t>
            </w:r>
            <w:proofErr w:type="spellEnd"/>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IssuedCapital</w:t>
            </w:r>
            <w:proofErr w:type="spellEnd"/>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WorkingCapital</w:t>
            </w:r>
            <w:proofErr w:type="spellEnd"/>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RetainedEarnings</w:t>
            </w:r>
            <w:proofErr w:type="spellEnd"/>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TotalLiabilities</w:t>
            </w:r>
            <w:proofErr w:type="spellEnd"/>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CurrentLiabilities</w:t>
            </w:r>
            <w:proofErr w:type="spellEnd"/>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NonCurrentLiabilities</w:t>
            </w:r>
            <w:proofErr w:type="spellEnd"/>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ProfitBeforeIncomeTax</w:t>
            </w:r>
            <w:proofErr w:type="spellEnd"/>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IncomeTax</w:t>
            </w:r>
            <w:proofErr w:type="spellEnd"/>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DepreciationImpairment</w:t>
            </w:r>
            <w:proofErr w:type="spellEnd"/>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DepreciationAmortization</w:t>
            </w:r>
            <w:proofErr w:type="spellEnd"/>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CurrentAssets</w:t>
            </w:r>
            <w:proofErr w:type="spellEnd"/>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 xml:space="preserve">Wskaźnik rentowności kapitału własnego w roku finansowym poprzedzającym likwidację działalności lub pobranie danych według złożonego </w:t>
            </w:r>
            <w:r>
              <w:rPr>
                <w:rFonts w:eastAsia="Times New Roman"/>
                <w:sz w:val="20"/>
                <w:szCs w:val="20"/>
                <w:lang w:val="pl-PL"/>
              </w:rPr>
              <w:lastRenderedPageBreak/>
              <w:t>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proofErr w:type="spellStart"/>
            <w:r w:rsidRPr="00432DEB">
              <w:rPr>
                <w:rFonts w:eastAsia="Times New Roman"/>
                <w:sz w:val="20"/>
                <w:szCs w:val="20"/>
                <w:lang w:val="pl-PL"/>
              </w:rPr>
              <w:t>BruttoMargin</w:t>
            </w:r>
            <w:proofErr w:type="spellEnd"/>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proofErr w:type="spellStart"/>
            <w:r w:rsidRPr="00885F46">
              <w:rPr>
                <w:rFonts w:eastAsia="Times New Roman"/>
                <w:sz w:val="20"/>
                <w:szCs w:val="20"/>
                <w:lang w:val="pl-PL"/>
              </w:rPr>
              <w:t>OperatingProfitEBIT</w:t>
            </w:r>
            <w:proofErr w:type="spellEnd"/>
            <w:r>
              <w:rPr>
                <w:rFonts w:eastAsia="Times New Roman"/>
                <w:sz w:val="20"/>
                <w:szCs w:val="20"/>
                <w:lang w:val="pl-PL"/>
              </w:rPr>
              <w:t xml:space="preserve"> / </w:t>
            </w:r>
            <w:proofErr w:type="spellStart"/>
            <w:r w:rsidRPr="00885F46">
              <w:rPr>
                <w:rFonts w:eastAsia="Times New Roman"/>
                <w:sz w:val="20"/>
                <w:szCs w:val="20"/>
                <w:lang w:val="pl-PL"/>
              </w:rPr>
              <w:t>TotalAssets</w:t>
            </w:r>
            <w:proofErr w:type="spellEnd"/>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proofErr w:type="spellStart"/>
            <w:r>
              <w:rPr>
                <w:rFonts w:eastAsia="Times New Roman"/>
                <w:sz w:val="20"/>
                <w:szCs w:val="20"/>
              </w:rPr>
              <w:t>RevenueToCash</w:t>
            </w:r>
            <w:proofErr w:type="spellEnd"/>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proofErr w:type="spellStart"/>
            <w:r>
              <w:rPr>
                <w:rFonts w:eastAsia="Times New Roman"/>
                <w:sz w:val="20"/>
                <w:szCs w:val="20"/>
              </w:rPr>
              <w:t>RevenueToWages</w:t>
            </w:r>
            <w:proofErr w:type="spellEnd"/>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proofErr w:type="spellStart"/>
            <w:r>
              <w:rPr>
                <w:rFonts w:eastAsia="Times New Roman"/>
                <w:sz w:val="20"/>
                <w:szCs w:val="20"/>
                <w:lang w:val="pl-PL"/>
              </w:rPr>
              <w:t>WorkingCapital</w:t>
            </w:r>
            <w:proofErr w:type="spellEnd"/>
            <w:r>
              <w:rPr>
                <w:rFonts w:eastAsia="Times New Roman"/>
                <w:sz w:val="20"/>
                <w:szCs w:val="20"/>
                <w:lang w:val="pl-PL"/>
              </w:rPr>
              <w:t xml:space="preserve"> / </w:t>
            </w:r>
            <w:proofErr w:type="spellStart"/>
            <w:r>
              <w:rPr>
                <w:rFonts w:eastAsia="Times New Roman"/>
                <w:sz w:val="20"/>
                <w:szCs w:val="20"/>
                <w:lang w:val="pl-PL"/>
              </w:rPr>
              <w:t>TotalAssets</w:t>
            </w:r>
            <w:proofErr w:type="spellEnd"/>
            <w:r>
              <w:rPr>
                <w:rFonts w:eastAsia="Times New Roman"/>
                <w:sz w:val="20"/>
                <w:szCs w:val="20"/>
                <w:lang w:val="pl-PL"/>
              </w:rPr>
              <w:t xml:space="preserve">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proofErr w:type="spellStart"/>
            <w:r w:rsidRPr="00FE58C6">
              <w:rPr>
                <w:rFonts w:eastAsia="Times New Roman"/>
                <w:sz w:val="20"/>
                <w:szCs w:val="20"/>
                <w:lang w:val="pl-PL"/>
              </w:rPr>
              <w:t>RetainedEarnings</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TotalAssets</w:t>
            </w:r>
            <w:proofErr w:type="spellEnd"/>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OperatingProfitEBIT</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t>
            </w:r>
            <w:proofErr w:type="spellStart"/>
            <w:r>
              <w:rPr>
                <w:rFonts w:eastAsia="Times New Roman"/>
                <w:sz w:val="20"/>
                <w:szCs w:val="20"/>
                <w:lang w:val="pl-PL"/>
              </w:rPr>
              <w:t>efekywności</w:t>
            </w:r>
            <w:proofErr w:type="spellEnd"/>
            <w:r>
              <w:rPr>
                <w:rFonts w:eastAsia="Times New Roman"/>
                <w:sz w:val="20"/>
                <w:szCs w:val="20"/>
                <w:lang w:val="pl-PL"/>
              </w:rPr>
              <w:t xml:space="preserve"> operacyjnej, który mierzy wpływ zysków operacyjnych na rentowność długoterminową według danych z roku finansowego poprze</w:t>
            </w:r>
            <w:r>
              <w:rPr>
                <w:rFonts w:eastAsia="Times New Roman"/>
                <w:sz w:val="20"/>
                <w:szCs w:val="20"/>
                <w:lang w:val="pl-PL"/>
              </w:rPr>
              <w:lastRenderedPageBreak/>
              <w:t>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TotalEquity</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NetSalesRevenue</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w:t>
            </w:r>
            <w:proofErr w:type="spellStart"/>
            <w:r w:rsidRPr="00186DDC">
              <w:rPr>
                <w:rFonts w:eastAsia="Times New Roman"/>
                <w:sz w:val="20"/>
                <w:szCs w:val="20"/>
                <w:lang w:val="pl-PL"/>
              </w:rPr>
              <w:t>NetSalesRevenue</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DepreciationImpairment</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TotalLiabilities</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wksaźnik</w:t>
            </w:r>
            <w:proofErr w:type="spellEnd"/>
            <w:r w:rsidRPr="00186DDC">
              <w:rPr>
                <w:rFonts w:eastAsia="Times New Roman"/>
                <w:sz w:val="20"/>
                <w:szCs w:val="20"/>
                <w:lang w:val="pl-PL"/>
              </w:rPr>
              <w:t xml:space="preserve">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CurrentLiabilities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wartości aktywów razem do wartości zobowiązań według danych z roku finansowego poprzedzającego 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NetSalesRevenue</w:t>
            </w:r>
            <w:proofErr w:type="spellEnd"/>
            <w:r>
              <w:rPr>
                <w:rFonts w:eastAsia="Times New Roman"/>
                <w:sz w:val="20"/>
                <w:szCs w:val="20"/>
                <w:lang w:val="pl-PL"/>
              </w:rPr>
              <w:t xml:space="preserve"> – </w:t>
            </w:r>
            <w:r w:rsidRPr="001D27B0">
              <w:rPr>
                <w:rFonts w:eastAsia="Times New Roman"/>
                <w:sz w:val="20"/>
                <w:szCs w:val="20"/>
                <w:lang w:val="pl-PL"/>
              </w:rPr>
              <w:t>wskaźnik wartości przychodów przed opodatko</w:t>
            </w:r>
            <w:r w:rsidRPr="001D27B0">
              <w:rPr>
                <w:rFonts w:eastAsia="Times New Roman"/>
                <w:sz w:val="20"/>
                <w:szCs w:val="20"/>
                <w:lang w:val="pl-PL"/>
              </w:rPr>
              <w:lastRenderedPageBreak/>
              <w:t>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pochodzą modelu Z-</w:t>
      </w:r>
      <w:proofErr w:type="spellStart"/>
      <w:r w:rsidR="00B67196">
        <w:rPr>
          <w:rFonts w:ascii="Times New Roman" w:hAnsi="Times New Roman" w:cs="Times New Roman"/>
          <w:bCs/>
        </w:rPr>
        <w:t>score</w:t>
      </w:r>
      <w:proofErr w:type="spellEnd"/>
      <w:r w:rsidR="00B67196">
        <w:rPr>
          <w:rFonts w:ascii="Times New Roman" w:hAnsi="Times New Roman" w:cs="Times New Roman"/>
          <w:bCs/>
        </w:rPr>
        <w:t xml:space="preserv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46BDF590" w:rsidR="00333D72" w:rsidRPr="00333D72" w:rsidRDefault="00333D72" w:rsidP="00457789">
      <w:pPr>
        <w:pStyle w:val="Legenda"/>
        <w:keepNext/>
        <w:spacing w:line="360" w:lineRule="auto"/>
        <w:jc w:val="both"/>
        <w:rPr>
          <w:i w:val="0"/>
          <w:iCs w:val="0"/>
          <w:color w:val="auto"/>
          <w:sz w:val="24"/>
          <w:szCs w:val="24"/>
        </w:rPr>
      </w:pPr>
      <w:bookmarkStart w:id="17" w:name="_Toc62166168"/>
      <w:r w:rsidRPr="00333D72">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3</w:t>
      </w:r>
      <w:r w:rsidR="008F0CFB">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51B00CE4" w:rsidR="00734953" w:rsidRPr="00734953" w:rsidRDefault="00734953" w:rsidP="00734953">
      <w:pPr>
        <w:pStyle w:val="Legenda"/>
        <w:keepNext/>
        <w:spacing w:line="360" w:lineRule="auto"/>
        <w:jc w:val="both"/>
        <w:rPr>
          <w:i w:val="0"/>
          <w:iCs w:val="0"/>
          <w:color w:val="auto"/>
          <w:sz w:val="24"/>
          <w:szCs w:val="24"/>
        </w:rPr>
      </w:pPr>
      <w:bookmarkStart w:id="18" w:name="_Toc62166169"/>
      <w:r w:rsidRPr="00734953">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4</w:t>
      </w:r>
      <w:r w:rsidR="008F0CFB">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16A16DED" w:rsidR="00433642" w:rsidRPr="00433642" w:rsidRDefault="00433642" w:rsidP="00433642">
      <w:pPr>
        <w:pStyle w:val="Legenda"/>
        <w:keepNext/>
        <w:spacing w:line="360" w:lineRule="auto"/>
        <w:jc w:val="both"/>
        <w:rPr>
          <w:i w:val="0"/>
          <w:iCs w:val="0"/>
          <w:color w:val="auto"/>
          <w:sz w:val="24"/>
          <w:szCs w:val="24"/>
        </w:rPr>
      </w:pPr>
      <w:bookmarkStart w:id="19" w:name="_Toc62166170"/>
      <w:r w:rsidRPr="00433642">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5</w:t>
      </w:r>
      <w:r w:rsidR="008F0CFB">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804446"/>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4A7861F1"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sortuje w losowy sposób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755CBFCA" w:rsidR="00004CC5" w:rsidRPr="00420DA2" w:rsidRDefault="00004CC5" w:rsidP="0068259F">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Pr="00420DA2">
        <w:rPr>
          <w:rFonts w:ascii="Times New Roman" w:hAnsi="Times New Roman" w:cs="Times New Roman"/>
        </w:rPr>
        <w:t xml:space="preserve">. Nazywa się to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5EBB5B5F" w:rsidR="00420DA2" w:rsidRDefault="00004CC5" w:rsidP="00420DA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r w:rsidR="004A5902">
        <w:rPr>
          <w:rStyle w:val="Odwoanieprzypisudolnego"/>
          <w:rFonts w:ascii="Times New Roman" w:hAnsi="Times New Roman" w:cs="Times New Roman"/>
        </w:rPr>
        <w:footnoteReference w:id="27"/>
      </w:r>
      <w:r w:rsidR="00F02737">
        <w:rPr>
          <w:rFonts w:ascii="Times New Roman" w:hAnsi="Times New Roman" w:cs="Times New Roman"/>
        </w:rPr>
        <w:t>.</w:t>
      </w:r>
    </w:p>
    <w:p w14:paraId="07DBAB3B" w14:textId="24E0705D" w:rsidR="0036063C" w:rsidRPr="00420DA2" w:rsidRDefault="00420DA2" w:rsidP="00420DA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w:t>
      </w:r>
      <w:r w:rsidR="00240D07">
        <w:rPr>
          <w:rFonts w:ascii="Times New Roman" w:hAnsi="Times New Roman" w:cs="Times New Roman"/>
        </w:rPr>
        <w:t>4</w:t>
      </w:r>
      <w:r>
        <w:rPr>
          <w:rFonts w:ascii="Times New Roman" w:hAnsi="Times New Roman" w:cs="Times New Roman"/>
        </w:rPr>
        <w:t xml:space="preserve"> z nich, co oznacza, że ze startowego zbioru odrzucono 5</w:t>
      </w:r>
      <w:r w:rsidR="009138BE">
        <w:rPr>
          <w:rFonts w:ascii="Times New Roman" w:hAnsi="Times New Roman" w:cs="Times New Roman"/>
        </w:rPr>
        <w:t>6</w:t>
      </w:r>
      <w:r>
        <w:rPr>
          <w:rFonts w:ascii="Times New Roman" w:hAnsi="Times New Roman" w:cs="Times New Roman"/>
        </w:rPr>
        <w:t xml:space="preserve"> atrybuty.</w:t>
      </w:r>
      <w:r w:rsidR="009D60B3">
        <w:rPr>
          <w:rFonts w:ascii="Times New Roman" w:hAnsi="Times New Roman" w:cs="Times New Roman"/>
        </w:rPr>
        <w:t xml:space="preserve"> Opis oraz poszczególne kategorie dla każdej z nich przedstawiono w poprzednich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obrazuje poniższy wykres.</w:t>
      </w:r>
      <w:r w:rsidR="0036063C">
        <w:rPr>
          <w:rFonts w:cs="Times New Roman"/>
        </w:rPr>
        <w:br w:type="page"/>
      </w:r>
    </w:p>
    <w:p w14:paraId="49EB1839" w14:textId="66A63034" w:rsidR="00B02B81" w:rsidRDefault="00B02B81" w:rsidP="00B02B81">
      <w:pPr>
        <w:pStyle w:val="Legenda"/>
        <w:keepNext/>
        <w:rPr>
          <w:i w:val="0"/>
          <w:iCs w:val="0"/>
          <w:color w:val="auto"/>
          <w:sz w:val="24"/>
          <w:szCs w:val="24"/>
        </w:rPr>
      </w:pPr>
      <w:bookmarkStart w:id="22" w:name="_Toc62166171"/>
      <w:r w:rsidRPr="00B02B81">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6</w:t>
      </w:r>
      <w:r w:rsidR="008F0CFB">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bookmarkEnd w:id="22"/>
    </w:p>
    <w:p w14:paraId="0FE10368" w14:textId="7AA29AD1" w:rsidR="00A75C96" w:rsidRPr="00A75C96" w:rsidRDefault="00A75C96" w:rsidP="00A75C96">
      <w:pPr>
        <w:jc w:val="center"/>
      </w:pPr>
      <w:r>
        <w:rPr>
          <w:noProof/>
        </w:rPr>
        <w:drawing>
          <wp:inline distT="0" distB="0" distL="0" distR="0" wp14:anchorId="4B1A4F11" wp14:editId="5CA71B01">
            <wp:extent cx="5857875" cy="4663182"/>
            <wp:effectExtent l="0" t="0" r="0" b="444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uta1_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016" cy="4668866"/>
                    </a:xfrm>
                    <a:prstGeom prst="rect">
                      <a:avLst/>
                    </a:prstGeom>
                  </pic:spPr>
                </pic:pic>
              </a:graphicData>
            </a:graphic>
          </wp:inline>
        </w:drawing>
      </w:r>
    </w:p>
    <w:p w14:paraId="77CF4739" w14:textId="2EF46EF4" w:rsidR="00360A2C" w:rsidRDefault="00360A2C" w:rsidP="002143CC">
      <w:pPr>
        <w:pStyle w:val="Default"/>
        <w:spacing w:line="360" w:lineRule="auto"/>
        <w:rPr>
          <w:rFonts w:cs="Times New Roman"/>
        </w:rPr>
      </w:pPr>
    </w:p>
    <w:p w14:paraId="54C6137D" w14:textId="11C3E5FC" w:rsidR="002143CC" w:rsidRDefault="002143CC" w:rsidP="00A75C96">
      <w:pPr>
        <w:pStyle w:val="Default"/>
        <w:spacing w:line="360" w:lineRule="auto"/>
        <w:jc w:val="both"/>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p>
    <w:p w14:paraId="235AA840" w14:textId="4B5C2542" w:rsidR="00A75C96" w:rsidRPr="002143CC" w:rsidRDefault="00A75C96" w:rsidP="00A75C96">
      <w:pPr>
        <w:pStyle w:val="Default"/>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90E2454" wp14:editId="68B7DECD">
            <wp:extent cx="5638800" cy="5112902"/>
            <wp:effectExtent l="0" t="0" r="0"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uta2_fix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1089" cy="5114977"/>
                    </a:xfrm>
                    <a:prstGeom prst="rect">
                      <a:avLst/>
                    </a:prstGeom>
                  </pic:spPr>
                </pic:pic>
              </a:graphicData>
            </a:graphic>
          </wp:inline>
        </w:drawing>
      </w:r>
    </w:p>
    <w:p w14:paraId="152BF153" w14:textId="7BA1ADE3" w:rsidR="00860439" w:rsidRPr="00A75C96" w:rsidRDefault="00A75C96" w:rsidP="00A75C96">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istotności zmiennych na podstawie zastosowanego algorytmu. </w:t>
      </w:r>
    </w:p>
    <w:p w14:paraId="2278BBD0" w14:textId="77777777" w:rsidR="006B08C8" w:rsidRDefault="00D11310" w:rsidP="00860439">
      <w:pPr>
        <w:pStyle w:val="Default"/>
        <w:spacing w:line="360" w:lineRule="auto"/>
        <w:ind w:firstLine="708"/>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3C5459BB" w:rsidR="00D11310" w:rsidRDefault="002F6B27" w:rsidP="0032260C">
      <w:pPr>
        <w:pStyle w:val="Default"/>
        <w:spacing w:line="360" w:lineRule="auto"/>
        <w:ind w:firstLine="708"/>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intuicyjne i są zgodne z </w:t>
      </w:r>
      <w:r>
        <w:rPr>
          <w:rFonts w:ascii="Times New Roman" w:hAnsi="Times New Roman" w:cs="Times New Roman"/>
        </w:rPr>
        <w:lastRenderedPageBreak/>
        <w:t>wnioskami wyciągniętymi na etapie przeprowadzania analizy eksploracyjnej, która wykazała, że istnieje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769BA5A0" w:rsidR="0032260C" w:rsidRDefault="0032260C" w:rsidP="0032260C">
      <w:pPr>
        <w:pStyle w:val="Default"/>
        <w:spacing w:line="360" w:lineRule="auto"/>
        <w:ind w:firstLine="708"/>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p>
    <w:p w14:paraId="2D678425" w14:textId="44F9E5E0" w:rsidR="00860439" w:rsidRPr="00325A67" w:rsidRDefault="00860439" w:rsidP="0032260C">
      <w:pPr>
        <w:pStyle w:val="Default"/>
        <w:spacing w:line="360" w:lineRule="auto"/>
        <w:ind w:firstLine="708"/>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Dodatkowo, zastosowano również podejście iteracyjnego odrzucania zmiennych według ich malejącego wpływu wyliczonego przez algorytm. Modele budowano zatem z wykorzystaniem coraz mniejszej liczby atrybutów aż do ich wyczerpania.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bookmarkStart w:id="23" w:name="_Toc61804447"/>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3"/>
    </w:p>
    <w:p w14:paraId="32F12820" w14:textId="3C2B1E0E" w:rsidR="00360A2C" w:rsidRDefault="00360A2C" w:rsidP="00983F85">
      <w:pPr>
        <w:pStyle w:val="Nagwek2"/>
        <w:spacing w:line="360" w:lineRule="auto"/>
        <w:jc w:val="both"/>
        <w:rPr>
          <w:rFonts w:cs="Times New Roman"/>
          <w:szCs w:val="24"/>
        </w:rPr>
      </w:pPr>
      <w:bookmarkStart w:id="24" w:name="_Toc61804448"/>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w:t>
      </w:r>
      <w:proofErr w:type="spellStart"/>
      <w:r w:rsidR="003D0CC0">
        <w:rPr>
          <w:rFonts w:cs="Times New Roman"/>
          <w:szCs w:val="24"/>
        </w:rPr>
        <w:t>Boost</w:t>
      </w:r>
      <w:r w:rsidR="00337278">
        <w:rPr>
          <w:rFonts w:cs="Times New Roman"/>
          <w:szCs w:val="24"/>
        </w:rPr>
        <w:t>ing</w:t>
      </w:r>
      <w:proofErr w:type="spellEnd"/>
      <w:r w:rsidR="003D0CC0">
        <w:rPr>
          <w:rFonts w:cs="Times New Roman"/>
          <w:szCs w:val="24"/>
        </w:rPr>
        <w:t xml:space="preserve"> Machine</w:t>
      </w:r>
      <w:r w:rsidR="001326E1">
        <w:rPr>
          <w:rFonts w:cs="Times New Roman"/>
          <w:szCs w:val="24"/>
        </w:rPr>
        <w:t>.</w:t>
      </w:r>
      <w:bookmarkEnd w:id="24"/>
    </w:p>
    <w:p w14:paraId="5B079DA0" w14:textId="414A3991" w:rsidR="002A1A14" w:rsidRDefault="005A14A2" w:rsidP="005A14A2">
      <w:pPr>
        <w:spacing w:line="360" w:lineRule="auto"/>
        <w:jc w:val="both"/>
      </w:pPr>
      <w:r>
        <w:tab/>
        <w:t>Do zbudowania modelu klasyfikacyjnego wykorzystano 3 algorytmy uczenia maszynowego. Zastosowane algorytmy według literatury przedmiotu oraz doświadczenia biznesowego autora bardzo dobrze sprawdzają się do rozwiązywania problemów klasyfikacyjnych w przypadku, gdy w zbiorze danych znajduje się duża liczba zmiennych kategorycznych i numerycznych oraz gdy liczba obserwacji wielokrotnie przekracza liczbę atrybutów.</w:t>
      </w:r>
    </w:p>
    <w:p w14:paraId="578F4EC2" w14:textId="55170511" w:rsidR="004A1B2D" w:rsidRDefault="004A1B2D" w:rsidP="005A14A2">
      <w:pPr>
        <w:spacing w:line="360" w:lineRule="auto"/>
        <w:jc w:val="both"/>
      </w:pPr>
      <w:r>
        <w:tab/>
        <w:t>W pierwszej kolejności zbiór danych podzielono na część treningową oraz testową według proporcji 80%</w:t>
      </w:r>
      <w:r w:rsidR="008320C1">
        <w:t xml:space="preserve"> (41 752 obserwacji)</w:t>
      </w:r>
      <w:r>
        <w:t xml:space="preserve"> do 20%</w:t>
      </w:r>
      <w:r w:rsidR="008320C1">
        <w:t xml:space="preserve"> (10 438 obserwacji)</w:t>
      </w:r>
      <w:r>
        <w:t>.</w:t>
      </w:r>
      <w:r w:rsidR="003F6C7D">
        <w:t xml:space="preserve"> Podzbiór treningowy wykorzystywany jest do wytrenowania modelu, które na podstawie dostarczonych danych ma nauczyć się wykrywać powiązania między danymi i wpływ zmiennych objaśniających na zmienną celu. Podzbiór </w:t>
      </w:r>
      <w:r w:rsidR="008C5072">
        <w:t>testowy</w:t>
      </w:r>
      <w:r w:rsidR="003F6C7D">
        <w:t xml:space="preserve"> służy do </w:t>
      </w:r>
      <w:r w:rsidR="008C5072">
        <w:t>zapewnienia obiektywnej oceny dopasowania modelu do danych, poprzez wykorzystanie próbki danych, która nie została włączona do części treningowej i model nie mógł z niej skorzystać w celu uczenia się.</w:t>
      </w:r>
    </w:p>
    <w:p w14:paraId="4CDAC2D2" w14:textId="0638E36B" w:rsidR="00850AD5" w:rsidRDefault="00850AD5" w:rsidP="005A14A2">
      <w:pPr>
        <w:spacing w:line="360" w:lineRule="auto"/>
        <w:jc w:val="both"/>
      </w:pPr>
      <w:r>
        <w:tab/>
        <w:t xml:space="preserve">W celu zapewnienia odpowiednich warunków do uczenia i walidacji modelu w obu zbiorach zapewniono zbliżony rozkład zmiennej celu oraz rozkładu czasu, który upłynął od bankructwa firm. </w:t>
      </w:r>
      <w:r w:rsidR="007C05E6">
        <w:t xml:space="preserve">Rozkład czasu został wyliczony z maksymalną możliwą dokładnością liczoną w dniach. </w:t>
      </w:r>
      <w:r>
        <w:t xml:space="preserve">Zabieg ten zastosowano w celu uniknięcia różnic pomiędzy wynikami osiągniętymi na zbiorze treningowym i testowym, które mogą być wynikiem </w:t>
      </w:r>
      <w:r w:rsidR="00DA67D1">
        <w:t>nierównomiernego</w:t>
      </w:r>
      <w:r>
        <w:t xml:space="preserve"> rozkładu zmiennej celu w wyniku np. losowego podziału zbiorów.</w:t>
      </w:r>
    </w:p>
    <w:p w14:paraId="4CD0D5C0" w14:textId="310E1F41" w:rsidR="006A71E5" w:rsidRDefault="007D0151" w:rsidP="002A1A14">
      <w:pPr>
        <w:spacing w:line="360" w:lineRule="auto"/>
        <w:ind w:firstLine="708"/>
        <w:jc w:val="both"/>
      </w:pPr>
      <w:r>
        <w:t xml:space="preserve">Dodatkowo, </w:t>
      </w:r>
      <w:r w:rsidR="002A1A14">
        <w:t xml:space="preserve">zdefiniowana </w:t>
      </w:r>
      <w:r>
        <w:t xml:space="preserve">została </w:t>
      </w:r>
      <w:r w:rsidR="002A1A14">
        <w:t>początkow</w:t>
      </w:r>
      <w:r>
        <w:t>a</w:t>
      </w:r>
      <w:r w:rsidR="002A1A14">
        <w:t xml:space="preserve"> wartość ziarna </w:t>
      </w:r>
      <w:r>
        <w:t xml:space="preserve">(ang. </w:t>
      </w:r>
      <w:proofErr w:type="spellStart"/>
      <w:r>
        <w:t>seed</w:t>
      </w:r>
      <w:proofErr w:type="spellEnd"/>
      <w:r>
        <w:t xml:space="preserve">) </w:t>
      </w:r>
      <w:r w:rsidR="002A1A14">
        <w:t>w celu zapewnienia</w:t>
      </w:r>
      <w:r w:rsidR="002A1A14" w:rsidRPr="002A1A14">
        <w:t>, że za każdym razem generowany jest ten sam zestaw liczb losowych</w:t>
      </w:r>
      <w:r w:rsidR="002A1A14">
        <w:t xml:space="preserve"> i do zbiorów treningowego i testowego za każdym razem włączono te same obserwacje</w:t>
      </w:r>
      <w:r w:rsidR="002A1A14" w:rsidRPr="002A1A14">
        <w:t>. Takie postępowanie usu</w:t>
      </w:r>
      <w:r w:rsidR="002A1A14">
        <w:t>wa</w:t>
      </w:r>
      <w:r w:rsidR="002A1A14" w:rsidRPr="002A1A14">
        <w:t xml:space="preserve"> niepewność dotyczącą wyników modelowania i pom</w:t>
      </w:r>
      <w:r w:rsidR="002A1A14">
        <w:t>aga</w:t>
      </w:r>
      <w:r w:rsidR="002A1A14" w:rsidRPr="002A1A14">
        <w:t xml:space="preserve"> dokładnie ocenić </w:t>
      </w:r>
      <w:r w:rsidR="002A1A14">
        <w:t>jakość</w:t>
      </w:r>
      <w:r w:rsidR="002A1A14" w:rsidRPr="002A1A14">
        <w:t xml:space="preserve"> modelu</w:t>
      </w:r>
      <w:r w:rsidR="002A1A14">
        <w:t xml:space="preserve"> oraz porównać go z pozostałymi klasyfikatorami</w:t>
      </w:r>
      <w:r w:rsidR="002A1A14" w:rsidRPr="002A1A14">
        <w:t>.</w:t>
      </w:r>
    </w:p>
    <w:p w14:paraId="6D72E45E" w14:textId="77777777" w:rsidR="006B7DAC" w:rsidRDefault="00760A6B" w:rsidP="005A14A2">
      <w:pPr>
        <w:spacing w:line="360" w:lineRule="auto"/>
        <w:jc w:val="both"/>
      </w:pPr>
      <w:r>
        <w:tab/>
        <w:t xml:space="preserve">W pierwszej kolejności zastosowano algorytm </w:t>
      </w:r>
      <w:r w:rsidR="001E1B0D">
        <w:t xml:space="preserve">wzmocnionego drzewa decyzyjnego (ang. </w:t>
      </w:r>
      <w:r>
        <w:t xml:space="preserve">Gradient </w:t>
      </w:r>
      <w:proofErr w:type="spellStart"/>
      <w:r>
        <w:t>Boosting</w:t>
      </w:r>
      <w:proofErr w:type="spellEnd"/>
      <w:r>
        <w:t xml:space="preserve"> Machine). Jest to algorytm, który w ostatnich latach w środowisku uczenia maszynowego cieszy się dużą popularnością z powodu efektywności, stosunkowo szybkiego tempa wykonywania kalkulacji</w:t>
      </w:r>
      <w:r w:rsidR="00D40013">
        <w:t>, wysoką interpretowalność w porównaniu z algorytmami o podobnej skuteczności</w:t>
      </w:r>
      <w:r>
        <w:t xml:space="preserve"> oraz braku konieczności odpowiedniego przeprocesowania danych dostarczanych do modelowania.</w:t>
      </w:r>
      <w:r w:rsidR="001E1B0D">
        <w:t xml:space="preserve"> </w:t>
      </w:r>
      <w:r w:rsidR="00531FCC">
        <w:t xml:space="preserve">Do wad tej metody zaliczają się niska skalowalność </w:t>
      </w:r>
      <w:r w:rsidR="00531FCC">
        <w:lastRenderedPageBreak/>
        <w:t xml:space="preserve">(wysokie zużycie zasobów) oraz podatność na przeuczenie. </w:t>
      </w:r>
      <w:r w:rsidR="0012278C">
        <w:t>Algorytm jest zbudowany w oparciu o strukturę o drzewiastym kształcie.</w:t>
      </w:r>
    </w:p>
    <w:p w14:paraId="528308BE" w14:textId="32DB0E44" w:rsidR="00760A6B" w:rsidRDefault="0012278C" w:rsidP="009E4C53">
      <w:pPr>
        <w:spacing w:line="360" w:lineRule="auto"/>
        <w:ind w:firstLine="708"/>
        <w:jc w:val="both"/>
      </w:pPr>
      <w:r>
        <w:t>Proces wykonania klasyfikacji</w:t>
      </w:r>
      <w:r w:rsidR="008B4CCB">
        <w:t xml:space="preserve"> wykonywany jest w sposób iteracyjny. R</w:t>
      </w:r>
      <w:r>
        <w:t>ozpoczyna się</w:t>
      </w:r>
      <w:r w:rsidR="008B4CCB">
        <w:t xml:space="preserve"> on</w:t>
      </w:r>
      <w:r>
        <w:t xml:space="preserve"> od utworzenia korzenia drzewa aż do osiągnięcia poziomu liści, czyli tzw. klas terminalnych. </w:t>
      </w:r>
      <w:r w:rsidR="00E5467E">
        <w:t xml:space="preserve">W poszczególnych iteracjach tworzone są węzły, które powstają dzięki odpowiednio dobranym zmiennym tłumaczącym możliwie najlepiej badane zjawisko. Wykorzystane atrybuty są dodawane w kolejnych iteracjach w taki sposób, żeby maksymalizować zysk informacji </w:t>
      </w:r>
      <w:r w:rsidR="00EA10D7">
        <w:t xml:space="preserve">dla każdego węzła. </w:t>
      </w:r>
      <w:r w:rsidR="00684B95">
        <w:t>Proces jest powtarzany aż do momentu osiągnięcia żądanego stopnia rozbudowania drzewa, który może być definiowany np. maksymalną dopuszczalną głębokością lub minimalną liczbą obserwacji w każdym liściu.</w:t>
      </w:r>
      <w:r w:rsidR="00B17B5B">
        <w:t xml:space="preserve"> </w:t>
      </w:r>
      <w:r w:rsidR="00B17B5B" w:rsidRPr="00B17B5B">
        <w:t>Dodatkowym elementem</w:t>
      </w:r>
      <w:r w:rsidR="00B17B5B">
        <w:t xml:space="preserve"> dodanym do algorytmu, który wpływa na znaczną poprawę osiąganych wyników jest tzw.</w:t>
      </w:r>
      <w:r w:rsidR="00B17B5B" w:rsidRPr="00B17B5B">
        <w:t xml:space="preserve"> wzmocnienie (ang. </w:t>
      </w:r>
      <w:proofErr w:type="spellStart"/>
      <w:r w:rsidR="00B17B5B" w:rsidRPr="00B17B5B">
        <w:t>boosting</w:t>
      </w:r>
      <w:proofErr w:type="spellEnd"/>
      <w:r w:rsidR="00B17B5B" w:rsidRPr="00B17B5B">
        <w:t>)</w:t>
      </w:r>
      <w:r w:rsidR="00B17B5B">
        <w:t>. Zastosowana metoda polega</w:t>
      </w:r>
      <w:r w:rsidR="00B17B5B" w:rsidRPr="00B17B5B">
        <w:t xml:space="preserve"> na losowaniu nowych ciągów uczących</w:t>
      </w:r>
      <w:r w:rsidR="00B91AF8">
        <w:t xml:space="preserve">, które służą </w:t>
      </w:r>
      <w:r w:rsidR="00B17B5B" w:rsidRPr="00B17B5B">
        <w:t xml:space="preserve">do </w:t>
      </w:r>
      <w:r w:rsidR="00B91AF8">
        <w:t>trenowania</w:t>
      </w:r>
      <w:r w:rsidR="00B17B5B" w:rsidRPr="00B17B5B">
        <w:t xml:space="preserve"> kolejnych wersji klasyfikatorów</w:t>
      </w:r>
      <w:r w:rsidR="00B91AF8">
        <w:t xml:space="preserve"> zbudowanych przy użyciu wylosowanych parametrów</w:t>
      </w:r>
      <w:r w:rsidR="00B17B5B" w:rsidRPr="00B17B5B">
        <w:t>.</w:t>
      </w:r>
      <w:r w:rsidR="00B17B5B">
        <w:t xml:space="preserve"> </w:t>
      </w:r>
      <w:r w:rsidR="009D247F">
        <w:t>Oznacza to, że</w:t>
      </w:r>
      <w:r w:rsidR="00B17B5B" w:rsidRPr="00B17B5B">
        <w:t xml:space="preserve"> algorytm </w:t>
      </w:r>
      <w:r w:rsidR="009D247F">
        <w:t xml:space="preserve">tworzy </w:t>
      </w:r>
      <w:r w:rsidR="00B17B5B" w:rsidRPr="00B17B5B">
        <w:t xml:space="preserve">sekwencję </w:t>
      </w:r>
      <w:r w:rsidR="009D247F">
        <w:t>klasyfikatorów</w:t>
      </w:r>
      <w:r w:rsidR="00B17B5B" w:rsidRPr="00B17B5B">
        <w:t xml:space="preserve">. Każde nowe </w:t>
      </w:r>
      <w:r w:rsidR="00992A5B">
        <w:t xml:space="preserve">utworzone </w:t>
      </w:r>
      <w:r w:rsidR="00B17B5B" w:rsidRPr="00B17B5B">
        <w:t xml:space="preserve">drzewo </w:t>
      </w:r>
      <w:r w:rsidR="00992A5B">
        <w:t xml:space="preserve">bierze pod uwagę i </w:t>
      </w:r>
      <w:r w:rsidR="00B17B5B" w:rsidRPr="00B17B5B">
        <w:t>uczy się kompensować błąd pozostawiony przez poprzedni</w:t>
      </w:r>
      <w:r w:rsidR="00992A5B">
        <w:t xml:space="preserve"> model</w:t>
      </w:r>
      <w:r w:rsidR="00B17B5B" w:rsidRPr="00B17B5B">
        <w:t>.</w:t>
      </w:r>
      <w:r w:rsidR="008F774A">
        <w:t xml:space="preserve"> </w:t>
      </w:r>
      <w:r w:rsidR="002354EA">
        <w:t>Zbudowana w ten sposób duża liczba modeli o stosunkowo niskiej jakości skorygowana o wzajemny wpływa (wzmocniona) składa się na bardzo dokładny klasyfikator</w:t>
      </w:r>
      <w:r w:rsidR="003B7029">
        <w:rPr>
          <w:rStyle w:val="Odwoanieprzypisudolnego"/>
        </w:rPr>
        <w:footnoteReference w:id="28"/>
      </w:r>
      <w:r w:rsidR="002354EA">
        <w:t>.</w:t>
      </w:r>
    </w:p>
    <w:p w14:paraId="4E11F226" w14:textId="77777777" w:rsidR="00B16235" w:rsidRDefault="002E35F1" w:rsidP="009E4C53">
      <w:pPr>
        <w:spacing w:line="360" w:lineRule="auto"/>
        <w:ind w:firstLine="708"/>
        <w:jc w:val="both"/>
      </w:pPr>
      <w:r>
        <w:t>Z powodu stosunkowo krótkiego czasu oczekiwania na wstępne wyniki zwrócone przez model algorytm ten zastosowano w pierwszej kolejności, żeby ocenić potencjał zgromadzonych danych i zdecydować, czy możliwe jest zbudowanie na nich klasyfikatora o odpowiedniej jakości.</w:t>
      </w:r>
    </w:p>
    <w:p w14:paraId="08230998" w14:textId="200CF055" w:rsidR="00C96223" w:rsidRDefault="00C96223" w:rsidP="0007359A">
      <w:pPr>
        <w:spacing w:line="360" w:lineRule="auto"/>
        <w:ind w:firstLine="708"/>
        <w:jc w:val="both"/>
      </w:pPr>
      <w:r>
        <w:t xml:space="preserve">Za </w:t>
      </w:r>
      <w:r w:rsidR="008D794F">
        <w:t>podstawow</w:t>
      </w:r>
      <w:r w:rsidR="00F87A85">
        <w:t>y</w:t>
      </w:r>
      <w:r w:rsidR="008D794F">
        <w:t xml:space="preserve"> </w:t>
      </w:r>
      <w:r>
        <w:t xml:space="preserve">wskaźnik oceny jakości modelu zastosowano miarę </w:t>
      </w:r>
      <w:r w:rsidR="006A749A">
        <w:t xml:space="preserve">wartości </w:t>
      </w:r>
      <w:r>
        <w:t>AUC</w:t>
      </w:r>
      <w:r w:rsidR="006A749A">
        <w:t xml:space="preserve"> (</w:t>
      </w:r>
      <w:r w:rsidR="006A749A" w:rsidRPr="006A749A">
        <w:t xml:space="preserve">ang. </w:t>
      </w:r>
      <w:proofErr w:type="spellStart"/>
      <w:r w:rsidR="006A749A" w:rsidRPr="006A749A">
        <w:t>area</w:t>
      </w:r>
      <w:proofErr w:type="spellEnd"/>
      <w:r w:rsidR="006A749A" w:rsidRPr="006A749A">
        <w:t xml:space="preserve"> </w:t>
      </w:r>
      <w:proofErr w:type="spellStart"/>
      <w:r w:rsidR="006A749A" w:rsidRPr="006A749A">
        <w:t>under</w:t>
      </w:r>
      <w:proofErr w:type="spellEnd"/>
      <w:r w:rsidR="006A749A" w:rsidRPr="006A749A">
        <w:t xml:space="preserve"> the </w:t>
      </w:r>
      <w:proofErr w:type="spellStart"/>
      <w:r w:rsidR="006A749A" w:rsidRPr="006A749A">
        <w:t>curve</w:t>
      </w:r>
      <w:proofErr w:type="spellEnd"/>
      <w:r w:rsidR="006A749A" w:rsidRPr="006A749A">
        <w:t>)</w:t>
      </w:r>
      <w:r>
        <w:t xml:space="preserve"> </w:t>
      </w:r>
      <w:r w:rsidR="006A749A">
        <w:t xml:space="preserve">– pola </w:t>
      </w:r>
      <w:r w:rsidR="008D794F">
        <w:t>pod krzywą ROC</w:t>
      </w:r>
      <w:r w:rsidR="00F87A85">
        <w:t>, która jest podstawowym narzędziem wykorzystywanym do oceny jakości modeli klasyfikacyjnych. Jako drugą miarę do oceny modelu zastosowano</w:t>
      </w:r>
      <w:r w:rsidR="008D794F">
        <w:t xml:space="preserve"> </w:t>
      </w:r>
      <w:r>
        <w:t xml:space="preserve">zdolność </w:t>
      </w:r>
      <w:r w:rsidR="00F87A85">
        <w:t xml:space="preserve">klasyfikatora </w:t>
      </w:r>
      <w:r>
        <w:t xml:space="preserve">do rozpoznawania obserwacji pozytywnych wyrażoną odsetkiem wykrytych upadłych firm, które zostały zaklasyfikowane jako 75% próby </w:t>
      </w:r>
      <w:r w:rsidR="008D794F">
        <w:t xml:space="preserve">o </w:t>
      </w:r>
      <w:r>
        <w:t>prawdopodobieństwie przynależności do klasy reprezentującej podmioty, które zakończyły działalność gospodarczą.</w:t>
      </w:r>
      <w:r w:rsidR="00EF78BE">
        <w:t xml:space="preserve"> W kontekście biznesowym podstawowym wymaganie do możliwości zastosowania budowanego narzędzia i wniesienie wartości dodanej jest zapewnienie wy</w:t>
      </w:r>
      <w:r w:rsidR="00EF78BE">
        <w:lastRenderedPageBreak/>
        <w:t xml:space="preserve">sokiej zdolności do wykrywania obserwacji pozytywnych, czyli firm zagrożonych upadłością. Jest to podstawowe kryterium, które będzie dostarczało wartości osobom, które będą z niego korzystały. Skupienie możliwie wysokiego odsetka bankrutów w jak najmniejszej części populacji pozwala na przykład na bardziej dokładną weryfikację podmiotów wskazanych jako zagrożone lub oszczędzenie czasu poświęconego na ocenę wiarygodności badanej populacji poprzez zawężenie jej do podmiotów o wysokiej ocenie ryzyka. </w:t>
      </w:r>
      <w:r w:rsidR="00B16235">
        <w:t>Obydwa w</w:t>
      </w:r>
      <w:r w:rsidR="008D794F">
        <w:t xml:space="preserve">skaźniki zostały wyliczone </w:t>
      </w:r>
      <w:r w:rsidR="008D794F" w:rsidRPr="008D794F">
        <w:t>na zbiorach treningowym i testowym</w:t>
      </w:r>
      <w:r w:rsidR="008D794F">
        <w:t xml:space="preserve"> w celu weryfikacji, czy model nie jest przetrenowany lub niedotrenowany.</w:t>
      </w:r>
      <w:r w:rsidR="004565CF">
        <w:t xml:space="preserve"> Analogiczny schemat zastosowano później w do oceny modeli wytrenowanych przy użyciu pozostałych algorytmów.</w:t>
      </w:r>
    </w:p>
    <w:p w14:paraId="34A35E9A" w14:textId="77777777" w:rsidR="00917CF8" w:rsidRDefault="00C96223" w:rsidP="00C96223">
      <w:pPr>
        <w:spacing w:line="360" w:lineRule="auto"/>
        <w:ind w:firstLine="708"/>
        <w:jc w:val="both"/>
      </w:pPr>
      <w:r>
        <w:t>Po zbudowaniu początkowego modelu o standardowych wartościach parametrów bez próby ich optymalizacji okazało się, że model cechuje się zadowalającą jakością predykcji i zgromadzone dane i zmienne posiadają wystarczający potencjał do przeprowadzenia analizy.</w:t>
      </w:r>
    </w:p>
    <w:p w14:paraId="74B20D49" w14:textId="30F9D4B2" w:rsidR="00C96223" w:rsidRDefault="00C96223" w:rsidP="00C96223">
      <w:pPr>
        <w:spacing w:line="360" w:lineRule="auto"/>
        <w:ind w:firstLine="708"/>
        <w:jc w:val="both"/>
      </w:pPr>
      <w:r>
        <w:t>W związku z tym rozpoczęto tworzenie modeli w sposób iteracyjny w celu znalezieni</w:t>
      </w:r>
      <w:r w:rsidR="00F82E44">
        <w:t>a</w:t>
      </w:r>
      <w:r>
        <w:t xml:space="preserve"> optymalnych wartości parametrów takich jak:</w:t>
      </w:r>
    </w:p>
    <w:p w14:paraId="7A2C300F" w14:textId="024DF918" w:rsidR="00C71013" w:rsidRPr="00C71013" w:rsidRDefault="00C71013" w:rsidP="00C71013">
      <w:pPr>
        <w:pStyle w:val="Akapitzlist"/>
        <w:numPr>
          <w:ilvl w:val="0"/>
          <w:numId w:val="17"/>
        </w:numPr>
        <w:spacing w:line="360" w:lineRule="auto"/>
        <w:jc w:val="both"/>
      </w:pPr>
      <w:r w:rsidRPr="00C71013">
        <w:t>maksymalna głębokość drzew decyzyjnych (</w:t>
      </w:r>
      <w:r>
        <w:t xml:space="preserve">zakres </w:t>
      </w:r>
      <w:r w:rsidRPr="00C71013">
        <w:t>w</w:t>
      </w:r>
      <w:r>
        <w:t>artości od 1 do 3 z interwałem 1),</w:t>
      </w:r>
    </w:p>
    <w:p w14:paraId="10210AA6" w14:textId="5E22E851" w:rsidR="00C96223" w:rsidRPr="00C71013" w:rsidRDefault="00C71013" w:rsidP="00C71013">
      <w:pPr>
        <w:pStyle w:val="Akapitzlist"/>
        <w:numPr>
          <w:ilvl w:val="0"/>
          <w:numId w:val="17"/>
        </w:numPr>
        <w:spacing w:line="360" w:lineRule="auto"/>
        <w:jc w:val="both"/>
      </w:pPr>
      <w:r w:rsidRPr="00C71013">
        <w:t xml:space="preserve">zwiększenie szybkości uczenia się </w:t>
      </w:r>
      <w:r>
        <w:t xml:space="preserve">– </w:t>
      </w:r>
      <w:proofErr w:type="spellStart"/>
      <w:r w:rsidRPr="00C71013">
        <w:t>boosting</w:t>
      </w:r>
      <w:r w:rsidR="00C17521">
        <w:t>u</w:t>
      </w:r>
      <w:proofErr w:type="spellEnd"/>
      <w:r>
        <w:t xml:space="preserve"> (zakres wartości</w:t>
      </w:r>
      <w:r w:rsidR="00873ED2">
        <w:t xml:space="preserve"> od</w:t>
      </w:r>
      <w:r>
        <w:t xml:space="preserve"> 0,</w:t>
      </w:r>
      <w:r w:rsidR="00B51967">
        <w:t>0</w:t>
      </w:r>
      <w:r w:rsidR="006555A7">
        <w:t>1</w:t>
      </w:r>
      <w:r>
        <w:t xml:space="preserve"> do 0,25 z interwałem 0,01),</w:t>
      </w:r>
    </w:p>
    <w:p w14:paraId="5006BC00" w14:textId="14591825" w:rsidR="00356B2C" w:rsidRPr="00C71013" w:rsidRDefault="00C71013" w:rsidP="00C71013">
      <w:pPr>
        <w:pStyle w:val="Akapitzlist"/>
        <w:numPr>
          <w:ilvl w:val="0"/>
          <w:numId w:val="17"/>
        </w:numPr>
        <w:spacing w:line="360" w:lineRule="auto"/>
        <w:jc w:val="both"/>
      </w:pPr>
      <w:r w:rsidRPr="00C71013">
        <w:t xml:space="preserve">liczba </w:t>
      </w:r>
      <w:r>
        <w:t>drzew decyzyjnych zbudowanych podczas trenowania algorytmu (zakres wartości od 50 do 130 z interwałem 10)</w:t>
      </w:r>
      <w:r w:rsidR="000867CD">
        <w:rPr>
          <w:rStyle w:val="Odwoanieprzypisudolnego"/>
        </w:rPr>
        <w:footnoteReference w:id="29"/>
      </w:r>
      <w:r w:rsidR="000867CD">
        <w:t>.</w:t>
      </w:r>
    </w:p>
    <w:p w14:paraId="08E3DAC7" w14:textId="5DDE1A5D" w:rsidR="00C96223" w:rsidRDefault="00C96223" w:rsidP="00C96223">
      <w:pPr>
        <w:spacing w:line="360" w:lineRule="auto"/>
        <w:jc w:val="both"/>
      </w:pPr>
      <w:r w:rsidRPr="00C71013">
        <w:tab/>
      </w:r>
      <w:r w:rsidR="00DD52F0">
        <w:t>W tym celu z</w:t>
      </w:r>
      <w:r>
        <w:t>astosowano metodę</w:t>
      </w:r>
      <w:r w:rsidR="00DD52F0">
        <w:t xml:space="preserve"> przeszukiwania za pomocą siatki</w:t>
      </w:r>
      <w:r>
        <w:t xml:space="preserve"> </w:t>
      </w:r>
      <w:r w:rsidR="00DD52F0">
        <w:t xml:space="preserve">(ang. </w:t>
      </w:r>
      <w:proofErr w:type="spellStart"/>
      <w:r>
        <w:t>grid</w:t>
      </w:r>
      <w:proofErr w:type="spellEnd"/>
      <w:r>
        <w:t xml:space="preserve"> </w:t>
      </w:r>
      <w:proofErr w:type="spellStart"/>
      <w:r>
        <w:t>search</w:t>
      </w:r>
      <w:proofErr w:type="spellEnd"/>
      <w:r w:rsidR="00DD52F0">
        <w:t>)</w:t>
      </w:r>
      <w:r>
        <w:t>, czyli przeszukiwania możliwej przestrzeni</w:t>
      </w:r>
      <w:r w:rsidR="00DD52F0">
        <w:t xml:space="preserve"> wartości parametrów</w:t>
      </w:r>
      <w:r>
        <w:t xml:space="preserve"> w pętli od </w:t>
      </w:r>
      <w:r w:rsidR="00DD52F0">
        <w:t xml:space="preserve">zdefiniowanych </w:t>
      </w:r>
      <w:r>
        <w:t>minimalnej do maksymalnej wartości każdego parametru.</w:t>
      </w:r>
      <w:r w:rsidR="00356B2C">
        <w:t xml:space="preserve"> Modele tworzono zarówno przy użyciu wyłącznie zmiennych zatwierdzonych przez algorytm Boruta oraz na pełnym zbiorze.</w:t>
      </w:r>
      <w:r>
        <w:t xml:space="preserve"> Za najlepszy model uznano klasyfikator o najwyższych wartościach przyjętych kryteriów.</w:t>
      </w:r>
      <w:r w:rsidR="00DD52F0">
        <w:t xml:space="preserve"> Analogiczny schemat zastosowano w przypadku pozostałych wykorzystanych algorytmów.</w:t>
      </w:r>
    </w:p>
    <w:p w14:paraId="0AB9B6D9" w14:textId="544590B4" w:rsidR="00C96223" w:rsidRDefault="002A145E" w:rsidP="009E4C53">
      <w:pPr>
        <w:spacing w:line="360" w:lineRule="auto"/>
        <w:ind w:firstLine="708"/>
        <w:jc w:val="both"/>
      </w:pPr>
      <w:r>
        <w:t xml:space="preserve">Model o najlepszych wartościach kryteriów </w:t>
      </w:r>
      <w:r w:rsidR="005E3C10">
        <w:t xml:space="preserve">wykorzystanych do oceny </w:t>
      </w:r>
      <w:r>
        <w:t>został zbudowany przy wykorzystaniu zmiennych zaakceptowanych przez algorytm Boruta. Najlepsze wyniki osiągnięto dzięki zastosowaniu następujących wartości parametrów</w:t>
      </w:r>
      <w:r w:rsidR="00B51967">
        <w:t>:</w:t>
      </w:r>
    </w:p>
    <w:p w14:paraId="20101266" w14:textId="4DA1A3C8" w:rsidR="00B51967" w:rsidRPr="00C71013" w:rsidRDefault="00B51967" w:rsidP="00B51967">
      <w:pPr>
        <w:pStyle w:val="Akapitzlist"/>
        <w:numPr>
          <w:ilvl w:val="0"/>
          <w:numId w:val="17"/>
        </w:numPr>
        <w:spacing w:line="360" w:lineRule="auto"/>
        <w:jc w:val="both"/>
      </w:pPr>
      <w:r w:rsidRPr="00C71013">
        <w:t>maksymalna głębokość drzew decyzyjnych</w:t>
      </w:r>
      <w:r>
        <w:t>: 1</w:t>
      </w:r>
      <w:r w:rsidR="005E3C10">
        <w:t>,</w:t>
      </w:r>
    </w:p>
    <w:p w14:paraId="239E83AF" w14:textId="70537AF9" w:rsidR="00B51967" w:rsidRPr="00C71013" w:rsidRDefault="00B51967" w:rsidP="00B51967">
      <w:pPr>
        <w:pStyle w:val="Akapitzlist"/>
        <w:numPr>
          <w:ilvl w:val="0"/>
          <w:numId w:val="17"/>
        </w:numPr>
        <w:spacing w:line="360" w:lineRule="auto"/>
        <w:jc w:val="both"/>
      </w:pPr>
      <w:r w:rsidRPr="00C71013">
        <w:t>zwiększenie szybkości uczenia się</w:t>
      </w:r>
      <w:r>
        <w:t xml:space="preserve">: </w:t>
      </w:r>
      <w:r w:rsidR="005E3C10">
        <w:t>0,01,</w:t>
      </w:r>
    </w:p>
    <w:p w14:paraId="25D9887B" w14:textId="217F87BB" w:rsidR="005E3C10" w:rsidRDefault="00B51967" w:rsidP="00B51967">
      <w:pPr>
        <w:pStyle w:val="Akapitzlist"/>
        <w:numPr>
          <w:ilvl w:val="0"/>
          <w:numId w:val="17"/>
        </w:numPr>
        <w:spacing w:line="360" w:lineRule="auto"/>
        <w:jc w:val="both"/>
      </w:pPr>
      <w:r w:rsidRPr="00C71013">
        <w:t xml:space="preserve">liczba </w:t>
      </w:r>
      <w:r>
        <w:t>drzew decyzyjnych zbudowanych podczas trenowania algorytmu</w:t>
      </w:r>
      <w:r w:rsidR="005E3C10">
        <w:t>: 100</w:t>
      </w:r>
      <w:r w:rsidR="00386171">
        <w:t>.</w:t>
      </w:r>
    </w:p>
    <w:p w14:paraId="0FF7E874" w14:textId="4D239230" w:rsidR="000867CD" w:rsidRPr="00C71013" w:rsidRDefault="00607656" w:rsidP="00692044">
      <w:pPr>
        <w:spacing w:line="360" w:lineRule="auto"/>
        <w:ind w:firstLine="708"/>
        <w:jc w:val="both"/>
      </w:pPr>
      <w:r>
        <w:lastRenderedPageBreak/>
        <w:t xml:space="preserve">W celu porównania najlepszych modeli zbudowanych na podstawie poszczególnych algorytm utworzono tabele </w:t>
      </w:r>
      <w:r w:rsidR="00C453C2">
        <w:t xml:space="preserve">kontyngencji oraz wykreślono krzywe ROC oraz krzywe przedstawiające skuteczność modelu w kwestii predykcji obserwacji pozytywnych. </w:t>
      </w:r>
      <w:r w:rsidR="00840F8E">
        <w:t xml:space="preserve">Podsumowanie wyników osiągniętych przez </w:t>
      </w:r>
      <w:r w:rsidR="009D1843">
        <w:t xml:space="preserve">zbudowany </w:t>
      </w:r>
      <w:r w:rsidR="00840F8E">
        <w:t>model zostało przedstawione w poniższej tabeli</w:t>
      </w:r>
      <w:r w:rsidR="00EB6F1F">
        <w:rPr>
          <w:rStyle w:val="Odwoanieprzypisudolnego"/>
        </w:rPr>
        <w:footnoteReference w:id="30"/>
      </w:r>
      <w:r w:rsidR="00840F8E">
        <w:t>.</w:t>
      </w:r>
    </w:p>
    <w:p w14:paraId="399E31A5" w14:textId="69F928C3" w:rsidR="001E1F13" w:rsidRPr="001E1F13" w:rsidRDefault="001E1F13" w:rsidP="001E1F13">
      <w:pPr>
        <w:pStyle w:val="Legenda"/>
        <w:keepNext/>
        <w:spacing w:line="360" w:lineRule="auto"/>
        <w:jc w:val="both"/>
        <w:rPr>
          <w:i w:val="0"/>
          <w:iCs w:val="0"/>
          <w:color w:val="auto"/>
          <w:sz w:val="24"/>
          <w:szCs w:val="24"/>
        </w:rPr>
      </w:pPr>
      <w:bookmarkStart w:id="25" w:name="_Toc62167795"/>
      <w:r w:rsidRPr="001E1F13">
        <w:rPr>
          <w:i w:val="0"/>
          <w:iCs w:val="0"/>
          <w:color w:val="auto"/>
          <w:sz w:val="24"/>
          <w:szCs w:val="24"/>
        </w:rPr>
        <w:t xml:space="preserve">Tabela </w:t>
      </w:r>
      <w:r w:rsidRPr="001E1F13">
        <w:rPr>
          <w:i w:val="0"/>
          <w:iCs w:val="0"/>
          <w:color w:val="auto"/>
          <w:sz w:val="24"/>
          <w:szCs w:val="24"/>
        </w:rPr>
        <w:fldChar w:fldCharType="begin"/>
      </w:r>
      <w:r w:rsidRPr="001E1F13">
        <w:rPr>
          <w:i w:val="0"/>
          <w:iCs w:val="0"/>
          <w:color w:val="auto"/>
          <w:sz w:val="24"/>
          <w:szCs w:val="24"/>
        </w:rPr>
        <w:instrText xml:space="preserve"> SEQ Tabela \* ARABIC </w:instrText>
      </w:r>
      <w:r w:rsidRPr="001E1F13">
        <w:rPr>
          <w:i w:val="0"/>
          <w:iCs w:val="0"/>
          <w:color w:val="auto"/>
          <w:sz w:val="24"/>
          <w:szCs w:val="24"/>
        </w:rPr>
        <w:fldChar w:fldCharType="separate"/>
      </w:r>
      <w:r w:rsidR="00A76947">
        <w:rPr>
          <w:i w:val="0"/>
          <w:iCs w:val="0"/>
          <w:noProof/>
          <w:color w:val="auto"/>
          <w:sz w:val="24"/>
          <w:szCs w:val="24"/>
        </w:rPr>
        <w:t>3</w:t>
      </w:r>
      <w:r w:rsidRPr="001E1F13">
        <w:rPr>
          <w:i w:val="0"/>
          <w:iCs w:val="0"/>
          <w:color w:val="auto"/>
          <w:sz w:val="24"/>
          <w:szCs w:val="24"/>
        </w:rPr>
        <w:fldChar w:fldCharType="end"/>
      </w:r>
      <w:r w:rsidRPr="001E1F13">
        <w:rPr>
          <w:i w:val="0"/>
          <w:iCs w:val="0"/>
          <w:color w:val="auto"/>
          <w:sz w:val="24"/>
          <w:szCs w:val="24"/>
        </w:rPr>
        <w:t xml:space="preserve">. Wyniki osiągnięte przez model Gradient </w:t>
      </w:r>
      <w:proofErr w:type="spellStart"/>
      <w:r w:rsidRPr="001E1F13">
        <w:rPr>
          <w:i w:val="0"/>
          <w:iCs w:val="0"/>
          <w:color w:val="auto"/>
          <w:sz w:val="24"/>
          <w:szCs w:val="24"/>
        </w:rPr>
        <w:t>Boosting</w:t>
      </w:r>
      <w:proofErr w:type="spellEnd"/>
      <w:r w:rsidRPr="001E1F13">
        <w:rPr>
          <w:i w:val="0"/>
          <w:iCs w:val="0"/>
          <w:color w:val="auto"/>
          <w:sz w:val="24"/>
          <w:szCs w:val="24"/>
        </w:rPr>
        <w:t xml:space="preserve"> Machine.</w:t>
      </w:r>
      <w:bookmarkEnd w:id="25"/>
    </w:p>
    <w:tbl>
      <w:tblPr>
        <w:tblStyle w:val="Tabela-Siatka"/>
        <w:tblW w:w="0" w:type="auto"/>
        <w:jc w:val="center"/>
        <w:tblLook w:val="04A0" w:firstRow="1" w:lastRow="0" w:firstColumn="1" w:lastColumn="0" w:noHBand="0" w:noVBand="1"/>
      </w:tblPr>
      <w:tblGrid>
        <w:gridCol w:w="1009"/>
        <w:gridCol w:w="1793"/>
        <w:gridCol w:w="756"/>
        <w:gridCol w:w="1795"/>
      </w:tblGrid>
      <w:tr w:rsidR="00840F8E" w14:paraId="1E890EF9" w14:textId="77777777" w:rsidTr="009D1843">
        <w:trPr>
          <w:jc w:val="center"/>
        </w:trPr>
        <w:tc>
          <w:tcPr>
            <w:tcW w:w="2802" w:type="dxa"/>
            <w:gridSpan w:val="2"/>
          </w:tcPr>
          <w:p w14:paraId="1AC2559A" w14:textId="7E608018" w:rsidR="00840F8E" w:rsidRDefault="00840F8E" w:rsidP="009D1843">
            <w:pPr>
              <w:spacing w:line="360" w:lineRule="auto"/>
              <w:jc w:val="center"/>
            </w:pPr>
            <w:r>
              <w:t>Zbiór treningowy</w:t>
            </w:r>
          </w:p>
        </w:tc>
        <w:tc>
          <w:tcPr>
            <w:tcW w:w="2551" w:type="dxa"/>
            <w:gridSpan w:val="2"/>
          </w:tcPr>
          <w:p w14:paraId="30C1817B" w14:textId="64FDAAA6" w:rsidR="00840F8E" w:rsidRDefault="00840F8E" w:rsidP="009D1843">
            <w:pPr>
              <w:spacing w:line="360" w:lineRule="auto"/>
              <w:jc w:val="center"/>
            </w:pPr>
            <w:r>
              <w:t>Zbiór testowy</w:t>
            </w:r>
          </w:p>
        </w:tc>
      </w:tr>
      <w:tr w:rsidR="00840F8E" w14:paraId="58DE3375" w14:textId="77777777" w:rsidTr="009D1843">
        <w:trPr>
          <w:jc w:val="center"/>
        </w:trPr>
        <w:tc>
          <w:tcPr>
            <w:tcW w:w="1009" w:type="dxa"/>
          </w:tcPr>
          <w:p w14:paraId="049FED6A" w14:textId="6C5689E6" w:rsidR="00840F8E" w:rsidRDefault="00840F8E" w:rsidP="009D1843">
            <w:pPr>
              <w:spacing w:line="360" w:lineRule="auto"/>
              <w:jc w:val="center"/>
            </w:pPr>
            <w:r>
              <w:t>AUC</w:t>
            </w:r>
          </w:p>
        </w:tc>
        <w:tc>
          <w:tcPr>
            <w:tcW w:w="1793" w:type="dxa"/>
          </w:tcPr>
          <w:p w14:paraId="0663A000" w14:textId="73F22A0E" w:rsidR="00840F8E" w:rsidRDefault="00EB6F1F" w:rsidP="009D1843">
            <w:pPr>
              <w:spacing w:line="360" w:lineRule="auto"/>
              <w:jc w:val="center"/>
            </w:pPr>
            <w:r>
              <w:t xml:space="preserve">Wskaźnik </w:t>
            </w:r>
            <w:r w:rsidR="00840F8E">
              <w:t>75%</w:t>
            </w:r>
          </w:p>
        </w:tc>
        <w:tc>
          <w:tcPr>
            <w:tcW w:w="756" w:type="dxa"/>
          </w:tcPr>
          <w:p w14:paraId="36FDE516" w14:textId="4662EDDE" w:rsidR="00840F8E" w:rsidRDefault="00840F8E" w:rsidP="009D1843">
            <w:pPr>
              <w:spacing w:line="360" w:lineRule="auto"/>
              <w:jc w:val="center"/>
            </w:pPr>
            <w:r>
              <w:t>AUC</w:t>
            </w:r>
          </w:p>
        </w:tc>
        <w:tc>
          <w:tcPr>
            <w:tcW w:w="1795" w:type="dxa"/>
          </w:tcPr>
          <w:p w14:paraId="454A429A" w14:textId="2C444EB4" w:rsidR="00840F8E" w:rsidRDefault="00EB6F1F" w:rsidP="009D1843">
            <w:pPr>
              <w:spacing w:line="360" w:lineRule="auto"/>
              <w:jc w:val="center"/>
            </w:pPr>
            <w:r>
              <w:t xml:space="preserve">Wskaźnik </w:t>
            </w:r>
            <w:r w:rsidR="00840F8E">
              <w:t>75%</w:t>
            </w:r>
          </w:p>
        </w:tc>
      </w:tr>
      <w:tr w:rsidR="00840F8E" w14:paraId="305E911D" w14:textId="77777777" w:rsidTr="009D1843">
        <w:trPr>
          <w:jc w:val="center"/>
        </w:trPr>
        <w:tc>
          <w:tcPr>
            <w:tcW w:w="1009" w:type="dxa"/>
          </w:tcPr>
          <w:p w14:paraId="45928D16" w14:textId="7777E5B5" w:rsidR="00840F8E" w:rsidRDefault="00840F8E" w:rsidP="009D1843">
            <w:pPr>
              <w:spacing w:line="360" w:lineRule="auto"/>
              <w:jc w:val="center"/>
            </w:pPr>
            <w:r>
              <w:t>0,932</w:t>
            </w:r>
          </w:p>
        </w:tc>
        <w:tc>
          <w:tcPr>
            <w:tcW w:w="1793" w:type="dxa"/>
          </w:tcPr>
          <w:p w14:paraId="223B637B" w14:textId="24BB1F7A" w:rsidR="00840F8E" w:rsidRDefault="00840F8E" w:rsidP="009D1843">
            <w:pPr>
              <w:spacing w:line="360" w:lineRule="auto"/>
              <w:jc w:val="center"/>
            </w:pPr>
            <w:r>
              <w:t>0,982</w:t>
            </w:r>
          </w:p>
        </w:tc>
        <w:tc>
          <w:tcPr>
            <w:tcW w:w="756" w:type="dxa"/>
          </w:tcPr>
          <w:p w14:paraId="5B641B08" w14:textId="2444E921" w:rsidR="00840F8E" w:rsidRDefault="00840F8E" w:rsidP="009D1843">
            <w:pPr>
              <w:spacing w:line="360" w:lineRule="auto"/>
              <w:jc w:val="center"/>
            </w:pPr>
            <w:r>
              <w:t>0,930</w:t>
            </w:r>
          </w:p>
        </w:tc>
        <w:tc>
          <w:tcPr>
            <w:tcW w:w="1795" w:type="dxa"/>
          </w:tcPr>
          <w:p w14:paraId="2A6DE856" w14:textId="18800A33" w:rsidR="00840F8E" w:rsidRDefault="00840F8E" w:rsidP="009D1843">
            <w:pPr>
              <w:spacing w:line="360" w:lineRule="auto"/>
              <w:jc w:val="center"/>
            </w:pPr>
            <w:r>
              <w:t>0,981</w:t>
            </w:r>
          </w:p>
        </w:tc>
      </w:tr>
    </w:tbl>
    <w:p w14:paraId="247CA2AE" w14:textId="77777777" w:rsidR="003834EC" w:rsidRDefault="003834EC" w:rsidP="007052BA">
      <w:pPr>
        <w:pStyle w:val="Tekstpodstawowy"/>
        <w:spacing w:line="360" w:lineRule="auto"/>
        <w:jc w:val="both"/>
        <w:rPr>
          <w:rFonts w:cs="Times New Roman"/>
          <w:szCs w:val="24"/>
        </w:rPr>
      </w:pPr>
    </w:p>
    <w:p w14:paraId="132EA5FF" w14:textId="08A7B2A2" w:rsidR="00B51967" w:rsidRPr="007052BA" w:rsidRDefault="007052BA" w:rsidP="007052B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w:t>
      </w:r>
      <w:r>
        <w:rPr>
          <w:rFonts w:cs="Times New Roman"/>
          <w:szCs w:val="24"/>
        </w:rPr>
        <w:t>modelu zbudowanego na</w:t>
      </w:r>
      <w:r>
        <w:rPr>
          <w:rFonts w:cs="Times New Roman"/>
          <w:szCs w:val="24"/>
        </w:rPr>
        <w:t xml:space="preserve"> podstawie zastosowanego algorytmu.</w:t>
      </w:r>
    </w:p>
    <w:p w14:paraId="7C81D492" w14:textId="1BC4ED43" w:rsidR="005E4045" w:rsidRDefault="00692044" w:rsidP="00840F8E">
      <w:pPr>
        <w:spacing w:line="360" w:lineRule="auto"/>
        <w:jc w:val="both"/>
      </w:pPr>
      <w:r>
        <w:tab/>
        <w:t>Z tabeli można odczytać, że wartości wskaźników na obu zbiorach są do siebie bardzo zbliżone, co oznacza, że model nie jest przetrenowany i niedotrenowany i zachowuje wysoką jakość predykcji również na danych wykorzystanych do jego walidacji.</w:t>
      </w:r>
    </w:p>
    <w:p w14:paraId="1F952696" w14:textId="7FFB7EDB" w:rsidR="00692044" w:rsidRPr="00692044" w:rsidRDefault="00692044" w:rsidP="00692044">
      <w:pPr>
        <w:pStyle w:val="Legenda"/>
        <w:keepNext/>
        <w:spacing w:line="360" w:lineRule="auto"/>
        <w:jc w:val="both"/>
        <w:rPr>
          <w:i w:val="0"/>
          <w:iCs w:val="0"/>
          <w:color w:val="auto"/>
          <w:sz w:val="24"/>
          <w:szCs w:val="24"/>
        </w:rPr>
      </w:pPr>
      <w:bookmarkStart w:id="26" w:name="_Toc62167796"/>
      <w:r w:rsidRPr="00692044">
        <w:rPr>
          <w:i w:val="0"/>
          <w:iCs w:val="0"/>
          <w:color w:val="auto"/>
          <w:sz w:val="24"/>
          <w:szCs w:val="24"/>
        </w:rPr>
        <w:t xml:space="preserve">Tabela </w:t>
      </w:r>
      <w:r w:rsidRPr="00692044">
        <w:rPr>
          <w:i w:val="0"/>
          <w:iCs w:val="0"/>
          <w:color w:val="auto"/>
          <w:sz w:val="24"/>
          <w:szCs w:val="24"/>
        </w:rPr>
        <w:fldChar w:fldCharType="begin"/>
      </w:r>
      <w:r w:rsidRPr="00692044">
        <w:rPr>
          <w:i w:val="0"/>
          <w:iCs w:val="0"/>
          <w:color w:val="auto"/>
          <w:sz w:val="24"/>
          <w:szCs w:val="24"/>
        </w:rPr>
        <w:instrText xml:space="preserve"> SEQ Tabela \* ARABIC </w:instrText>
      </w:r>
      <w:r w:rsidRPr="00692044">
        <w:rPr>
          <w:i w:val="0"/>
          <w:iCs w:val="0"/>
          <w:color w:val="auto"/>
          <w:sz w:val="24"/>
          <w:szCs w:val="24"/>
        </w:rPr>
        <w:fldChar w:fldCharType="separate"/>
      </w:r>
      <w:r w:rsidR="00A76947">
        <w:rPr>
          <w:i w:val="0"/>
          <w:iCs w:val="0"/>
          <w:noProof/>
          <w:color w:val="auto"/>
          <w:sz w:val="24"/>
          <w:szCs w:val="24"/>
        </w:rPr>
        <w:t>4</w:t>
      </w:r>
      <w:r w:rsidRPr="00692044">
        <w:rPr>
          <w:i w:val="0"/>
          <w:iCs w:val="0"/>
          <w:color w:val="auto"/>
          <w:sz w:val="24"/>
          <w:szCs w:val="24"/>
        </w:rPr>
        <w:fldChar w:fldCharType="end"/>
      </w:r>
      <w:r w:rsidRPr="00692044">
        <w:rPr>
          <w:i w:val="0"/>
          <w:iCs w:val="0"/>
          <w:color w:val="auto"/>
          <w:sz w:val="24"/>
          <w:szCs w:val="24"/>
        </w:rPr>
        <w:t xml:space="preserve">. Macierz błędów dla modelu Gradient </w:t>
      </w:r>
      <w:proofErr w:type="spellStart"/>
      <w:r w:rsidRPr="00692044">
        <w:rPr>
          <w:i w:val="0"/>
          <w:iCs w:val="0"/>
          <w:color w:val="auto"/>
          <w:sz w:val="24"/>
          <w:szCs w:val="24"/>
        </w:rPr>
        <w:t>Boosting</w:t>
      </w:r>
      <w:proofErr w:type="spellEnd"/>
      <w:r w:rsidRPr="00692044">
        <w:rPr>
          <w:i w:val="0"/>
          <w:iCs w:val="0"/>
          <w:color w:val="auto"/>
          <w:sz w:val="24"/>
          <w:szCs w:val="24"/>
        </w:rPr>
        <w:t xml:space="preserve"> Machine na zbiorze testowym.</w:t>
      </w:r>
      <w:bookmarkEnd w:id="26"/>
    </w:p>
    <w:tbl>
      <w:tblPr>
        <w:tblStyle w:val="Tabela-Siatka"/>
        <w:tblW w:w="0" w:type="auto"/>
        <w:jc w:val="center"/>
        <w:tblLook w:val="04A0" w:firstRow="1" w:lastRow="0" w:firstColumn="1" w:lastColumn="0" w:noHBand="0" w:noVBand="1"/>
      </w:tblPr>
      <w:tblGrid>
        <w:gridCol w:w="688"/>
        <w:gridCol w:w="1972"/>
        <w:gridCol w:w="1984"/>
        <w:gridCol w:w="1985"/>
      </w:tblGrid>
      <w:tr w:rsidR="00840F8E" w14:paraId="05CAC666" w14:textId="77777777" w:rsidTr="009D1843">
        <w:trPr>
          <w:jc w:val="center"/>
        </w:trPr>
        <w:tc>
          <w:tcPr>
            <w:tcW w:w="2660" w:type="dxa"/>
            <w:gridSpan w:val="2"/>
            <w:vMerge w:val="restart"/>
            <w:vAlign w:val="center"/>
          </w:tcPr>
          <w:p w14:paraId="052766A1" w14:textId="2B931ECB" w:rsidR="00840F8E" w:rsidRDefault="00840F8E" w:rsidP="00A17A29">
            <w:pPr>
              <w:spacing w:line="360" w:lineRule="auto"/>
              <w:jc w:val="center"/>
            </w:pPr>
          </w:p>
        </w:tc>
        <w:tc>
          <w:tcPr>
            <w:tcW w:w="3969" w:type="dxa"/>
            <w:gridSpan w:val="2"/>
            <w:vAlign w:val="center"/>
          </w:tcPr>
          <w:p w14:paraId="28C8CD6F" w14:textId="75301F56" w:rsidR="00840F8E" w:rsidRDefault="00840F8E" w:rsidP="009D1843">
            <w:pPr>
              <w:spacing w:line="360" w:lineRule="auto"/>
              <w:jc w:val="center"/>
            </w:pPr>
            <w:r>
              <w:t>Predykcja</w:t>
            </w:r>
          </w:p>
        </w:tc>
      </w:tr>
      <w:tr w:rsidR="00840F8E" w14:paraId="19206489" w14:textId="77777777" w:rsidTr="009D1843">
        <w:trPr>
          <w:jc w:val="center"/>
        </w:trPr>
        <w:tc>
          <w:tcPr>
            <w:tcW w:w="2660" w:type="dxa"/>
            <w:gridSpan w:val="2"/>
            <w:vMerge/>
            <w:vAlign w:val="center"/>
          </w:tcPr>
          <w:p w14:paraId="09FA230D" w14:textId="1A5D7B34" w:rsidR="00840F8E" w:rsidRDefault="00840F8E" w:rsidP="00A17A29">
            <w:pPr>
              <w:spacing w:line="360" w:lineRule="auto"/>
              <w:jc w:val="center"/>
            </w:pPr>
          </w:p>
        </w:tc>
        <w:tc>
          <w:tcPr>
            <w:tcW w:w="1984" w:type="dxa"/>
            <w:vAlign w:val="center"/>
          </w:tcPr>
          <w:p w14:paraId="5C1F563B" w14:textId="659D56BC" w:rsidR="00840F8E" w:rsidRDefault="00840F8E" w:rsidP="009D1843">
            <w:pPr>
              <w:spacing w:line="360" w:lineRule="auto"/>
              <w:jc w:val="center"/>
            </w:pPr>
            <w:r>
              <w:t>Klasa pozytywna</w:t>
            </w:r>
          </w:p>
        </w:tc>
        <w:tc>
          <w:tcPr>
            <w:tcW w:w="1985" w:type="dxa"/>
            <w:vAlign w:val="center"/>
          </w:tcPr>
          <w:p w14:paraId="393BEB3A" w14:textId="52DC8014" w:rsidR="00840F8E" w:rsidRDefault="00840F8E" w:rsidP="009D1843">
            <w:pPr>
              <w:spacing w:line="360" w:lineRule="auto"/>
              <w:jc w:val="center"/>
            </w:pPr>
            <w:r>
              <w:t>Klasa negatywna</w:t>
            </w:r>
          </w:p>
        </w:tc>
      </w:tr>
      <w:tr w:rsidR="00840F8E" w14:paraId="25DFEEE0" w14:textId="77777777" w:rsidTr="00A17A29">
        <w:trPr>
          <w:trHeight w:val="928"/>
          <w:jc w:val="center"/>
        </w:trPr>
        <w:tc>
          <w:tcPr>
            <w:tcW w:w="688" w:type="dxa"/>
            <w:vMerge w:val="restart"/>
            <w:textDirection w:val="btLr"/>
            <w:vAlign w:val="center"/>
          </w:tcPr>
          <w:p w14:paraId="54B9EC67" w14:textId="63DBD3B4" w:rsidR="00840F8E" w:rsidRDefault="00840F8E" w:rsidP="00A17A29">
            <w:pPr>
              <w:spacing w:line="360" w:lineRule="auto"/>
              <w:ind w:left="113" w:right="113"/>
              <w:jc w:val="center"/>
            </w:pPr>
            <w:r>
              <w:t>Rzeczywistość</w:t>
            </w:r>
          </w:p>
        </w:tc>
        <w:tc>
          <w:tcPr>
            <w:tcW w:w="1972" w:type="dxa"/>
            <w:vAlign w:val="center"/>
          </w:tcPr>
          <w:p w14:paraId="25E9C2BE" w14:textId="7A3B6C62" w:rsidR="00840F8E" w:rsidRDefault="00840F8E" w:rsidP="00A17A29">
            <w:pPr>
              <w:spacing w:line="360" w:lineRule="auto"/>
              <w:jc w:val="center"/>
            </w:pPr>
            <w:r>
              <w:t>Klasa pozytywna</w:t>
            </w:r>
          </w:p>
        </w:tc>
        <w:tc>
          <w:tcPr>
            <w:tcW w:w="1984" w:type="dxa"/>
            <w:vAlign w:val="center"/>
          </w:tcPr>
          <w:p w14:paraId="13E0AD05" w14:textId="7F04F61D" w:rsidR="00840F8E" w:rsidRDefault="001E720C" w:rsidP="00A17A29">
            <w:pPr>
              <w:spacing w:line="360" w:lineRule="auto"/>
              <w:jc w:val="center"/>
            </w:pPr>
            <w:r>
              <w:t>2 789</w:t>
            </w:r>
            <w:r w:rsidR="00472C2D">
              <w:t xml:space="preserve"> (26,72%)</w:t>
            </w:r>
          </w:p>
        </w:tc>
        <w:tc>
          <w:tcPr>
            <w:tcW w:w="1985" w:type="dxa"/>
            <w:vAlign w:val="center"/>
          </w:tcPr>
          <w:p w14:paraId="2D5A62EC" w14:textId="6365A43F" w:rsidR="00840F8E" w:rsidRDefault="001E720C" w:rsidP="00A17A29">
            <w:pPr>
              <w:spacing w:line="360" w:lineRule="auto"/>
              <w:jc w:val="center"/>
            </w:pPr>
            <w:r>
              <w:t>958</w:t>
            </w:r>
            <w:r w:rsidR="00472C2D">
              <w:t xml:space="preserve"> (9,18%)</w:t>
            </w:r>
          </w:p>
        </w:tc>
      </w:tr>
      <w:tr w:rsidR="00840F8E" w14:paraId="4FD2E237" w14:textId="77777777" w:rsidTr="00A17A29">
        <w:trPr>
          <w:trHeight w:val="842"/>
          <w:jc w:val="center"/>
        </w:trPr>
        <w:tc>
          <w:tcPr>
            <w:tcW w:w="688" w:type="dxa"/>
            <w:vMerge/>
            <w:vAlign w:val="center"/>
          </w:tcPr>
          <w:p w14:paraId="05CDF69E" w14:textId="77777777" w:rsidR="00840F8E" w:rsidRDefault="00840F8E" w:rsidP="00A17A29">
            <w:pPr>
              <w:spacing w:line="360" w:lineRule="auto"/>
              <w:jc w:val="center"/>
            </w:pPr>
          </w:p>
        </w:tc>
        <w:tc>
          <w:tcPr>
            <w:tcW w:w="1972" w:type="dxa"/>
            <w:vAlign w:val="center"/>
          </w:tcPr>
          <w:p w14:paraId="1613BDBE" w14:textId="7BAF0E8B" w:rsidR="00840F8E" w:rsidRDefault="00840F8E" w:rsidP="00A17A29">
            <w:pPr>
              <w:spacing w:line="360" w:lineRule="auto"/>
              <w:jc w:val="center"/>
            </w:pPr>
            <w:r>
              <w:t>Klasa negatywna</w:t>
            </w:r>
          </w:p>
        </w:tc>
        <w:tc>
          <w:tcPr>
            <w:tcW w:w="1984" w:type="dxa"/>
            <w:vAlign w:val="center"/>
          </w:tcPr>
          <w:p w14:paraId="0E62EE61" w14:textId="45F1CBAF" w:rsidR="00840F8E" w:rsidRDefault="001E720C" w:rsidP="00A17A29">
            <w:pPr>
              <w:spacing w:line="360" w:lineRule="auto"/>
              <w:jc w:val="center"/>
            </w:pPr>
            <w:r>
              <w:t>381</w:t>
            </w:r>
            <w:r w:rsidR="00472C2D">
              <w:t xml:space="preserve"> (3,65%)</w:t>
            </w:r>
          </w:p>
        </w:tc>
        <w:tc>
          <w:tcPr>
            <w:tcW w:w="1985" w:type="dxa"/>
            <w:vAlign w:val="center"/>
          </w:tcPr>
          <w:p w14:paraId="045FB63D" w14:textId="3960A2CF" w:rsidR="00840F8E" w:rsidRDefault="001E720C" w:rsidP="00A17A29">
            <w:pPr>
              <w:spacing w:line="360" w:lineRule="auto"/>
              <w:jc w:val="center"/>
            </w:pPr>
            <w:r>
              <w:t>6 310</w:t>
            </w:r>
            <w:r w:rsidR="00472C2D">
              <w:t xml:space="preserve"> (60,45%)</w:t>
            </w:r>
          </w:p>
        </w:tc>
      </w:tr>
    </w:tbl>
    <w:p w14:paraId="344DB97B" w14:textId="77777777" w:rsidR="00375542" w:rsidRDefault="00375542" w:rsidP="00375542">
      <w:pPr>
        <w:pStyle w:val="Tekstpodstawowy"/>
        <w:spacing w:line="360" w:lineRule="auto"/>
        <w:jc w:val="both"/>
        <w:rPr>
          <w:rFonts w:cs="Times New Roman"/>
          <w:szCs w:val="24"/>
        </w:rPr>
      </w:pPr>
    </w:p>
    <w:p w14:paraId="064B3A20" w14:textId="24D17CC7" w:rsidR="00840F8E" w:rsidRPr="00375542" w:rsidRDefault="00375542" w:rsidP="00375542">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37633910" w14:textId="67C319EC" w:rsidR="00C96223" w:rsidRDefault="00472C2D" w:rsidP="00472C2D">
      <w:pPr>
        <w:spacing w:line="360" w:lineRule="auto"/>
        <w:jc w:val="both"/>
      </w:pPr>
      <w:r>
        <w:tab/>
        <w:t xml:space="preserve">Z tabeli można odczytać, że model nie rozpoznał prawidłowo 958 spośród 3 747 firm, które upadły. </w:t>
      </w:r>
      <w:r w:rsidR="009E7555">
        <w:t>Model prawidłowo zaklasyfikował zatem 74,43% podmiotów, które zbankrutowały. Jest to podstawowy wskaźnik do oceny jego jakości w kontekście omawianego problemu biznesowego. Należy jednak porównać te wartości z wynikami osiąganymi przez pozostałe algorytmy.</w:t>
      </w:r>
    </w:p>
    <w:p w14:paraId="04C6917B" w14:textId="31F912C6" w:rsidR="007052BA" w:rsidRPr="007052BA" w:rsidRDefault="007052BA" w:rsidP="00BB622C">
      <w:pPr>
        <w:pStyle w:val="Legenda"/>
        <w:keepNext/>
        <w:spacing w:line="360" w:lineRule="auto"/>
        <w:jc w:val="both"/>
        <w:rPr>
          <w:i w:val="0"/>
          <w:iCs w:val="0"/>
          <w:color w:val="auto"/>
          <w:sz w:val="24"/>
          <w:szCs w:val="24"/>
        </w:rPr>
      </w:pPr>
      <w:bookmarkStart w:id="27" w:name="_Toc62166172"/>
      <w:r w:rsidRPr="007052BA">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082597">
        <w:rPr>
          <w:i w:val="0"/>
          <w:iCs w:val="0"/>
          <w:noProof/>
          <w:color w:val="auto"/>
          <w:sz w:val="24"/>
          <w:szCs w:val="24"/>
        </w:rPr>
        <w:t>7</w:t>
      </w:r>
      <w:r w:rsidR="008F0CFB">
        <w:rPr>
          <w:i w:val="0"/>
          <w:iCs w:val="0"/>
          <w:color w:val="auto"/>
          <w:sz w:val="24"/>
          <w:szCs w:val="24"/>
        </w:rPr>
        <w:fldChar w:fldCharType="end"/>
      </w:r>
      <w:r w:rsidRPr="007052BA">
        <w:rPr>
          <w:i w:val="0"/>
          <w:iCs w:val="0"/>
          <w:color w:val="auto"/>
          <w:sz w:val="24"/>
          <w:szCs w:val="24"/>
        </w:rPr>
        <w:t>. Krzywe ROC dla modelu Gradient</w:t>
      </w:r>
      <w:r w:rsidRPr="007052BA">
        <w:rPr>
          <w:i w:val="0"/>
          <w:iCs w:val="0"/>
          <w:noProof/>
          <w:color w:val="auto"/>
          <w:sz w:val="24"/>
          <w:szCs w:val="24"/>
        </w:rPr>
        <w:t xml:space="preserve"> Boosting Machine</w:t>
      </w:r>
      <w:bookmarkEnd w:id="27"/>
    </w:p>
    <w:p w14:paraId="6B98EDD8" w14:textId="1F48B9BA" w:rsidR="00A17A29" w:rsidRDefault="00BB622C" w:rsidP="00A17A29">
      <w:pPr>
        <w:spacing w:line="360" w:lineRule="auto"/>
        <w:ind w:firstLine="708"/>
        <w:jc w:val="center"/>
      </w:pPr>
      <w:r>
        <w:rPr>
          <w:noProof/>
        </w:rPr>
        <w:drawing>
          <wp:inline distT="0" distB="0" distL="0" distR="0" wp14:anchorId="4409DC47" wp14:editId="0120CC9E">
            <wp:extent cx="4355417" cy="2933700"/>
            <wp:effectExtent l="0" t="0" r="762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bm_auc.png"/>
                    <pic:cNvPicPr/>
                  </pic:nvPicPr>
                  <pic:blipFill>
                    <a:blip r:embed="rId16">
                      <a:extLst>
                        <a:ext uri="{28A0092B-C50C-407E-A947-70E740481C1C}">
                          <a14:useLocalDpi xmlns:a14="http://schemas.microsoft.com/office/drawing/2010/main" val="0"/>
                        </a:ext>
                      </a:extLst>
                    </a:blip>
                    <a:stretch>
                      <a:fillRect/>
                    </a:stretch>
                  </pic:blipFill>
                  <pic:spPr>
                    <a:xfrm>
                      <a:off x="0" y="0"/>
                      <a:ext cx="4355417" cy="2933700"/>
                    </a:xfrm>
                    <a:prstGeom prst="rect">
                      <a:avLst/>
                    </a:prstGeom>
                  </pic:spPr>
                </pic:pic>
              </a:graphicData>
            </a:graphic>
          </wp:inline>
        </w:drawing>
      </w:r>
    </w:p>
    <w:p w14:paraId="136A3358" w14:textId="7F995990" w:rsidR="008F0CFB" w:rsidRDefault="008F0CFB" w:rsidP="008F0CFB">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659EAD46" w14:textId="5EB414BB" w:rsidR="008F0CFB" w:rsidRDefault="008F0CFB" w:rsidP="00BB622C">
      <w:pPr>
        <w:pStyle w:val="Tekstpodstawowy"/>
        <w:spacing w:line="360" w:lineRule="auto"/>
        <w:jc w:val="both"/>
      </w:pPr>
      <w:r>
        <w:rPr>
          <w:rFonts w:cs="Times New Roman"/>
          <w:szCs w:val="24"/>
        </w:rPr>
        <w:tab/>
        <w:t>Z wykresu można odczytać, że model zachowuje się bardzo podobnie na obu wykorzystanych zbiorach i osiągane wyniki są stabilne.</w:t>
      </w:r>
      <w:r w:rsidR="00BB622C">
        <w:t xml:space="preserve"> Podobnie wygląda zdolność modelu do wykrywania obserwacji pozytywnych.</w:t>
      </w:r>
    </w:p>
    <w:p w14:paraId="347AB7CC" w14:textId="3C15F0D4" w:rsidR="008F0CFB" w:rsidRPr="008F0CFB" w:rsidRDefault="008F0CFB" w:rsidP="00BB622C">
      <w:pPr>
        <w:pStyle w:val="Legenda"/>
        <w:keepNext/>
        <w:spacing w:line="360" w:lineRule="auto"/>
        <w:jc w:val="both"/>
        <w:rPr>
          <w:i w:val="0"/>
          <w:iCs w:val="0"/>
          <w:color w:val="auto"/>
          <w:sz w:val="24"/>
          <w:szCs w:val="24"/>
        </w:rPr>
      </w:pPr>
      <w:bookmarkStart w:id="28" w:name="_Toc62166173"/>
      <w:r w:rsidRPr="008F0CFB">
        <w:rPr>
          <w:i w:val="0"/>
          <w:iCs w:val="0"/>
          <w:color w:val="auto"/>
          <w:sz w:val="24"/>
          <w:szCs w:val="24"/>
        </w:rPr>
        <w:t xml:space="preserve">Wykres </w:t>
      </w:r>
      <w:r w:rsidRPr="008F0CFB">
        <w:rPr>
          <w:i w:val="0"/>
          <w:iCs w:val="0"/>
          <w:color w:val="auto"/>
          <w:sz w:val="24"/>
          <w:szCs w:val="24"/>
        </w:rPr>
        <w:fldChar w:fldCharType="begin"/>
      </w:r>
      <w:r w:rsidRPr="008F0CFB">
        <w:rPr>
          <w:i w:val="0"/>
          <w:iCs w:val="0"/>
          <w:color w:val="auto"/>
          <w:sz w:val="24"/>
          <w:szCs w:val="24"/>
        </w:rPr>
        <w:instrText xml:space="preserve"> SEQ Wykres \* ARABIC </w:instrText>
      </w:r>
      <w:r w:rsidRPr="008F0CFB">
        <w:rPr>
          <w:i w:val="0"/>
          <w:iCs w:val="0"/>
          <w:color w:val="auto"/>
          <w:sz w:val="24"/>
          <w:szCs w:val="24"/>
        </w:rPr>
        <w:fldChar w:fldCharType="separate"/>
      </w:r>
      <w:r w:rsidR="00082597">
        <w:rPr>
          <w:i w:val="0"/>
          <w:iCs w:val="0"/>
          <w:noProof/>
          <w:color w:val="auto"/>
          <w:sz w:val="24"/>
          <w:szCs w:val="24"/>
        </w:rPr>
        <w:t>8</w:t>
      </w:r>
      <w:r w:rsidRPr="008F0CFB">
        <w:rPr>
          <w:i w:val="0"/>
          <w:iCs w:val="0"/>
          <w:color w:val="auto"/>
          <w:sz w:val="24"/>
          <w:szCs w:val="24"/>
        </w:rPr>
        <w:fldChar w:fldCharType="end"/>
      </w:r>
      <w:r w:rsidRPr="008F0CFB">
        <w:rPr>
          <w:i w:val="0"/>
          <w:iCs w:val="0"/>
          <w:color w:val="auto"/>
          <w:sz w:val="24"/>
          <w:szCs w:val="24"/>
        </w:rPr>
        <w:t xml:space="preserve">. Zdolność modelu Gradient </w:t>
      </w:r>
      <w:proofErr w:type="spellStart"/>
      <w:r w:rsidRPr="008F0CFB">
        <w:rPr>
          <w:i w:val="0"/>
          <w:iCs w:val="0"/>
          <w:color w:val="auto"/>
          <w:sz w:val="24"/>
          <w:szCs w:val="24"/>
        </w:rPr>
        <w:t>Boosting</w:t>
      </w:r>
      <w:proofErr w:type="spellEnd"/>
      <w:r w:rsidRPr="008F0CFB">
        <w:rPr>
          <w:i w:val="0"/>
          <w:iCs w:val="0"/>
          <w:color w:val="auto"/>
          <w:sz w:val="24"/>
          <w:szCs w:val="24"/>
        </w:rPr>
        <w:t xml:space="preserve"> Machine do wykrywania obserwacji pozytywnych.</w:t>
      </w:r>
      <w:bookmarkEnd w:id="28"/>
    </w:p>
    <w:p w14:paraId="3E06FD9E" w14:textId="695588DA" w:rsidR="00A17A29" w:rsidRDefault="00BB622C" w:rsidP="007052BA">
      <w:pPr>
        <w:spacing w:line="360" w:lineRule="auto"/>
        <w:ind w:firstLine="708"/>
        <w:jc w:val="center"/>
      </w:pPr>
      <w:r>
        <w:rPr>
          <w:noProof/>
        </w:rPr>
        <w:drawing>
          <wp:inline distT="0" distB="0" distL="0" distR="0" wp14:anchorId="116FFB20" wp14:editId="7BC7AD9D">
            <wp:extent cx="4314825" cy="2776868"/>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bm_ratios.png"/>
                    <pic:cNvPicPr/>
                  </pic:nvPicPr>
                  <pic:blipFill>
                    <a:blip r:embed="rId17">
                      <a:extLst>
                        <a:ext uri="{28A0092B-C50C-407E-A947-70E740481C1C}">
                          <a14:useLocalDpi xmlns:a14="http://schemas.microsoft.com/office/drawing/2010/main" val="0"/>
                        </a:ext>
                      </a:extLst>
                    </a:blip>
                    <a:stretch>
                      <a:fillRect/>
                    </a:stretch>
                  </pic:blipFill>
                  <pic:spPr>
                    <a:xfrm>
                      <a:off x="0" y="0"/>
                      <a:ext cx="4340300" cy="2793263"/>
                    </a:xfrm>
                    <a:prstGeom prst="rect">
                      <a:avLst/>
                    </a:prstGeom>
                  </pic:spPr>
                </pic:pic>
              </a:graphicData>
            </a:graphic>
          </wp:inline>
        </w:drawing>
      </w:r>
    </w:p>
    <w:p w14:paraId="6C40736F" w14:textId="77777777" w:rsidR="008F0CFB" w:rsidRPr="007052BA" w:rsidRDefault="008F0CFB" w:rsidP="008F0CFB">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C4D13A5" w14:textId="7E72EAB4" w:rsidR="003352CE" w:rsidRPr="00983F85" w:rsidRDefault="003352CE" w:rsidP="00983F85">
      <w:pPr>
        <w:pStyle w:val="Nagwek2"/>
        <w:spacing w:line="360" w:lineRule="auto"/>
        <w:jc w:val="both"/>
        <w:rPr>
          <w:rFonts w:cs="Times New Roman"/>
          <w:szCs w:val="24"/>
        </w:rPr>
      </w:pPr>
      <w:bookmarkStart w:id="29" w:name="_Toc61804449"/>
      <w:r w:rsidRPr="00983F85">
        <w:rPr>
          <w:rFonts w:cs="Times New Roman"/>
          <w:szCs w:val="24"/>
        </w:rPr>
        <w:lastRenderedPageBreak/>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9"/>
    </w:p>
    <w:p w14:paraId="745D2A15" w14:textId="2197F553" w:rsidR="0073603B" w:rsidRDefault="00F3349B" w:rsidP="003815BA">
      <w:pPr>
        <w:pStyle w:val="Default"/>
        <w:spacing w:line="360" w:lineRule="auto"/>
        <w:ind w:firstLine="708"/>
        <w:jc w:val="both"/>
        <w:rPr>
          <w:rFonts w:ascii="Times New Roman" w:hAnsi="Times New Roman" w:cs="Times New Roman"/>
        </w:rPr>
      </w:pPr>
      <w:r>
        <w:rPr>
          <w:rFonts w:ascii="Times New Roman" w:hAnsi="Times New Roman" w:cs="Times New Roman"/>
        </w:rPr>
        <w:t xml:space="preserve">Jako drugi algorytm klasyfikacyjny wykorzystano lasy losowe (ang.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lub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Metoda ta podobnie jak Gradient </w:t>
      </w:r>
      <w:proofErr w:type="spellStart"/>
      <w:r>
        <w:rPr>
          <w:rFonts w:ascii="Times New Roman" w:hAnsi="Times New Roman" w:cs="Times New Roman"/>
        </w:rPr>
        <w:t>Boosting</w:t>
      </w:r>
      <w:proofErr w:type="spellEnd"/>
      <w:r>
        <w:rPr>
          <w:rFonts w:ascii="Times New Roman" w:hAnsi="Times New Roman" w:cs="Times New Roman"/>
        </w:rPr>
        <w:t xml:space="preserve"> Machine opiera się na budowaniu grup drzew decyzyjnych.</w:t>
      </w:r>
      <w:r w:rsidR="003C5E9C">
        <w:rPr>
          <w:rFonts w:ascii="Times New Roman" w:hAnsi="Times New Roman" w:cs="Times New Roman"/>
        </w:rPr>
        <w:t xml:space="preserve"> Las losowy w istocie składa się z dużej liczby pojedynczych drzew decyzyjnych, które działają wspólnie w celu poprawy wyniku. Każde pojedyncze drzewo w losowym lesie generuje prognozę na temat wartości zmiennej celu dla danej obserwacji a klasa z największą liczbą głosów staje się główną prognozą modelu.</w:t>
      </w:r>
      <w:r w:rsidR="007A31C7">
        <w:rPr>
          <w:rFonts w:ascii="Times New Roman" w:hAnsi="Times New Roman" w:cs="Times New Roman"/>
        </w:rPr>
        <w:t xml:space="preserve"> Model bazuje w pewien sposób na założeniu, że wystarczająca duża liczba niezależnych modeli o stosunkowo niskiej jakości osiągnie łącznie wyższą jakość predykcji niż pojedynczy model o wysokim dopasowaniu do danych.</w:t>
      </w:r>
      <w:r w:rsidR="00E319D0">
        <w:rPr>
          <w:rFonts w:ascii="Times New Roman" w:hAnsi="Times New Roman" w:cs="Times New Roman"/>
        </w:rPr>
        <w:t xml:space="preserve"> Zastosowana metoda pozwala osiągnąć wysoką dokładność, ceną jest jednak gorsza interpretowalność w porównaniu do drzewa decyzyjnego.</w:t>
      </w:r>
    </w:p>
    <w:p w14:paraId="51FFCB40" w14:textId="488A985C" w:rsidR="002A6324" w:rsidRDefault="003815BA" w:rsidP="003815BA">
      <w:pPr>
        <w:pStyle w:val="Default"/>
        <w:spacing w:line="360" w:lineRule="auto"/>
        <w:ind w:firstLine="708"/>
        <w:jc w:val="both"/>
        <w:rPr>
          <w:rFonts w:ascii="Times New Roman" w:hAnsi="Times New Roman" w:cs="Times New Roman"/>
          <w:b/>
        </w:rPr>
      </w:pPr>
      <w:r>
        <w:rPr>
          <w:rFonts w:ascii="Times New Roman" w:hAnsi="Times New Roman" w:cs="Times New Roman"/>
        </w:rPr>
        <w:t>W celu zapewnienia niezależności pojedynczych zbudowanych drzew decyzyjnych stosowane są 2 techniki.</w:t>
      </w:r>
      <w:r w:rsidR="00B70179">
        <w:rPr>
          <w:rFonts w:ascii="Times New Roman" w:hAnsi="Times New Roman" w:cs="Times New Roman"/>
        </w:rPr>
        <w:t xml:space="preserve"> Po pierwsze, dane wejściowe, na których </w:t>
      </w:r>
      <w:r w:rsidR="00C96480">
        <w:rPr>
          <w:rFonts w:ascii="Times New Roman" w:hAnsi="Times New Roman" w:cs="Times New Roman"/>
        </w:rPr>
        <w:t>trenowane</w:t>
      </w:r>
      <w:r w:rsidR="00B70179">
        <w:rPr>
          <w:rFonts w:ascii="Times New Roman" w:hAnsi="Times New Roman" w:cs="Times New Roman"/>
        </w:rPr>
        <w:t xml:space="preserve"> są modele różnią się. Drzewa decyzyjne są bardzo wrażliwe na różnice w zbiorze treningowym. Korzystając z tej zależności algorytm dla każdego drzewa losuje ze zwracaniem inną próbę, na której budowany jest model. </w:t>
      </w:r>
      <w:r w:rsidR="003876A9">
        <w:rPr>
          <w:rFonts w:ascii="Times New Roman" w:hAnsi="Times New Roman" w:cs="Times New Roman"/>
        </w:rPr>
        <w:t xml:space="preserve">Metoda ta nazywana jest </w:t>
      </w:r>
      <w:proofErr w:type="spellStart"/>
      <w:r w:rsidR="003876A9">
        <w:rPr>
          <w:rFonts w:ascii="Times New Roman" w:hAnsi="Times New Roman" w:cs="Times New Roman"/>
        </w:rPr>
        <w:t>bootstrapowaniem</w:t>
      </w:r>
      <w:proofErr w:type="spellEnd"/>
      <w:r w:rsidR="003876A9">
        <w:rPr>
          <w:rFonts w:ascii="Times New Roman" w:hAnsi="Times New Roman" w:cs="Times New Roman"/>
        </w:rPr>
        <w:t xml:space="preserve">. </w:t>
      </w:r>
      <w:r>
        <w:rPr>
          <w:rFonts w:ascii="Times New Roman" w:hAnsi="Times New Roman" w:cs="Times New Roman"/>
        </w:rPr>
        <w:t xml:space="preserve">Po </w:t>
      </w:r>
      <w:r w:rsidR="00B70179">
        <w:rPr>
          <w:rFonts w:ascii="Times New Roman" w:hAnsi="Times New Roman" w:cs="Times New Roman"/>
        </w:rPr>
        <w:t>drugie</w:t>
      </w:r>
      <w:r>
        <w:rPr>
          <w:rFonts w:ascii="Times New Roman" w:hAnsi="Times New Roman" w:cs="Times New Roman"/>
        </w:rPr>
        <w:t>, parametry na których budowane są pojedyncze drzewa są losowe. Należą do nich czynniki takie jak np. maksymalna głębokość drzewa, liczba wykorzystanych obserwacji, liczba wykorzystanych zmiennych oraz same zmienne</w:t>
      </w:r>
      <w:r w:rsidR="00862CFA">
        <w:rPr>
          <w:rFonts w:ascii="Times New Roman" w:hAnsi="Times New Roman" w:cs="Times New Roman"/>
        </w:rPr>
        <w:t xml:space="preserve">, które zostały </w:t>
      </w:r>
      <w:r w:rsidR="005A62F9">
        <w:rPr>
          <w:rFonts w:ascii="Times New Roman" w:hAnsi="Times New Roman" w:cs="Times New Roman"/>
        </w:rPr>
        <w:t>uwzględnione</w:t>
      </w:r>
      <w:r>
        <w:rPr>
          <w:rFonts w:ascii="Times New Roman" w:hAnsi="Times New Roman" w:cs="Times New Roman"/>
        </w:rPr>
        <w:t>. Dzięki losowemu wyborowi tych parametrów pojedyncze modele będą różnić się od siebie. Następnie z wykorzystaniem mechanizmu maksymalizacji uzysku informacji (np. entropia) z danych treningowych wybierane są kolejne atrybuty do budowania reguł decyzyjnych i podziału obserwacji</w:t>
      </w:r>
      <w:r w:rsidR="00E319D0">
        <w:rPr>
          <w:rFonts w:ascii="Times New Roman" w:hAnsi="Times New Roman" w:cs="Times New Roman"/>
        </w:rPr>
        <w:t>. Cały proces powtarzany jest aż do wytrenowania zdefiniowanej liczby drzew decyzyjnych</w:t>
      </w:r>
      <w:r w:rsidR="003610D3">
        <w:rPr>
          <w:rStyle w:val="Odwoanieprzypisudolnego"/>
          <w:rFonts w:ascii="Times New Roman" w:hAnsi="Times New Roman" w:cs="Times New Roman"/>
        </w:rPr>
        <w:footnoteReference w:id="31"/>
      </w:r>
      <w:r>
        <w:rPr>
          <w:rFonts w:ascii="Times New Roman" w:hAnsi="Times New Roman" w:cs="Times New Roman"/>
        </w:rPr>
        <w:t>.</w:t>
      </w:r>
    </w:p>
    <w:p w14:paraId="33807E37" w14:textId="7260BF56" w:rsidR="00F2459C" w:rsidRDefault="000B3E4E" w:rsidP="00F2459C">
      <w:pPr>
        <w:spacing w:line="360" w:lineRule="auto"/>
        <w:ind w:firstLine="708"/>
        <w:jc w:val="both"/>
      </w:pPr>
      <w:r>
        <w:rPr>
          <w:rFonts w:cs="Times New Roman"/>
          <w:bCs/>
        </w:rPr>
        <w:t>Podobnie jak w przypadku poprzedniego algorytmu modele budowano w iteracyjny sposób w celu znalezienia optymalnych wartości parametrów przy wykorzystaniu metody przeszukiwania za pomocą siatki.</w:t>
      </w:r>
      <w:r w:rsidR="00F2459C">
        <w:rPr>
          <w:rFonts w:cs="Times New Roman"/>
          <w:bCs/>
        </w:rPr>
        <w:t xml:space="preserve"> Optymalizacja objęła następujące parametry</w:t>
      </w:r>
      <w:r w:rsidR="00F2459C">
        <w:t>:</w:t>
      </w:r>
    </w:p>
    <w:p w14:paraId="6367E310" w14:textId="24DBC037" w:rsidR="00873ED2" w:rsidRPr="00C71013" w:rsidRDefault="00873ED2" w:rsidP="00873ED2">
      <w:pPr>
        <w:pStyle w:val="Akapitzlist"/>
        <w:numPr>
          <w:ilvl w:val="0"/>
          <w:numId w:val="17"/>
        </w:numPr>
        <w:spacing w:line="360" w:lineRule="auto"/>
        <w:jc w:val="both"/>
      </w:pPr>
      <w:r w:rsidRPr="00C71013">
        <w:t xml:space="preserve">liczba </w:t>
      </w:r>
      <w:r>
        <w:t xml:space="preserve">drzew decyzyjnych zbudowanych podczas trenowania algorytmu (zakres wartości od </w:t>
      </w:r>
      <w:r w:rsidR="00A02D4C">
        <w:t>2</w:t>
      </w:r>
      <w:r>
        <w:t xml:space="preserve">0 do 50 z interwałem </w:t>
      </w:r>
      <w:r w:rsidR="00A02D4C">
        <w:t>1</w:t>
      </w:r>
      <w:r>
        <w:t>)</w:t>
      </w:r>
      <w:r>
        <w:t>,</w:t>
      </w:r>
    </w:p>
    <w:p w14:paraId="6376C192" w14:textId="77777777" w:rsidR="00F2459C" w:rsidRPr="00C71013" w:rsidRDefault="00F2459C" w:rsidP="00F2459C">
      <w:pPr>
        <w:pStyle w:val="Akapitzlist"/>
        <w:numPr>
          <w:ilvl w:val="0"/>
          <w:numId w:val="17"/>
        </w:numPr>
        <w:spacing w:line="360" w:lineRule="auto"/>
        <w:jc w:val="both"/>
      </w:pPr>
      <w:r w:rsidRPr="00C71013">
        <w:t>maksymalna głębokość drzew decyzyjnych (</w:t>
      </w:r>
      <w:r>
        <w:t xml:space="preserve">zakres </w:t>
      </w:r>
      <w:r w:rsidRPr="00C71013">
        <w:t>w</w:t>
      </w:r>
      <w:r>
        <w:t>artości od 1 do 3 z interwałem 1),</w:t>
      </w:r>
    </w:p>
    <w:p w14:paraId="63E8CFFA" w14:textId="0350A1D9" w:rsidR="00F2459C" w:rsidRPr="00C71013" w:rsidRDefault="00873ED2" w:rsidP="00873ED2">
      <w:pPr>
        <w:pStyle w:val="Akapitzlist"/>
        <w:numPr>
          <w:ilvl w:val="0"/>
          <w:numId w:val="17"/>
        </w:numPr>
        <w:spacing w:line="360" w:lineRule="auto"/>
        <w:jc w:val="both"/>
      </w:pPr>
      <w:r>
        <w:lastRenderedPageBreak/>
        <w:t xml:space="preserve">minimalna liczba obserwacji wymaganych do podziału węzła </w:t>
      </w:r>
      <w:r w:rsidR="00F2459C">
        <w:t xml:space="preserve">(zakres wartości </w:t>
      </w:r>
      <w:r>
        <w:t>od 5</w:t>
      </w:r>
      <w:r w:rsidR="00F2459C">
        <w:t xml:space="preserve"> do </w:t>
      </w:r>
      <w:r>
        <w:t>50</w:t>
      </w:r>
      <w:r w:rsidR="00F2459C">
        <w:t xml:space="preserve"> z interwałem </w:t>
      </w:r>
      <w:r>
        <w:t>5</w:t>
      </w:r>
      <w:r w:rsidR="00F2459C">
        <w:t>)</w:t>
      </w:r>
      <w:r w:rsidR="00F2459C">
        <w:rPr>
          <w:rStyle w:val="Odwoanieprzypisudolnego"/>
        </w:rPr>
        <w:footnoteReference w:id="32"/>
      </w:r>
      <w:r w:rsidR="00F2459C">
        <w:t>.</w:t>
      </w:r>
    </w:p>
    <w:p w14:paraId="40E18BE7" w14:textId="77777777" w:rsidR="00D23BC1" w:rsidRDefault="00D23BC1" w:rsidP="00D23BC1">
      <w:pPr>
        <w:spacing w:line="360" w:lineRule="auto"/>
        <w:ind w:firstLine="708"/>
        <w:jc w:val="both"/>
      </w:pPr>
      <w:r>
        <w:t>Model o najlepszych wartościach kryteriów wykorzystanych do oceny został zbudowany przy wykorzystaniu zmiennych zaakceptowanych przez algorytm Boruta. Najlepsze wyniki osiągnięto dzięki zastosowaniu następujących wartości parametrów:</w:t>
      </w:r>
    </w:p>
    <w:p w14:paraId="27C0E826" w14:textId="2A117E53" w:rsidR="00D23BC1" w:rsidRPr="00C71013" w:rsidRDefault="00036414" w:rsidP="00D23BC1">
      <w:pPr>
        <w:pStyle w:val="Akapitzlist"/>
        <w:numPr>
          <w:ilvl w:val="0"/>
          <w:numId w:val="17"/>
        </w:numPr>
        <w:spacing w:line="360" w:lineRule="auto"/>
        <w:jc w:val="both"/>
      </w:pPr>
      <w:r w:rsidRPr="00C71013">
        <w:t xml:space="preserve">liczba </w:t>
      </w:r>
      <w:r>
        <w:t>drzew decyzyjnych zbudowanych podczas trenowania algorytmu</w:t>
      </w:r>
      <w:r w:rsidR="00D23BC1">
        <w:t xml:space="preserve">: </w:t>
      </w:r>
      <w:r w:rsidR="00386171">
        <w:t>23</w:t>
      </w:r>
      <w:r w:rsidR="00D23BC1">
        <w:t>,</w:t>
      </w:r>
    </w:p>
    <w:p w14:paraId="2E96BB5E" w14:textId="7B297A60" w:rsidR="00D23BC1" w:rsidRPr="00C71013" w:rsidRDefault="00036414" w:rsidP="00D23BC1">
      <w:pPr>
        <w:pStyle w:val="Akapitzlist"/>
        <w:numPr>
          <w:ilvl w:val="0"/>
          <w:numId w:val="17"/>
        </w:numPr>
        <w:spacing w:line="360" w:lineRule="auto"/>
        <w:jc w:val="both"/>
      </w:pPr>
      <w:r w:rsidRPr="00C71013">
        <w:t>maksymalna głębokość drzew decyzyjnych</w:t>
      </w:r>
      <w:r w:rsidR="00D23BC1">
        <w:t xml:space="preserve">: </w:t>
      </w:r>
      <w:r w:rsidR="00386171">
        <w:t>1</w:t>
      </w:r>
      <w:r w:rsidR="00D23BC1">
        <w:t>,</w:t>
      </w:r>
    </w:p>
    <w:p w14:paraId="679EDC83" w14:textId="71B0AA3B" w:rsidR="00D23BC1" w:rsidRDefault="00036414" w:rsidP="00D23BC1">
      <w:pPr>
        <w:pStyle w:val="Akapitzlist"/>
        <w:numPr>
          <w:ilvl w:val="0"/>
          <w:numId w:val="17"/>
        </w:numPr>
        <w:spacing w:line="360" w:lineRule="auto"/>
        <w:jc w:val="both"/>
      </w:pPr>
      <w:r>
        <w:t>minimalna liczba obserwacji wymaganych do podziału węzła</w:t>
      </w:r>
      <w:r w:rsidR="00D23BC1">
        <w:t xml:space="preserve">: </w:t>
      </w:r>
      <w:r w:rsidR="00386171">
        <w:t>5.</w:t>
      </w:r>
    </w:p>
    <w:p w14:paraId="547E85D9" w14:textId="30E28F02" w:rsidR="00D23BC1" w:rsidRPr="00C71013" w:rsidRDefault="00D23BC1" w:rsidP="00D23BC1">
      <w:pPr>
        <w:spacing w:line="360" w:lineRule="auto"/>
        <w:ind w:firstLine="708"/>
        <w:jc w:val="both"/>
      </w:pPr>
      <w:r>
        <w:t xml:space="preserve">Analogicznie jak w przypadku poprzedniego </w:t>
      </w:r>
      <w:r>
        <w:t>algorytm</w:t>
      </w:r>
      <w:r>
        <w:t>u</w:t>
      </w:r>
      <w:r>
        <w:t xml:space="preserve"> utworzono tabele kontyngencji oraz wykreślono krzywe ROC oraz krzywe przedstawiające skuteczność modelu w kwestii predykcji obserwacji pozytywnych. Podsumowanie wyników osiągniętych przez zbudowany model zostało przedstawione w poniższej tabeli.</w:t>
      </w:r>
    </w:p>
    <w:p w14:paraId="2ED845C8" w14:textId="12663BFE" w:rsidR="000B3E4E" w:rsidRPr="000B3E4E" w:rsidRDefault="000B3E4E" w:rsidP="000B3E4E">
      <w:pPr>
        <w:pStyle w:val="Legenda"/>
        <w:keepNext/>
        <w:spacing w:line="360" w:lineRule="auto"/>
        <w:jc w:val="both"/>
        <w:rPr>
          <w:i w:val="0"/>
          <w:iCs w:val="0"/>
          <w:color w:val="auto"/>
          <w:sz w:val="24"/>
          <w:szCs w:val="24"/>
        </w:rPr>
      </w:pPr>
      <w:bookmarkStart w:id="30" w:name="_Toc62167797"/>
      <w:r w:rsidRPr="000B3E4E">
        <w:rPr>
          <w:i w:val="0"/>
          <w:iCs w:val="0"/>
          <w:color w:val="auto"/>
          <w:sz w:val="24"/>
          <w:szCs w:val="24"/>
        </w:rPr>
        <w:t xml:space="preserve">Tabela </w:t>
      </w:r>
      <w:r w:rsidRPr="000B3E4E">
        <w:rPr>
          <w:i w:val="0"/>
          <w:iCs w:val="0"/>
          <w:color w:val="auto"/>
          <w:sz w:val="24"/>
          <w:szCs w:val="24"/>
        </w:rPr>
        <w:fldChar w:fldCharType="begin"/>
      </w:r>
      <w:r w:rsidRPr="000B3E4E">
        <w:rPr>
          <w:i w:val="0"/>
          <w:iCs w:val="0"/>
          <w:color w:val="auto"/>
          <w:sz w:val="24"/>
          <w:szCs w:val="24"/>
        </w:rPr>
        <w:instrText xml:space="preserve"> SEQ Tabela \* ARABIC </w:instrText>
      </w:r>
      <w:r w:rsidRPr="000B3E4E">
        <w:rPr>
          <w:i w:val="0"/>
          <w:iCs w:val="0"/>
          <w:color w:val="auto"/>
          <w:sz w:val="24"/>
          <w:szCs w:val="24"/>
        </w:rPr>
        <w:fldChar w:fldCharType="separate"/>
      </w:r>
      <w:r w:rsidR="00A76947">
        <w:rPr>
          <w:i w:val="0"/>
          <w:iCs w:val="0"/>
          <w:noProof/>
          <w:color w:val="auto"/>
          <w:sz w:val="24"/>
          <w:szCs w:val="24"/>
        </w:rPr>
        <w:t>5</w:t>
      </w:r>
      <w:r w:rsidRPr="000B3E4E">
        <w:rPr>
          <w:i w:val="0"/>
          <w:iCs w:val="0"/>
          <w:color w:val="auto"/>
          <w:sz w:val="24"/>
          <w:szCs w:val="24"/>
        </w:rPr>
        <w:fldChar w:fldCharType="end"/>
      </w:r>
      <w:r w:rsidRPr="000B3E4E">
        <w:rPr>
          <w:i w:val="0"/>
          <w:iCs w:val="0"/>
          <w:color w:val="auto"/>
          <w:sz w:val="24"/>
          <w:szCs w:val="24"/>
        </w:rPr>
        <w:t>. Wyniki osiągnięte przez model klasyfikacyjnego lasu losowego.</w:t>
      </w:r>
      <w:bookmarkEnd w:id="30"/>
    </w:p>
    <w:tbl>
      <w:tblPr>
        <w:tblStyle w:val="Tabela-Siatka"/>
        <w:tblW w:w="0" w:type="auto"/>
        <w:jc w:val="center"/>
        <w:tblLook w:val="04A0" w:firstRow="1" w:lastRow="0" w:firstColumn="1" w:lastColumn="0" w:noHBand="0" w:noVBand="1"/>
      </w:tblPr>
      <w:tblGrid>
        <w:gridCol w:w="1009"/>
        <w:gridCol w:w="1793"/>
        <w:gridCol w:w="756"/>
        <w:gridCol w:w="1795"/>
      </w:tblGrid>
      <w:tr w:rsidR="00B3325C" w14:paraId="2D5BC303" w14:textId="77777777" w:rsidTr="00D66FBF">
        <w:trPr>
          <w:jc w:val="center"/>
        </w:trPr>
        <w:tc>
          <w:tcPr>
            <w:tcW w:w="2802" w:type="dxa"/>
            <w:gridSpan w:val="2"/>
          </w:tcPr>
          <w:p w14:paraId="1A6D404C" w14:textId="77777777" w:rsidR="00B3325C" w:rsidRDefault="00B3325C" w:rsidP="00D66FBF">
            <w:pPr>
              <w:spacing w:line="360" w:lineRule="auto"/>
              <w:jc w:val="center"/>
            </w:pPr>
            <w:r>
              <w:t>Zbiór treningowy</w:t>
            </w:r>
          </w:p>
        </w:tc>
        <w:tc>
          <w:tcPr>
            <w:tcW w:w="2551" w:type="dxa"/>
            <w:gridSpan w:val="2"/>
          </w:tcPr>
          <w:p w14:paraId="6C485117" w14:textId="77777777" w:rsidR="00B3325C" w:rsidRDefault="00B3325C" w:rsidP="00D66FBF">
            <w:pPr>
              <w:spacing w:line="360" w:lineRule="auto"/>
              <w:jc w:val="center"/>
            </w:pPr>
            <w:r>
              <w:t>Zbiór testowy</w:t>
            </w:r>
          </w:p>
        </w:tc>
      </w:tr>
      <w:tr w:rsidR="00B3325C" w14:paraId="62D90BC6" w14:textId="77777777" w:rsidTr="00D66FBF">
        <w:trPr>
          <w:jc w:val="center"/>
        </w:trPr>
        <w:tc>
          <w:tcPr>
            <w:tcW w:w="1009" w:type="dxa"/>
          </w:tcPr>
          <w:p w14:paraId="3455140C" w14:textId="77777777" w:rsidR="00B3325C" w:rsidRDefault="00B3325C" w:rsidP="00D66FBF">
            <w:pPr>
              <w:spacing w:line="360" w:lineRule="auto"/>
              <w:jc w:val="center"/>
            </w:pPr>
            <w:r>
              <w:t>AUC</w:t>
            </w:r>
          </w:p>
        </w:tc>
        <w:tc>
          <w:tcPr>
            <w:tcW w:w="1793" w:type="dxa"/>
          </w:tcPr>
          <w:p w14:paraId="3EEECE8D" w14:textId="77777777" w:rsidR="00B3325C" w:rsidRDefault="00B3325C" w:rsidP="00D66FBF">
            <w:pPr>
              <w:spacing w:line="360" w:lineRule="auto"/>
              <w:jc w:val="center"/>
            </w:pPr>
            <w:r>
              <w:t>Wskaźnik 75%</w:t>
            </w:r>
          </w:p>
        </w:tc>
        <w:tc>
          <w:tcPr>
            <w:tcW w:w="756" w:type="dxa"/>
          </w:tcPr>
          <w:p w14:paraId="6A76C7EB" w14:textId="77777777" w:rsidR="00B3325C" w:rsidRDefault="00B3325C" w:rsidP="00D66FBF">
            <w:pPr>
              <w:spacing w:line="360" w:lineRule="auto"/>
              <w:jc w:val="center"/>
            </w:pPr>
            <w:r>
              <w:t>AUC</w:t>
            </w:r>
          </w:p>
        </w:tc>
        <w:tc>
          <w:tcPr>
            <w:tcW w:w="1795" w:type="dxa"/>
          </w:tcPr>
          <w:p w14:paraId="69E07443" w14:textId="77777777" w:rsidR="00B3325C" w:rsidRDefault="00B3325C" w:rsidP="00D66FBF">
            <w:pPr>
              <w:spacing w:line="360" w:lineRule="auto"/>
              <w:jc w:val="center"/>
            </w:pPr>
            <w:r>
              <w:t>Wskaźnik 75%</w:t>
            </w:r>
          </w:p>
        </w:tc>
      </w:tr>
      <w:tr w:rsidR="00B3325C" w14:paraId="12BADB1A" w14:textId="77777777" w:rsidTr="000B3E4E">
        <w:trPr>
          <w:trHeight w:val="70"/>
          <w:jc w:val="center"/>
        </w:trPr>
        <w:tc>
          <w:tcPr>
            <w:tcW w:w="1009" w:type="dxa"/>
          </w:tcPr>
          <w:p w14:paraId="3BA5982D" w14:textId="42A2FA08" w:rsidR="00B3325C" w:rsidRDefault="00B3325C" w:rsidP="00D66FBF">
            <w:pPr>
              <w:spacing w:line="360" w:lineRule="auto"/>
              <w:jc w:val="center"/>
            </w:pPr>
            <w:r>
              <w:t>0,</w:t>
            </w:r>
            <w:r>
              <w:t>897</w:t>
            </w:r>
          </w:p>
        </w:tc>
        <w:tc>
          <w:tcPr>
            <w:tcW w:w="1793" w:type="dxa"/>
          </w:tcPr>
          <w:p w14:paraId="5ACBC9BE" w14:textId="6479246F" w:rsidR="00B3325C" w:rsidRDefault="00B3325C" w:rsidP="00D66FBF">
            <w:pPr>
              <w:spacing w:line="360" w:lineRule="auto"/>
              <w:jc w:val="center"/>
            </w:pPr>
            <w:r>
              <w:t>0,9</w:t>
            </w:r>
            <w:r>
              <w:t>73</w:t>
            </w:r>
          </w:p>
        </w:tc>
        <w:tc>
          <w:tcPr>
            <w:tcW w:w="756" w:type="dxa"/>
          </w:tcPr>
          <w:p w14:paraId="57075E3B" w14:textId="0FCE4995" w:rsidR="00B3325C" w:rsidRDefault="00B3325C" w:rsidP="00D66FBF">
            <w:pPr>
              <w:spacing w:line="360" w:lineRule="auto"/>
              <w:jc w:val="center"/>
            </w:pPr>
            <w:r>
              <w:t>0,</w:t>
            </w:r>
            <w:r>
              <w:t>895</w:t>
            </w:r>
          </w:p>
        </w:tc>
        <w:tc>
          <w:tcPr>
            <w:tcW w:w="1795" w:type="dxa"/>
          </w:tcPr>
          <w:p w14:paraId="50B6DFF7" w14:textId="5CB34281" w:rsidR="00B3325C" w:rsidRDefault="00B3325C" w:rsidP="00D66FBF">
            <w:pPr>
              <w:spacing w:line="360" w:lineRule="auto"/>
              <w:jc w:val="center"/>
            </w:pPr>
            <w:r>
              <w:t>0,9</w:t>
            </w:r>
            <w:r>
              <w:t>72</w:t>
            </w:r>
          </w:p>
        </w:tc>
      </w:tr>
    </w:tbl>
    <w:p w14:paraId="6392CF0B" w14:textId="77777777" w:rsidR="00B579AA" w:rsidRDefault="00B579AA" w:rsidP="00B579AA">
      <w:pPr>
        <w:pStyle w:val="Tekstpodstawowy"/>
        <w:spacing w:line="360" w:lineRule="auto"/>
        <w:jc w:val="both"/>
        <w:rPr>
          <w:rFonts w:cs="Times New Roman"/>
          <w:szCs w:val="24"/>
        </w:rPr>
      </w:pPr>
    </w:p>
    <w:p w14:paraId="01025706" w14:textId="6255CC54" w:rsidR="00B579AA" w:rsidRDefault="00B579AA" w:rsidP="00B579A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56D3801A" w14:textId="4BF7CBFC" w:rsidR="00196709" w:rsidRDefault="00EC1280" w:rsidP="00196709">
      <w:pPr>
        <w:pStyle w:val="Tekstpodstawowy"/>
        <w:spacing w:line="360" w:lineRule="auto"/>
        <w:jc w:val="both"/>
        <w:rPr>
          <w:rFonts w:cs="Times New Roman"/>
          <w:szCs w:val="24"/>
        </w:rPr>
      </w:pPr>
      <w:r>
        <w:rPr>
          <w:rFonts w:cs="Times New Roman"/>
          <w:szCs w:val="24"/>
        </w:rPr>
        <w:tab/>
        <w:t>Z tabeli można odczytać, że</w:t>
      </w:r>
      <w:r w:rsidR="00196709">
        <w:rPr>
          <w:rFonts w:cs="Times New Roman"/>
          <w:szCs w:val="24"/>
        </w:rPr>
        <w:t xml:space="preserve"> mimo osiągnięcia wysokich wartości kryteriów do oceny jakości modelu, to</w:t>
      </w:r>
      <w:r>
        <w:rPr>
          <w:rFonts w:cs="Times New Roman"/>
          <w:szCs w:val="24"/>
        </w:rPr>
        <w:t xml:space="preserve"> w porównaniu z </w:t>
      </w:r>
      <w:r w:rsidR="00196709">
        <w:rPr>
          <w:rFonts w:cs="Times New Roman"/>
          <w:szCs w:val="24"/>
        </w:rPr>
        <w:t>klasyfikatorem</w:t>
      </w:r>
      <w:r>
        <w:rPr>
          <w:rFonts w:cs="Times New Roman"/>
          <w:szCs w:val="24"/>
        </w:rPr>
        <w:t xml:space="preserve"> zbudowanym</w:t>
      </w:r>
      <w:r w:rsidR="00196709">
        <w:rPr>
          <w:rFonts w:cs="Times New Roman"/>
          <w:szCs w:val="24"/>
        </w:rPr>
        <w:t xml:space="preserve"> z wykorzystaniem algorytmu Gradient </w:t>
      </w:r>
      <w:proofErr w:type="spellStart"/>
      <w:r w:rsidR="00196709">
        <w:rPr>
          <w:rFonts w:cs="Times New Roman"/>
          <w:szCs w:val="24"/>
        </w:rPr>
        <w:t>Boosting</w:t>
      </w:r>
      <w:proofErr w:type="spellEnd"/>
      <w:r w:rsidR="00196709">
        <w:rPr>
          <w:rFonts w:cs="Times New Roman"/>
          <w:szCs w:val="24"/>
        </w:rPr>
        <w:t xml:space="preserve"> Machine wyniki okazały się gorsze. Pole pod krzywą ROC jest znacznie mniejsze, natomiast zdolność modelu do wykrywania obserwacji pozytywnych pogorszyła się jedynie nieznacznie. Różnice nie są jednak znaczące i na tym etapie nie można jeszcze odrzucić zbudowanego modelu na korzyść poprzedniego klasyfikatora.</w:t>
      </w:r>
    </w:p>
    <w:p w14:paraId="7C596E4A" w14:textId="3DC40B9A" w:rsidR="00196709" w:rsidRDefault="00196709" w:rsidP="00196709">
      <w:pPr>
        <w:pStyle w:val="Tekstpodstawowy"/>
        <w:spacing w:line="360" w:lineRule="auto"/>
        <w:jc w:val="both"/>
        <w:rPr>
          <w:rFonts w:cs="Times New Roman"/>
          <w:szCs w:val="24"/>
        </w:rPr>
      </w:pPr>
    </w:p>
    <w:p w14:paraId="24FDF793" w14:textId="77777777" w:rsidR="00196709" w:rsidRDefault="00196709" w:rsidP="00196709">
      <w:pPr>
        <w:pStyle w:val="Tekstpodstawowy"/>
        <w:spacing w:line="360" w:lineRule="auto"/>
        <w:jc w:val="both"/>
        <w:rPr>
          <w:i/>
          <w:iCs/>
          <w:szCs w:val="24"/>
        </w:rPr>
      </w:pPr>
    </w:p>
    <w:p w14:paraId="5F2B0E7A" w14:textId="1486ECB5" w:rsidR="00B3325C" w:rsidRPr="000B3E4E" w:rsidRDefault="00B3325C" w:rsidP="000B3E4E">
      <w:pPr>
        <w:pStyle w:val="Legenda"/>
        <w:keepNext/>
        <w:spacing w:line="360" w:lineRule="auto"/>
        <w:jc w:val="both"/>
        <w:rPr>
          <w:i w:val="0"/>
          <w:iCs w:val="0"/>
          <w:color w:val="auto"/>
          <w:sz w:val="24"/>
          <w:szCs w:val="24"/>
        </w:rPr>
      </w:pPr>
      <w:bookmarkStart w:id="31" w:name="_Toc62167798"/>
      <w:r w:rsidRPr="000B3E4E">
        <w:rPr>
          <w:i w:val="0"/>
          <w:iCs w:val="0"/>
          <w:color w:val="auto"/>
          <w:sz w:val="24"/>
          <w:szCs w:val="24"/>
        </w:rPr>
        <w:lastRenderedPageBreak/>
        <w:t xml:space="preserve">Tabela </w:t>
      </w:r>
      <w:r w:rsidRPr="000B3E4E">
        <w:rPr>
          <w:i w:val="0"/>
          <w:iCs w:val="0"/>
          <w:color w:val="auto"/>
          <w:sz w:val="24"/>
          <w:szCs w:val="24"/>
        </w:rPr>
        <w:fldChar w:fldCharType="begin"/>
      </w:r>
      <w:r w:rsidRPr="000B3E4E">
        <w:rPr>
          <w:i w:val="0"/>
          <w:iCs w:val="0"/>
          <w:color w:val="auto"/>
          <w:sz w:val="24"/>
          <w:szCs w:val="24"/>
        </w:rPr>
        <w:instrText xml:space="preserve"> SEQ Tabela \* ARABIC </w:instrText>
      </w:r>
      <w:r w:rsidRPr="000B3E4E">
        <w:rPr>
          <w:i w:val="0"/>
          <w:iCs w:val="0"/>
          <w:color w:val="auto"/>
          <w:sz w:val="24"/>
          <w:szCs w:val="24"/>
        </w:rPr>
        <w:fldChar w:fldCharType="separate"/>
      </w:r>
      <w:r w:rsidR="00A76947">
        <w:rPr>
          <w:i w:val="0"/>
          <w:iCs w:val="0"/>
          <w:noProof/>
          <w:color w:val="auto"/>
          <w:sz w:val="24"/>
          <w:szCs w:val="24"/>
        </w:rPr>
        <w:t>6</w:t>
      </w:r>
      <w:r w:rsidRPr="000B3E4E">
        <w:rPr>
          <w:i w:val="0"/>
          <w:iCs w:val="0"/>
          <w:color w:val="auto"/>
          <w:sz w:val="24"/>
          <w:szCs w:val="24"/>
        </w:rPr>
        <w:fldChar w:fldCharType="end"/>
      </w:r>
      <w:r w:rsidRPr="000B3E4E">
        <w:rPr>
          <w:i w:val="0"/>
          <w:iCs w:val="0"/>
          <w:color w:val="auto"/>
          <w:sz w:val="24"/>
          <w:szCs w:val="24"/>
        </w:rPr>
        <w:t>.</w:t>
      </w:r>
      <w:r w:rsidR="000F779A">
        <w:rPr>
          <w:i w:val="0"/>
          <w:iCs w:val="0"/>
          <w:color w:val="auto"/>
          <w:sz w:val="24"/>
          <w:szCs w:val="24"/>
        </w:rPr>
        <w:t xml:space="preserve"> </w:t>
      </w:r>
      <w:r w:rsidRPr="000B3E4E">
        <w:rPr>
          <w:i w:val="0"/>
          <w:iCs w:val="0"/>
          <w:color w:val="auto"/>
          <w:sz w:val="24"/>
          <w:szCs w:val="24"/>
        </w:rPr>
        <w:t>Macierz błędów dla modelu klasyfikacyjnego lasu losowego na zbiorze testowym.</w:t>
      </w:r>
      <w:bookmarkEnd w:id="31"/>
    </w:p>
    <w:tbl>
      <w:tblPr>
        <w:tblStyle w:val="Tabela-Siatka"/>
        <w:tblW w:w="0" w:type="auto"/>
        <w:jc w:val="center"/>
        <w:tblLook w:val="04A0" w:firstRow="1" w:lastRow="0" w:firstColumn="1" w:lastColumn="0" w:noHBand="0" w:noVBand="1"/>
      </w:tblPr>
      <w:tblGrid>
        <w:gridCol w:w="688"/>
        <w:gridCol w:w="1972"/>
        <w:gridCol w:w="1984"/>
        <w:gridCol w:w="1985"/>
      </w:tblGrid>
      <w:tr w:rsidR="00905DE4" w14:paraId="284203FE" w14:textId="77777777" w:rsidTr="00D66FBF">
        <w:trPr>
          <w:jc w:val="center"/>
        </w:trPr>
        <w:tc>
          <w:tcPr>
            <w:tcW w:w="2660" w:type="dxa"/>
            <w:gridSpan w:val="2"/>
            <w:vMerge w:val="restart"/>
            <w:vAlign w:val="center"/>
          </w:tcPr>
          <w:p w14:paraId="4EFD26E1" w14:textId="77777777" w:rsidR="00905DE4" w:rsidRDefault="00905DE4" w:rsidP="00D66FBF">
            <w:pPr>
              <w:spacing w:line="360" w:lineRule="auto"/>
              <w:jc w:val="center"/>
            </w:pPr>
          </w:p>
        </w:tc>
        <w:tc>
          <w:tcPr>
            <w:tcW w:w="3969" w:type="dxa"/>
            <w:gridSpan w:val="2"/>
            <w:vAlign w:val="center"/>
          </w:tcPr>
          <w:p w14:paraId="60C95EAD" w14:textId="77777777" w:rsidR="00905DE4" w:rsidRDefault="00905DE4" w:rsidP="00D66FBF">
            <w:pPr>
              <w:spacing w:line="360" w:lineRule="auto"/>
              <w:jc w:val="center"/>
            </w:pPr>
            <w:r>
              <w:t>Predykcja</w:t>
            </w:r>
          </w:p>
        </w:tc>
      </w:tr>
      <w:tr w:rsidR="00905DE4" w14:paraId="7FC6FE24" w14:textId="77777777" w:rsidTr="00D66FBF">
        <w:trPr>
          <w:jc w:val="center"/>
        </w:trPr>
        <w:tc>
          <w:tcPr>
            <w:tcW w:w="2660" w:type="dxa"/>
            <w:gridSpan w:val="2"/>
            <w:vMerge/>
            <w:vAlign w:val="center"/>
          </w:tcPr>
          <w:p w14:paraId="079FE565" w14:textId="77777777" w:rsidR="00905DE4" w:rsidRDefault="00905DE4" w:rsidP="00D66FBF">
            <w:pPr>
              <w:spacing w:line="360" w:lineRule="auto"/>
              <w:jc w:val="center"/>
            </w:pPr>
          </w:p>
        </w:tc>
        <w:tc>
          <w:tcPr>
            <w:tcW w:w="1984" w:type="dxa"/>
            <w:vAlign w:val="center"/>
          </w:tcPr>
          <w:p w14:paraId="1C2FF70F" w14:textId="77777777" w:rsidR="00905DE4" w:rsidRDefault="00905DE4" w:rsidP="00D66FBF">
            <w:pPr>
              <w:spacing w:line="360" w:lineRule="auto"/>
              <w:jc w:val="center"/>
            </w:pPr>
            <w:r>
              <w:t>Klasa pozytywna</w:t>
            </w:r>
          </w:p>
        </w:tc>
        <w:tc>
          <w:tcPr>
            <w:tcW w:w="1985" w:type="dxa"/>
            <w:vAlign w:val="center"/>
          </w:tcPr>
          <w:p w14:paraId="7725CA18" w14:textId="77777777" w:rsidR="00905DE4" w:rsidRDefault="00905DE4" w:rsidP="00D66FBF">
            <w:pPr>
              <w:spacing w:line="360" w:lineRule="auto"/>
              <w:jc w:val="center"/>
            </w:pPr>
            <w:r>
              <w:t>Klasa negatywna</w:t>
            </w:r>
          </w:p>
        </w:tc>
      </w:tr>
      <w:tr w:rsidR="00905DE4" w14:paraId="7AFACD67" w14:textId="77777777" w:rsidTr="00D66FBF">
        <w:trPr>
          <w:trHeight w:val="928"/>
          <w:jc w:val="center"/>
        </w:trPr>
        <w:tc>
          <w:tcPr>
            <w:tcW w:w="688" w:type="dxa"/>
            <w:vMerge w:val="restart"/>
            <w:textDirection w:val="btLr"/>
            <w:vAlign w:val="center"/>
          </w:tcPr>
          <w:p w14:paraId="10109C00" w14:textId="77777777" w:rsidR="00905DE4" w:rsidRDefault="00905DE4" w:rsidP="00D66FBF">
            <w:pPr>
              <w:spacing w:line="360" w:lineRule="auto"/>
              <w:ind w:left="113" w:right="113"/>
              <w:jc w:val="center"/>
            </w:pPr>
            <w:r>
              <w:t>Rzeczywistość</w:t>
            </w:r>
          </w:p>
        </w:tc>
        <w:tc>
          <w:tcPr>
            <w:tcW w:w="1972" w:type="dxa"/>
            <w:vAlign w:val="center"/>
          </w:tcPr>
          <w:p w14:paraId="683D5549" w14:textId="77777777" w:rsidR="00905DE4" w:rsidRDefault="00905DE4" w:rsidP="00D66FBF">
            <w:pPr>
              <w:spacing w:line="360" w:lineRule="auto"/>
              <w:jc w:val="center"/>
            </w:pPr>
            <w:r>
              <w:t>Klasa pozytywna</w:t>
            </w:r>
          </w:p>
        </w:tc>
        <w:tc>
          <w:tcPr>
            <w:tcW w:w="1984" w:type="dxa"/>
            <w:vAlign w:val="center"/>
          </w:tcPr>
          <w:p w14:paraId="13FDAE95" w14:textId="4E8854E2" w:rsidR="00905DE4" w:rsidRDefault="00905DE4" w:rsidP="00D66FBF">
            <w:pPr>
              <w:spacing w:line="360" w:lineRule="auto"/>
              <w:jc w:val="center"/>
            </w:pPr>
            <w:r>
              <w:t>3 027</w:t>
            </w:r>
            <w:r>
              <w:t xml:space="preserve"> (</w:t>
            </w:r>
            <w:r w:rsidR="00B3325C">
              <w:t>29</w:t>
            </w:r>
            <w:r>
              <w:t>,</w:t>
            </w:r>
            <w:r w:rsidR="00B3325C">
              <w:t>00</w:t>
            </w:r>
            <w:r>
              <w:t>%)</w:t>
            </w:r>
          </w:p>
        </w:tc>
        <w:tc>
          <w:tcPr>
            <w:tcW w:w="1985" w:type="dxa"/>
            <w:vAlign w:val="center"/>
          </w:tcPr>
          <w:p w14:paraId="061F5489" w14:textId="03EEAC91" w:rsidR="00905DE4" w:rsidRDefault="00905DE4" w:rsidP="00D66FBF">
            <w:pPr>
              <w:spacing w:line="360" w:lineRule="auto"/>
              <w:jc w:val="center"/>
            </w:pPr>
            <w:r>
              <w:t>720</w:t>
            </w:r>
            <w:r>
              <w:t xml:space="preserve"> (</w:t>
            </w:r>
            <w:r w:rsidR="00B3325C">
              <w:t>6</w:t>
            </w:r>
            <w:r>
              <w:t>,</w:t>
            </w:r>
            <w:r w:rsidR="00B3325C">
              <w:t>90</w:t>
            </w:r>
            <w:r>
              <w:t>%)</w:t>
            </w:r>
          </w:p>
        </w:tc>
      </w:tr>
      <w:tr w:rsidR="00905DE4" w14:paraId="52017425" w14:textId="77777777" w:rsidTr="00D66FBF">
        <w:trPr>
          <w:trHeight w:val="842"/>
          <w:jc w:val="center"/>
        </w:trPr>
        <w:tc>
          <w:tcPr>
            <w:tcW w:w="688" w:type="dxa"/>
            <w:vMerge/>
            <w:vAlign w:val="center"/>
          </w:tcPr>
          <w:p w14:paraId="02A6ED1F" w14:textId="77777777" w:rsidR="00905DE4" w:rsidRDefault="00905DE4" w:rsidP="00D66FBF">
            <w:pPr>
              <w:spacing w:line="360" w:lineRule="auto"/>
              <w:jc w:val="center"/>
            </w:pPr>
          </w:p>
        </w:tc>
        <w:tc>
          <w:tcPr>
            <w:tcW w:w="1972" w:type="dxa"/>
            <w:vAlign w:val="center"/>
          </w:tcPr>
          <w:p w14:paraId="58E365BF" w14:textId="77777777" w:rsidR="00905DE4" w:rsidRDefault="00905DE4" w:rsidP="00D66FBF">
            <w:pPr>
              <w:spacing w:line="360" w:lineRule="auto"/>
              <w:jc w:val="center"/>
            </w:pPr>
            <w:r>
              <w:t>Klasa negatywna</w:t>
            </w:r>
          </w:p>
        </w:tc>
        <w:tc>
          <w:tcPr>
            <w:tcW w:w="1984" w:type="dxa"/>
            <w:vAlign w:val="center"/>
          </w:tcPr>
          <w:p w14:paraId="26C34607" w14:textId="285814DE" w:rsidR="00905DE4" w:rsidRDefault="00905DE4" w:rsidP="00D66FBF">
            <w:pPr>
              <w:spacing w:line="360" w:lineRule="auto"/>
              <w:jc w:val="center"/>
            </w:pPr>
            <w:r>
              <w:t>1 208</w:t>
            </w:r>
            <w:r>
              <w:t xml:space="preserve"> (</w:t>
            </w:r>
            <w:r w:rsidR="00B3325C">
              <w:t>11</w:t>
            </w:r>
            <w:r>
              <w:t>,</w:t>
            </w:r>
            <w:r w:rsidR="00B3325C">
              <w:t>57</w:t>
            </w:r>
            <w:r>
              <w:t>%)</w:t>
            </w:r>
          </w:p>
        </w:tc>
        <w:tc>
          <w:tcPr>
            <w:tcW w:w="1985" w:type="dxa"/>
            <w:vAlign w:val="center"/>
          </w:tcPr>
          <w:p w14:paraId="2C624BC4" w14:textId="0B09AF1E" w:rsidR="00905DE4" w:rsidRDefault="00905DE4" w:rsidP="00D66FBF">
            <w:pPr>
              <w:spacing w:line="360" w:lineRule="auto"/>
              <w:jc w:val="center"/>
            </w:pPr>
            <w:r>
              <w:t>5 483</w:t>
            </w:r>
            <w:r>
              <w:t xml:space="preserve"> (</w:t>
            </w:r>
            <w:r w:rsidR="00B3325C">
              <w:t>52</w:t>
            </w:r>
            <w:r>
              <w:t>,</w:t>
            </w:r>
            <w:r w:rsidR="00B3325C">
              <w:t>23</w:t>
            </w:r>
            <w:r>
              <w:t>%)</w:t>
            </w:r>
          </w:p>
        </w:tc>
      </w:tr>
    </w:tbl>
    <w:p w14:paraId="2070A39D" w14:textId="1C418837" w:rsidR="000F779A" w:rsidRDefault="000F779A" w:rsidP="003815BA">
      <w:pPr>
        <w:pStyle w:val="Default"/>
        <w:spacing w:line="360" w:lineRule="auto"/>
        <w:ind w:firstLine="708"/>
        <w:jc w:val="both"/>
        <w:rPr>
          <w:rFonts w:ascii="Times New Roman" w:hAnsi="Times New Roman" w:cs="Times New Roman"/>
          <w:b/>
        </w:rPr>
      </w:pPr>
    </w:p>
    <w:p w14:paraId="1B18B89A" w14:textId="77777777" w:rsidR="000F779A" w:rsidRPr="007052BA" w:rsidRDefault="000F779A" w:rsidP="000F779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19137914" w14:textId="08AE8729" w:rsidR="000F779A" w:rsidRPr="00C77B9C" w:rsidRDefault="00C77B9C" w:rsidP="00C77B9C">
      <w:pPr>
        <w:pStyle w:val="Default"/>
        <w:spacing w:line="360" w:lineRule="auto"/>
        <w:ind w:firstLine="708"/>
        <w:jc w:val="both"/>
        <w:rPr>
          <w:rFonts w:ascii="Times New Roman" w:hAnsi="Times New Roman" w:cs="Times New Roman"/>
          <w:bCs/>
        </w:rPr>
      </w:pPr>
      <w:r w:rsidRPr="00C77B9C">
        <w:rPr>
          <w:rFonts w:ascii="Times New Roman" w:hAnsi="Times New Roman" w:cs="Times New Roman"/>
          <w:bCs/>
        </w:rPr>
        <w:t xml:space="preserve">Z tabeli można odczytać, że model nie rozpoznał prawidłowo </w:t>
      </w:r>
      <w:r>
        <w:rPr>
          <w:rFonts w:ascii="Times New Roman" w:hAnsi="Times New Roman" w:cs="Times New Roman"/>
          <w:bCs/>
        </w:rPr>
        <w:t>720</w:t>
      </w:r>
      <w:r w:rsidRPr="00C77B9C">
        <w:rPr>
          <w:rFonts w:ascii="Times New Roman" w:hAnsi="Times New Roman" w:cs="Times New Roman"/>
          <w:bCs/>
        </w:rPr>
        <w:t xml:space="preserve"> spośród 3 747 firm, które upadły</w:t>
      </w:r>
      <w:r>
        <w:rPr>
          <w:rFonts w:ascii="Times New Roman" w:hAnsi="Times New Roman" w:cs="Times New Roman"/>
          <w:bCs/>
        </w:rPr>
        <w:t>, co jest wynikiem znacznie lepszym w porównaniu do poprzedniego modelu</w:t>
      </w:r>
      <w:r w:rsidRPr="00C77B9C">
        <w:rPr>
          <w:rFonts w:ascii="Times New Roman" w:hAnsi="Times New Roman" w:cs="Times New Roman"/>
          <w:bCs/>
        </w:rPr>
        <w:t xml:space="preserve">. Model prawidłowo zaklasyfikował </w:t>
      </w:r>
      <w:r>
        <w:rPr>
          <w:rFonts w:ascii="Times New Roman" w:hAnsi="Times New Roman" w:cs="Times New Roman"/>
          <w:bCs/>
        </w:rPr>
        <w:t>80,78</w:t>
      </w:r>
      <w:r w:rsidRPr="00C77B9C">
        <w:rPr>
          <w:rFonts w:ascii="Times New Roman" w:hAnsi="Times New Roman" w:cs="Times New Roman"/>
          <w:bCs/>
        </w:rPr>
        <w:t>% podmiotów, które zbankrutowały</w:t>
      </w:r>
      <w:r>
        <w:rPr>
          <w:rFonts w:ascii="Times New Roman" w:hAnsi="Times New Roman" w:cs="Times New Roman"/>
          <w:bCs/>
        </w:rPr>
        <w:t xml:space="preserve"> czyli o ponad 6 punktów procentowych więcej niż zbudowany wcześniej model. Zwraca jednak uwagę większa liczba podmiotów zaklasyfikowanych przez model do klasy pozytywnej. Znacznie zwiększył się odsetek podmiotów, które zostały zakwalifikowane do niej nieprawidłowo. Wraz ze wzrostem liczby prawidłowo klasyfikowanych obserwacji pozytywnych spadła ogólna skuteczność modelu. Zbudowany model można zatem ocenić jako bardziej konserwatywny </w:t>
      </w:r>
      <w:r w:rsidR="00DF2AF4">
        <w:rPr>
          <w:rFonts w:ascii="Times New Roman" w:hAnsi="Times New Roman" w:cs="Times New Roman"/>
          <w:bCs/>
        </w:rPr>
        <w:t xml:space="preserve">do poprzedniego w kwestii podejścia do ryzyka i wyznaczenia progu odcięcia. </w:t>
      </w:r>
      <w:r>
        <w:rPr>
          <w:rFonts w:ascii="Times New Roman" w:hAnsi="Times New Roman" w:cs="Times New Roman"/>
          <w:bCs/>
        </w:rPr>
        <w:t>Nie da się jednoznacznie porównać, który z nich jest lepszy bez kontekstu biznesowego i podejścia do ryzyka decydentów, którzy będą korzystać z efektów końcowych.</w:t>
      </w:r>
    </w:p>
    <w:p w14:paraId="46F8D65D" w14:textId="218BDC2F" w:rsidR="00B3167D" w:rsidRPr="00B3167D" w:rsidRDefault="00B3167D" w:rsidP="00B3167D">
      <w:pPr>
        <w:pStyle w:val="Legenda"/>
        <w:keepNext/>
        <w:spacing w:line="360" w:lineRule="auto"/>
        <w:jc w:val="both"/>
        <w:rPr>
          <w:i w:val="0"/>
          <w:iCs w:val="0"/>
          <w:color w:val="auto"/>
          <w:sz w:val="24"/>
          <w:szCs w:val="24"/>
        </w:rPr>
      </w:pPr>
      <w:bookmarkStart w:id="32" w:name="_Toc62166174"/>
      <w:r w:rsidRPr="00B3167D">
        <w:rPr>
          <w:i w:val="0"/>
          <w:iCs w:val="0"/>
          <w:color w:val="auto"/>
          <w:sz w:val="24"/>
          <w:szCs w:val="24"/>
        </w:rPr>
        <w:lastRenderedPageBreak/>
        <w:t xml:space="preserve">Wykres </w:t>
      </w:r>
      <w:r w:rsidRPr="00B3167D">
        <w:rPr>
          <w:i w:val="0"/>
          <w:iCs w:val="0"/>
          <w:color w:val="auto"/>
          <w:sz w:val="24"/>
          <w:szCs w:val="24"/>
        </w:rPr>
        <w:fldChar w:fldCharType="begin"/>
      </w:r>
      <w:r w:rsidRPr="00B3167D">
        <w:rPr>
          <w:i w:val="0"/>
          <w:iCs w:val="0"/>
          <w:color w:val="auto"/>
          <w:sz w:val="24"/>
          <w:szCs w:val="24"/>
        </w:rPr>
        <w:instrText xml:space="preserve"> SEQ Wykres \* ARABIC </w:instrText>
      </w:r>
      <w:r w:rsidRPr="00B3167D">
        <w:rPr>
          <w:i w:val="0"/>
          <w:iCs w:val="0"/>
          <w:color w:val="auto"/>
          <w:sz w:val="24"/>
          <w:szCs w:val="24"/>
        </w:rPr>
        <w:fldChar w:fldCharType="separate"/>
      </w:r>
      <w:r w:rsidR="00082597">
        <w:rPr>
          <w:i w:val="0"/>
          <w:iCs w:val="0"/>
          <w:noProof/>
          <w:color w:val="auto"/>
          <w:sz w:val="24"/>
          <w:szCs w:val="24"/>
        </w:rPr>
        <w:t>9</w:t>
      </w:r>
      <w:r w:rsidRPr="00B3167D">
        <w:rPr>
          <w:i w:val="0"/>
          <w:iCs w:val="0"/>
          <w:color w:val="auto"/>
          <w:sz w:val="24"/>
          <w:szCs w:val="24"/>
        </w:rPr>
        <w:fldChar w:fldCharType="end"/>
      </w:r>
      <w:r w:rsidRPr="00B3167D">
        <w:rPr>
          <w:i w:val="0"/>
          <w:iCs w:val="0"/>
          <w:color w:val="auto"/>
          <w:sz w:val="24"/>
          <w:szCs w:val="24"/>
        </w:rPr>
        <w:t>. Krzywe ROC dla modelu klasyfikacyjnego lasu losowego</w:t>
      </w:r>
      <w:bookmarkEnd w:id="32"/>
    </w:p>
    <w:p w14:paraId="092EB6BA" w14:textId="06E58EB6" w:rsidR="00B52E5F" w:rsidRDefault="000B3E4E" w:rsidP="000B3E4E">
      <w:pPr>
        <w:pStyle w:val="Default"/>
        <w:spacing w:line="360" w:lineRule="auto"/>
        <w:ind w:firstLine="708"/>
        <w:jc w:val="center"/>
      </w:pPr>
      <w:r>
        <w:rPr>
          <w:rFonts w:ascii="Times New Roman" w:hAnsi="Times New Roman" w:cs="Times New Roman"/>
          <w:bCs/>
          <w:noProof/>
        </w:rPr>
        <w:drawing>
          <wp:inline distT="0" distB="0" distL="0" distR="0" wp14:anchorId="5CE6ADF7" wp14:editId="6BE8334C">
            <wp:extent cx="4257675" cy="2867862"/>
            <wp:effectExtent l="0" t="0" r="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f_auc.png"/>
                    <pic:cNvPicPr/>
                  </pic:nvPicPr>
                  <pic:blipFill>
                    <a:blip r:embed="rId18">
                      <a:extLst>
                        <a:ext uri="{28A0092B-C50C-407E-A947-70E740481C1C}">
                          <a14:useLocalDpi xmlns:a14="http://schemas.microsoft.com/office/drawing/2010/main" val="0"/>
                        </a:ext>
                      </a:extLst>
                    </a:blip>
                    <a:stretch>
                      <a:fillRect/>
                    </a:stretch>
                  </pic:blipFill>
                  <pic:spPr>
                    <a:xfrm>
                      <a:off x="0" y="0"/>
                      <a:ext cx="4280590" cy="2883297"/>
                    </a:xfrm>
                    <a:prstGeom prst="rect">
                      <a:avLst/>
                    </a:prstGeom>
                  </pic:spPr>
                </pic:pic>
              </a:graphicData>
            </a:graphic>
          </wp:inline>
        </w:drawing>
      </w:r>
    </w:p>
    <w:p w14:paraId="3F60B87E" w14:textId="77777777" w:rsidR="00DF2AF4" w:rsidRPr="007052BA" w:rsidRDefault="00DF2AF4" w:rsidP="00DF2AF4">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6F29C1AC" w14:textId="2089B960" w:rsidR="00DF2AF4" w:rsidRDefault="00DF2AF4" w:rsidP="00DF2AF4">
      <w:pPr>
        <w:pStyle w:val="Tekstpodstawowy"/>
        <w:spacing w:line="360" w:lineRule="auto"/>
        <w:jc w:val="both"/>
        <w:rPr>
          <w:i/>
          <w:iCs/>
          <w:szCs w:val="24"/>
        </w:rPr>
      </w:pPr>
      <w:r>
        <w:rPr>
          <w:rFonts w:cs="Times New Roman"/>
          <w:szCs w:val="24"/>
        </w:rPr>
        <w:t>Z wykresu można odczytać, że model zachowuje się bardzo podobnie na obu wykorzystanych zbiorach i osiągane wyniki są stabilne.</w:t>
      </w:r>
      <w:r>
        <w:t xml:space="preserve"> Podobnie wygląda zdolność modelu do wykrywania obserwacji pozytywnych.</w:t>
      </w:r>
      <w:r>
        <w:t xml:space="preserve"> Zdolność do wykrywania obserwacji pozytywnych jest jednak zauważalnie niższa w porównaniu do modelu zbudowanego wcześniej. </w:t>
      </w:r>
    </w:p>
    <w:p w14:paraId="6024BB89" w14:textId="1693DF4A" w:rsidR="00B52E5F" w:rsidRPr="00B52E5F" w:rsidRDefault="00B52E5F" w:rsidP="00B52E5F">
      <w:pPr>
        <w:pStyle w:val="Legenda"/>
        <w:keepNext/>
        <w:spacing w:line="360" w:lineRule="auto"/>
        <w:jc w:val="both"/>
        <w:rPr>
          <w:i w:val="0"/>
          <w:iCs w:val="0"/>
          <w:color w:val="auto"/>
          <w:sz w:val="24"/>
          <w:szCs w:val="24"/>
        </w:rPr>
      </w:pPr>
      <w:bookmarkStart w:id="33" w:name="_Toc62166175"/>
      <w:r w:rsidRPr="00B52E5F">
        <w:rPr>
          <w:i w:val="0"/>
          <w:iCs w:val="0"/>
          <w:color w:val="auto"/>
          <w:sz w:val="24"/>
          <w:szCs w:val="24"/>
        </w:rPr>
        <w:t xml:space="preserve">Wykres </w:t>
      </w:r>
      <w:r w:rsidRPr="00B52E5F">
        <w:rPr>
          <w:i w:val="0"/>
          <w:iCs w:val="0"/>
          <w:color w:val="auto"/>
          <w:sz w:val="24"/>
          <w:szCs w:val="24"/>
        </w:rPr>
        <w:fldChar w:fldCharType="begin"/>
      </w:r>
      <w:r w:rsidRPr="00B52E5F">
        <w:rPr>
          <w:i w:val="0"/>
          <w:iCs w:val="0"/>
          <w:color w:val="auto"/>
          <w:sz w:val="24"/>
          <w:szCs w:val="24"/>
        </w:rPr>
        <w:instrText xml:space="preserve"> SEQ Wykres \* ARABIC </w:instrText>
      </w:r>
      <w:r w:rsidRPr="00B52E5F">
        <w:rPr>
          <w:i w:val="0"/>
          <w:iCs w:val="0"/>
          <w:color w:val="auto"/>
          <w:sz w:val="24"/>
          <w:szCs w:val="24"/>
        </w:rPr>
        <w:fldChar w:fldCharType="separate"/>
      </w:r>
      <w:r w:rsidR="00082597">
        <w:rPr>
          <w:i w:val="0"/>
          <w:iCs w:val="0"/>
          <w:noProof/>
          <w:color w:val="auto"/>
          <w:sz w:val="24"/>
          <w:szCs w:val="24"/>
        </w:rPr>
        <w:t>10</w:t>
      </w:r>
      <w:r w:rsidRPr="00B52E5F">
        <w:rPr>
          <w:i w:val="0"/>
          <w:iCs w:val="0"/>
          <w:color w:val="auto"/>
          <w:sz w:val="24"/>
          <w:szCs w:val="24"/>
        </w:rPr>
        <w:fldChar w:fldCharType="end"/>
      </w:r>
      <w:r w:rsidRPr="00B52E5F">
        <w:rPr>
          <w:i w:val="0"/>
          <w:iCs w:val="0"/>
          <w:color w:val="auto"/>
          <w:sz w:val="24"/>
          <w:szCs w:val="24"/>
        </w:rPr>
        <w:t>. Zdolność modelu klasyfikacyjnego lasu losowego do wykrywania obserwacji pozytywnych.</w:t>
      </w:r>
      <w:bookmarkEnd w:id="33"/>
    </w:p>
    <w:p w14:paraId="78ADE9B4" w14:textId="49250E18" w:rsidR="00A17A29" w:rsidRDefault="00F56483" w:rsidP="000B3E4E">
      <w:pPr>
        <w:pStyle w:val="Default"/>
        <w:spacing w:line="360" w:lineRule="auto"/>
        <w:ind w:firstLine="708"/>
        <w:jc w:val="center"/>
        <w:rPr>
          <w:rFonts w:ascii="Times New Roman" w:hAnsi="Times New Roman" w:cs="Times New Roman"/>
          <w:bCs/>
        </w:rPr>
      </w:pPr>
      <w:r>
        <w:rPr>
          <w:rFonts w:ascii="Times New Roman" w:hAnsi="Times New Roman" w:cs="Times New Roman"/>
          <w:bCs/>
          <w:noProof/>
        </w:rPr>
        <w:drawing>
          <wp:inline distT="0" distB="0" distL="0" distR="0" wp14:anchorId="2D9A978B" wp14:editId="75697E9C">
            <wp:extent cx="3886200" cy="261764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f_ratios.png"/>
                    <pic:cNvPicPr/>
                  </pic:nvPicPr>
                  <pic:blipFill>
                    <a:blip r:embed="rId19">
                      <a:extLst>
                        <a:ext uri="{28A0092B-C50C-407E-A947-70E740481C1C}">
                          <a14:useLocalDpi xmlns:a14="http://schemas.microsoft.com/office/drawing/2010/main" val="0"/>
                        </a:ext>
                      </a:extLst>
                    </a:blip>
                    <a:stretch>
                      <a:fillRect/>
                    </a:stretch>
                  </pic:blipFill>
                  <pic:spPr>
                    <a:xfrm>
                      <a:off x="0" y="0"/>
                      <a:ext cx="3901736" cy="2628112"/>
                    </a:xfrm>
                    <a:prstGeom prst="rect">
                      <a:avLst/>
                    </a:prstGeom>
                  </pic:spPr>
                </pic:pic>
              </a:graphicData>
            </a:graphic>
          </wp:inline>
        </w:drawing>
      </w:r>
    </w:p>
    <w:p w14:paraId="3400F309" w14:textId="77777777" w:rsidR="00DF2AF4" w:rsidRPr="007052BA" w:rsidRDefault="00DF2AF4" w:rsidP="00DF2AF4">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FEB9AA8" w14:textId="4953BD89" w:rsidR="00F60D21" w:rsidRDefault="00F60D21" w:rsidP="00983F85">
      <w:pPr>
        <w:pStyle w:val="Nagwek2"/>
        <w:spacing w:line="360" w:lineRule="auto"/>
        <w:jc w:val="both"/>
      </w:pPr>
      <w:bookmarkStart w:id="34" w:name="_Toc61804450"/>
      <w:r w:rsidRPr="00F60D21">
        <w:lastRenderedPageBreak/>
        <w:t>III.</w:t>
      </w:r>
      <w:r w:rsidR="007C04D7">
        <w:t>3</w:t>
      </w:r>
      <w:r w:rsidRPr="00F60D21">
        <w:t xml:space="preserve"> </w:t>
      </w:r>
      <w:r w:rsidR="008D739E">
        <w:rPr>
          <w:rFonts w:cs="Times New Roman"/>
          <w:szCs w:val="24"/>
        </w:rPr>
        <w:t>Model klasyfikacyjny zbudowany na podstawie algorytmu sieci neuronowych</w:t>
      </w:r>
      <w:r w:rsidR="00A24377">
        <w:t>.</w:t>
      </w:r>
      <w:bookmarkEnd w:id="34"/>
    </w:p>
    <w:p w14:paraId="54B17FD8" w14:textId="462442EB" w:rsidR="004C34CD" w:rsidRDefault="001013F6" w:rsidP="001013F6">
      <w:pPr>
        <w:pStyle w:val="Default"/>
        <w:spacing w:line="360" w:lineRule="auto"/>
        <w:ind w:firstLine="708"/>
        <w:jc w:val="both"/>
        <w:rPr>
          <w:rFonts w:ascii="Times New Roman" w:hAnsi="Times New Roman" w:cs="Times New Roman"/>
        </w:rPr>
      </w:pPr>
      <w:r>
        <w:rPr>
          <w:rFonts w:ascii="Times New Roman" w:hAnsi="Times New Roman" w:cs="Times New Roman"/>
        </w:rPr>
        <w:t>Ostatnim wykorzystanym algorytmem były sieci neuronowe. Z doświadczenia biznesowego autora jest to metoda, która ze wszystkich sprawdzonych 3 modeli sprawdza się najlepiej do rozwiązywania podobnych problemów, pod warunkiem zapewnienia dużej liczby obserwacji oraz zapewniania wystarczającej mocy obliczeniowej i czasu do wytrenowania klasyfikatora.</w:t>
      </w:r>
      <w:r w:rsidR="004C34CD">
        <w:rPr>
          <w:rFonts w:ascii="Times New Roman" w:hAnsi="Times New Roman" w:cs="Times New Roman"/>
        </w:rPr>
        <w:t xml:space="preserve"> Z tego powodu sieci neuronowe zostały użyte jako ostatnie, po sprawdzeniu początkowych wyników osiągniętych dzięki wykorzystaniu algorytmów, które nie potrzebują tak znacznej mocy obliczeniowej i czasu oczekiwania na wyniki.</w:t>
      </w:r>
      <w:r w:rsidR="00095CFB">
        <w:rPr>
          <w:rFonts w:ascii="Times New Roman" w:hAnsi="Times New Roman" w:cs="Times New Roman"/>
        </w:rPr>
        <w:t xml:space="preserve"> Należy jednak pamiętać, że w przypadku implementacji biznesowej narzędzia czas potrzebny do trenowania modelu nie będzie istotny z perspektywy generowania wyników.</w:t>
      </w:r>
      <w:r w:rsidR="00200E46">
        <w:rPr>
          <w:rFonts w:ascii="Times New Roman" w:hAnsi="Times New Roman" w:cs="Times New Roman"/>
        </w:rPr>
        <w:t xml:space="preserve"> Czas potrzebny do zastosowania już zbudowanego modelu jest natomiast zbliżony dla każdego typu algorytmu.</w:t>
      </w:r>
    </w:p>
    <w:p w14:paraId="2879C9DC" w14:textId="7A4B0481" w:rsidR="001013F6" w:rsidRPr="001013F6" w:rsidRDefault="000B5176" w:rsidP="001013F6">
      <w:pPr>
        <w:pStyle w:val="Default"/>
        <w:spacing w:line="360" w:lineRule="auto"/>
        <w:ind w:firstLine="708"/>
        <w:jc w:val="both"/>
        <w:rPr>
          <w:rFonts w:ascii="Times New Roman" w:hAnsi="Times New Roman" w:cs="Times New Roman"/>
        </w:rPr>
      </w:pPr>
      <w:r>
        <w:rPr>
          <w:rFonts w:ascii="Times New Roman" w:hAnsi="Times New Roman" w:cs="Times New Roman"/>
        </w:rPr>
        <w:t>Sieci neuronowe to a</w:t>
      </w:r>
      <w:r w:rsidR="001013F6" w:rsidRPr="001013F6">
        <w:rPr>
          <w:rFonts w:ascii="Times New Roman" w:hAnsi="Times New Roman" w:cs="Times New Roman"/>
        </w:rPr>
        <w:t>lgorytm</w:t>
      </w:r>
      <w:r>
        <w:rPr>
          <w:rFonts w:ascii="Times New Roman" w:hAnsi="Times New Roman" w:cs="Times New Roman"/>
        </w:rPr>
        <w:t>, który znajduje zastosowanie do rozwiązywania problemów</w:t>
      </w:r>
      <w:r w:rsidR="001013F6" w:rsidRPr="001013F6">
        <w:rPr>
          <w:rFonts w:ascii="Times New Roman" w:hAnsi="Times New Roman" w:cs="Times New Roman"/>
        </w:rPr>
        <w:t xml:space="preserve"> klasyfikacji dwu i wieloklasowej. </w:t>
      </w:r>
      <w:r>
        <w:rPr>
          <w:rFonts w:ascii="Times New Roman" w:hAnsi="Times New Roman" w:cs="Times New Roman"/>
        </w:rPr>
        <w:t>Może być również wykorzystany</w:t>
      </w:r>
      <w:r w:rsidRPr="001013F6">
        <w:rPr>
          <w:rFonts w:ascii="Times New Roman" w:hAnsi="Times New Roman" w:cs="Times New Roman"/>
        </w:rPr>
        <w:t xml:space="preserve"> w </w:t>
      </w:r>
      <w:r>
        <w:rPr>
          <w:rFonts w:ascii="Times New Roman" w:hAnsi="Times New Roman" w:cs="Times New Roman"/>
        </w:rPr>
        <w:t xml:space="preserve">przypadku </w:t>
      </w:r>
      <w:r w:rsidRPr="001013F6">
        <w:rPr>
          <w:rFonts w:ascii="Times New Roman" w:hAnsi="Times New Roman" w:cs="Times New Roman"/>
        </w:rPr>
        <w:t>problem</w:t>
      </w:r>
      <w:r>
        <w:rPr>
          <w:rFonts w:ascii="Times New Roman" w:hAnsi="Times New Roman" w:cs="Times New Roman"/>
        </w:rPr>
        <w:t>ów</w:t>
      </w:r>
      <w:r w:rsidRPr="001013F6">
        <w:rPr>
          <w:rFonts w:ascii="Times New Roman" w:hAnsi="Times New Roman" w:cs="Times New Roman"/>
        </w:rPr>
        <w:t xml:space="preserve"> regresyjnych.</w:t>
      </w:r>
      <w:r>
        <w:rPr>
          <w:rFonts w:ascii="Times New Roman" w:hAnsi="Times New Roman" w:cs="Times New Roman"/>
        </w:rPr>
        <w:t xml:space="preserve"> Jest to</w:t>
      </w:r>
      <w:r w:rsidR="001013F6" w:rsidRPr="001013F6">
        <w:rPr>
          <w:rFonts w:ascii="Times New Roman" w:hAnsi="Times New Roman" w:cs="Times New Roman"/>
        </w:rPr>
        <w:t xml:space="preserve"> najbardziej </w:t>
      </w:r>
      <w:r>
        <w:rPr>
          <w:rFonts w:ascii="Times New Roman" w:hAnsi="Times New Roman" w:cs="Times New Roman"/>
        </w:rPr>
        <w:t xml:space="preserve">skomplikowany z zastosowanych </w:t>
      </w:r>
      <w:r w:rsidR="001013F6" w:rsidRPr="001013F6">
        <w:rPr>
          <w:rFonts w:ascii="Times New Roman" w:hAnsi="Times New Roman" w:cs="Times New Roman"/>
        </w:rPr>
        <w:t>algorytm</w:t>
      </w:r>
      <w:r>
        <w:rPr>
          <w:rFonts w:ascii="Times New Roman" w:hAnsi="Times New Roman" w:cs="Times New Roman"/>
        </w:rPr>
        <w:t>ów.</w:t>
      </w:r>
      <w:r w:rsidR="001013F6" w:rsidRPr="001013F6">
        <w:rPr>
          <w:rFonts w:ascii="Times New Roman" w:hAnsi="Times New Roman" w:cs="Times New Roman"/>
        </w:rPr>
        <w:t xml:space="preserve"> Inspirowany</w:t>
      </w:r>
      <w:r w:rsidR="0013181D">
        <w:rPr>
          <w:rFonts w:ascii="Times New Roman" w:hAnsi="Times New Roman" w:cs="Times New Roman"/>
        </w:rPr>
        <w:t xml:space="preserve"> jest</w:t>
      </w:r>
      <w:r w:rsidR="001013F6" w:rsidRPr="001013F6">
        <w:rPr>
          <w:rFonts w:ascii="Times New Roman" w:hAnsi="Times New Roman" w:cs="Times New Roman"/>
        </w:rPr>
        <w:t xml:space="preserve"> działaniem ludzkiego mózgu</w:t>
      </w:r>
      <w:r w:rsidR="001013F6">
        <w:rPr>
          <w:rFonts w:ascii="Times New Roman" w:hAnsi="Times New Roman" w:cs="Times New Roman"/>
        </w:rPr>
        <w:t xml:space="preserve"> i </w:t>
      </w:r>
      <w:r w:rsidR="0057256A">
        <w:rPr>
          <w:rFonts w:ascii="Times New Roman" w:hAnsi="Times New Roman" w:cs="Times New Roman"/>
        </w:rPr>
        <w:t xml:space="preserve">strukturami </w:t>
      </w:r>
      <w:r w:rsidR="001013F6">
        <w:rPr>
          <w:rFonts w:ascii="Times New Roman" w:hAnsi="Times New Roman" w:cs="Times New Roman"/>
        </w:rPr>
        <w:t>genety</w:t>
      </w:r>
      <w:r w:rsidR="0057256A">
        <w:rPr>
          <w:rFonts w:ascii="Times New Roman" w:hAnsi="Times New Roman" w:cs="Times New Roman"/>
        </w:rPr>
        <w:t>cznymi</w:t>
      </w:r>
      <w:r w:rsidR="001013F6" w:rsidRPr="001013F6">
        <w:rPr>
          <w:rFonts w:ascii="Times New Roman" w:hAnsi="Times New Roman" w:cs="Times New Roman"/>
        </w:rPr>
        <w:t>.</w:t>
      </w:r>
    </w:p>
    <w:p w14:paraId="4D885D1F" w14:textId="77777777" w:rsidR="00767C6D" w:rsidRDefault="000B5176" w:rsidP="00C96223">
      <w:pPr>
        <w:pStyle w:val="Default"/>
        <w:spacing w:line="360" w:lineRule="auto"/>
        <w:ind w:firstLine="708"/>
        <w:jc w:val="both"/>
        <w:rPr>
          <w:rFonts w:ascii="Times New Roman" w:hAnsi="Times New Roman" w:cs="Times New Roman"/>
        </w:rPr>
      </w:pPr>
      <w:r>
        <w:rPr>
          <w:rFonts w:ascii="Times New Roman" w:hAnsi="Times New Roman" w:cs="Times New Roman"/>
        </w:rPr>
        <w:t>Sieci neuronowe składają się z wielu warstw neuronów</w:t>
      </w:r>
      <w:r w:rsidR="006421A4">
        <w:rPr>
          <w:rFonts w:ascii="Times New Roman" w:hAnsi="Times New Roman" w:cs="Times New Roman"/>
        </w:rPr>
        <w:t xml:space="preserve"> połączonych ze sobą synapsami</w:t>
      </w:r>
      <w:r>
        <w:rPr>
          <w:rFonts w:ascii="Times New Roman" w:hAnsi="Times New Roman" w:cs="Times New Roman"/>
        </w:rPr>
        <w:t>, które komunikują się ze sobą pomiędzy poszczególnymi warstwami i uczą się na podstawie dostarczonych informacji.</w:t>
      </w:r>
      <w:r w:rsidR="00700D43">
        <w:rPr>
          <w:rFonts w:ascii="Times New Roman" w:hAnsi="Times New Roman" w:cs="Times New Roman"/>
        </w:rPr>
        <w:t xml:space="preserve"> W</w:t>
      </w:r>
      <w:r w:rsidR="00700D43" w:rsidRPr="001013F6">
        <w:rPr>
          <w:rFonts w:ascii="Times New Roman" w:hAnsi="Times New Roman" w:cs="Times New Roman"/>
        </w:rPr>
        <w:t>arstwy</w:t>
      </w:r>
      <w:r w:rsidR="00700D43">
        <w:rPr>
          <w:rFonts w:ascii="Times New Roman" w:hAnsi="Times New Roman" w:cs="Times New Roman"/>
        </w:rPr>
        <w:t xml:space="preserve"> skupiają grupy neuronów. K</w:t>
      </w:r>
      <w:r w:rsidR="00700D43" w:rsidRPr="001013F6">
        <w:rPr>
          <w:rFonts w:ascii="Times New Roman" w:hAnsi="Times New Roman" w:cs="Times New Roman"/>
        </w:rPr>
        <w:t xml:space="preserve">ażdy neuron jest połączony z </w:t>
      </w:r>
      <w:r w:rsidR="00700D43">
        <w:rPr>
          <w:rFonts w:ascii="Times New Roman" w:hAnsi="Times New Roman" w:cs="Times New Roman"/>
        </w:rPr>
        <w:t xml:space="preserve">innym </w:t>
      </w:r>
      <w:r w:rsidR="00700D43" w:rsidRPr="001013F6">
        <w:rPr>
          <w:rFonts w:ascii="Times New Roman" w:hAnsi="Times New Roman" w:cs="Times New Roman"/>
        </w:rPr>
        <w:t>neuronem warstwy poprzedzającej.</w:t>
      </w:r>
      <w:r w:rsidR="00700D43">
        <w:rPr>
          <w:rFonts w:ascii="Times New Roman" w:hAnsi="Times New Roman" w:cs="Times New Roman"/>
        </w:rPr>
        <w:t xml:space="preserve"> </w:t>
      </w:r>
      <w:r>
        <w:rPr>
          <w:rFonts w:ascii="Times New Roman" w:hAnsi="Times New Roman" w:cs="Times New Roman"/>
        </w:rPr>
        <w:t>K</w:t>
      </w:r>
      <w:r w:rsidRPr="000B5176">
        <w:rPr>
          <w:rFonts w:ascii="Times New Roman" w:hAnsi="Times New Roman" w:cs="Times New Roman"/>
        </w:rPr>
        <w:t>ażdy neuron przeprowadza własne proste obliczenia, a sieć, którą tworzą wszystkie neurony, zwielokrotnia potencjał tych obliczeń</w:t>
      </w:r>
      <w:r>
        <w:rPr>
          <w:rFonts w:ascii="Times New Roman" w:hAnsi="Times New Roman" w:cs="Times New Roman"/>
        </w:rPr>
        <w:t>.</w:t>
      </w:r>
      <w:r w:rsidR="006421A4">
        <w:rPr>
          <w:rFonts w:ascii="Times New Roman" w:hAnsi="Times New Roman" w:cs="Times New Roman"/>
        </w:rPr>
        <w:t xml:space="preserve"> Najważniejszym</w:t>
      </w:r>
      <w:r w:rsidR="001013F6" w:rsidRPr="001013F6">
        <w:rPr>
          <w:rFonts w:ascii="Times New Roman" w:hAnsi="Times New Roman" w:cs="Times New Roman"/>
        </w:rPr>
        <w:t xml:space="preserve"> elementem sieci neuronowej jest </w:t>
      </w:r>
      <w:r w:rsidR="006421A4">
        <w:rPr>
          <w:rFonts w:ascii="Times New Roman" w:hAnsi="Times New Roman" w:cs="Times New Roman"/>
        </w:rPr>
        <w:t xml:space="preserve">perceptron, czyli </w:t>
      </w:r>
      <w:r w:rsidR="001013F6" w:rsidRPr="001013F6">
        <w:rPr>
          <w:rFonts w:ascii="Times New Roman" w:hAnsi="Times New Roman" w:cs="Times New Roman"/>
        </w:rPr>
        <w:t>neuron przetwarzający</w:t>
      </w:r>
      <w:r w:rsidR="00E1105B">
        <w:rPr>
          <w:rFonts w:ascii="Times New Roman" w:hAnsi="Times New Roman" w:cs="Times New Roman"/>
        </w:rPr>
        <w:t>, który skupia informacje z warstwy wejściowej</w:t>
      </w:r>
      <w:r w:rsidR="001013F6" w:rsidRPr="001013F6">
        <w:rPr>
          <w:rFonts w:ascii="Times New Roman" w:hAnsi="Times New Roman" w:cs="Times New Roman"/>
        </w:rPr>
        <w:t xml:space="preserve">. </w:t>
      </w:r>
      <w:r w:rsidR="004F1BB5" w:rsidRPr="004F1BB5">
        <w:rPr>
          <w:rFonts w:ascii="Times New Roman" w:hAnsi="Times New Roman" w:cs="Times New Roman"/>
        </w:rPr>
        <w:t xml:space="preserve">Perceptron </w:t>
      </w:r>
      <w:r w:rsidR="004F1BB5">
        <w:rPr>
          <w:rFonts w:ascii="Times New Roman" w:hAnsi="Times New Roman" w:cs="Times New Roman"/>
        </w:rPr>
        <w:t>posiada kilka wejść</w:t>
      </w:r>
      <w:r w:rsidR="004F1BB5" w:rsidRPr="004F1BB5">
        <w:rPr>
          <w:rFonts w:ascii="Times New Roman" w:hAnsi="Times New Roman" w:cs="Times New Roman"/>
        </w:rPr>
        <w:t>, do których przypisane są wagi</w:t>
      </w:r>
      <w:r w:rsidR="004F1BB5">
        <w:rPr>
          <w:rFonts w:ascii="Times New Roman" w:hAnsi="Times New Roman" w:cs="Times New Roman"/>
        </w:rPr>
        <w:t xml:space="preserve"> (np. waga wpływu zmiennej objaśniającej na zmienną celu)</w:t>
      </w:r>
      <w:r w:rsidR="004F1BB5" w:rsidRPr="004F1BB5">
        <w:rPr>
          <w:rFonts w:ascii="Times New Roman" w:hAnsi="Times New Roman" w:cs="Times New Roman"/>
        </w:rPr>
        <w:t>, określające</w:t>
      </w:r>
      <w:r w:rsidR="00700D43">
        <w:rPr>
          <w:rFonts w:ascii="Times New Roman" w:hAnsi="Times New Roman" w:cs="Times New Roman"/>
        </w:rPr>
        <w:t xml:space="preserve"> </w:t>
      </w:r>
      <w:r w:rsidR="004F1BB5" w:rsidRPr="004F1BB5">
        <w:rPr>
          <w:rFonts w:ascii="Times New Roman" w:hAnsi="Times New Roman" w:cs="Times New Roman"/>
        </w:rPr>
        <w:t>jak duży wpływ ma wielkość z danego wejścia na wynik</w:t>
      </w:r>
      <w:r w:rsidR="004F1BB5">
        <w:rPr>
          <w:rFonts w:ascii="Times New Roman" w:hAnsi="Times New Roman" w:cs="Times New Roman"/>
        </w:rPr>
        <w:t xml:space="preserve"> końcowy. </w:t>
      </w:r>
      <w:r w:rsidR="001013F6" w:rsidRPr="001013F6">
        <w:rPr>
          <w:rFonts w:ascii="Times New Roman" w:hAnsi="Times New Roman" w:cs="Times New Roman"/>
        </w:rPr>
        <w:t>W sieci znajduje się wiele neuronów, które posiadają dowolną liczbę wejść i wyjść.</w:t>
      </w:r>
    </w:p>
    <w:p w14:paraId="065C304B" w14:textId="60C08FEE" w:rsidR="00A76947" w:rsidRDefault="001013F6" w:rsidP="00A76947">
      <w:pPr>
        <w:pStyle w:val="Default"/>
        <w:spacing w:line="360" w:lineRule="auto"/>
        <w:ind w:firstLine="708"/>
        <w:jc w:val="both"/>
        <w:rPr>
          <w:color w:val="auto"/>
        </w:rPr>
      </w:pPr>
      <w:r w:rsidRPr="001013F6">
        <w:rPr>
          <w:rFonts w:ascii="Times New Roman" w:hAnsi="Times New Roman" w:cs="Times New Roman"/>
        </w:rPr>
        <w:t xml:space="preserve">Wartości zmiennych są zatem przekazywane </w:t>
      </w:r>
      <w:r w:rsidR="000F7E3E">
        <w:rPr>
          <w:rFonts w:ascii="Times New Roman" w:hAnsi="Times New Roman" w:cs="Times New Roman"/>
        </w:rPr>
        <w:t>kolejno</w:t>
      </w:r>
      <w:r w:rsidRPr="001013F6">
        <w:rPr>
          <w:rFonts w:ascii="Times New Roman" w:hAnsi="Times New Roman" w:cs="Times New Roman"/>
        </w:rPr>
        <w:t xml:space="preserve"> pomiędzy poszczególnymi warstwami sieci</w:t>
      </w:r>
      <w:r w:rsidR="00E1105B">
        <w:rPr>
          <w:rFonts w:ascii="Times New Roman" w:hAnsi="Times New Roman" w:cs="Times New Roman"/>
        </w:rPr>
        <w:t>, gdzie zachodzi proces uczenia się sieci</w:t>
      </w:r>
      <w:r w:rsidRPr="001013F6">
        <w:rPr>
          <w:rFonts w:ascii="Times New Roman" w:hAnsi="Times New Roman" w:cs="Times New Roman"/>
        </w:rPr>
        <w:t xml:space="preserve">. W </w:t>
      </w:r>
      <w:r w:rsidR="000F7E3E">
        <w:rPr>
          <w:rFonts w:ascii="Times New Roman" w:hAnsi="Times New Roman" w:cs="Times New Roman"/>
        </w:rPr>
        <w:t xml:space="preserve">każdej z warstw </w:t>
      </w:r>
      <w:r w:rsidRPr="001013F6">
        <w:rPr>
          <w:rFonts w:ascii="Times New Roman" w:hAnsi="Times New Roman" w:cs="Times New Roman"/>
        </w:rPr>
        <w:t>wykonywane</w:t>
      </w:r>
      <w:r w:rsidR="000F7E3E">
        <w:rPr>
          <w:rFonts w:ascii="Times New Roman" w:hAnsi="Times New Roman" w:cs="Times New Roman"/>
        </w:rPr>
        <w:t xml:space="preserve"> są</w:t>
      </w:r>
      <w:r w:rsidRPr="001013F6">
        <w:rPr>
          <w:rFonts w:ascii="Times New Roman" w:hAnsi="Times New Roman" w:cs="Times New Roman"/>
        </w:rPr>
        <w:t xml:space="preserve"> operacje na zmiennych, aż do osiągnięcia wartości wynikowe</w:t>
      </w:r>
      <w:r w:rsidR="000F7E3E">
        <w:rPr>
          <w:rFonts w:ascii="Times New Roman" w:hAnsi="Times New Roman" w:cs="Times New Roman"/>
        </w:rPr>
        <w:t xml:space="preserve">j w ostatniej warstwie wyjściowej, która </w:t>
      </w:r>
      <w:r w:rsidR="00E1105B">
        <w:rPr>
          <w:rFonts w:ascii="Times New Roman" w:hAnsi="Times New Roman" w:cs="Times New Roman"/>
        </w:rPr>
        <w:t>agreguje zebrane informacje, gromadzi</w:t>
      </w:r>
      <w:r w:rsidR="000F7E3E">
        <w:rPr>
          <w:rFonts w:ascii="Times New Roman" w:hAnsi="Times New Roman" w:cs="Times New Roman"/>
        </w:rPr>
        <w:t xml:space="preserve"> wnioski i dostarcza wyniki analizy</w:t>
      </w:r>
      <w:r w:rsidR="00E1105B">
        <w:rPr>
          <w:rStyle w:val="Odwoanieprzypisudolnego"/>
          <w:rFonts w:ascii="Times New Roman" w:hAnsi="Times New Roman" w:cs="Times New Roman"/>
        </w:rPr>
        <w:footnoteReference w:id="33"/>
      </w:r>
      <w:r w:rsidR="000F7E3E">
        <w:rPr>
          <w:rFonts w:ascii="Times New Roman" w:hAnsi="Times New Roman" w:cs="Times New Roman"/>
        </w:rPr>
        <w:t>.</w:t>
      </w:r>
    </w:p>
    <w:p w14:paraId="460C4BB1" w14:textId="565E7F77" w:rsidR="00A76947" w:rsidRDefault="00A76947" w:rsidP="00A76947">
      <w:pPr>
        <w:pStyle w:val="Legenda"/>
        <w:keepNext/>
        <w:rPr>
          <w:color w:val="auto"/>
          <w:sz w:val="24"/>
          <w:szCs w:val="24"/>
        </w:rPr>
      </w:pPr>
    </w:p>
    <w:p w14:paraId="024CE88D" w14:textId="77777777" w:rsidR="00A76947" w:rsidRPr="00A76947" w:rsidRDefault="00A76947" w:rsidP="00A76947"/>
    <w:p w14:paraId="666CAABC" w14:textId="2DFA7346" w:rsidR="00A76947" w:rsidRPr="00A76947" w:rsidRDefault="00A76947" w:rsidP="00A76947">
      <w:pPr>
        <w:pStyle w:val="Legenda"/>
        <w:keepNext/>
        <w:spacing w:line="360" w:lineRule="auto"/>
        <w:jc w:val="both"/>
        <w:rPr>
          <w:i w:val="0"/>
          <w:iCs w:val="0"/>
          <w:color w:val="auto"/>
          <w:sz w:val="24"/>
          <w:szCs w:val="24"/>
        </w:rPr>
      </w:pPr>
      <w:bookmarkStart w:id="36" w:name="_Toc62167799"/>
      <w:r w:rsidRPr="00A76947">
        <w:rPr>
          <w:i w:val="0"/>
          <w:iCs w:val="0"/>
          <w:color w:val="auto"/>
          <w:sz w:val="24"/>
          <w:szCs w:val="24"/>
        </w:rPr>
        <w:lastRenderedPageBreak/>
        <w:t xml:space="preserve">Tabela </w:t>
      </w:r>
      <w:r w:rsidRPr="00A76947">
        <w:rPr>
          <w:i w:val="0"/>
          <w:iCs w:val="0"/>
          <w:color w:val="auto"/>
          <w:sz w:val="24"/>
          <w:szCs w:val="24"/>
        </w:rPr>
        <w:fldChar w:fldCharType="begin"/>
      </w:r>
      <w:r w:rsidRPr="00A76947">
        <w:rPr>
          <w:i w:val="0"/>
          <w:iCs w:val="0"/>
          <w:color w:val="auto"/>
          <w:sz w:val="24"/>
          <w:szCs w:val="24"/>
        </w:rPr>
        <w:instrText xml:space="preserve"> SEQ Tabela \* ARABIC </w:instrText>
      </w:r>
      <w:r w:rsidRPr="00A76947">
        <w:rPr>
          <w:i w:val="0"/>
          <w:iCs w:val="0"/>
          <w:color w:val="auto"/>
          <w:sz w:val="24"/>
          <w:szCs w:val="24"/>
        </w:rPr>
        <w:fldChar w:fldCharType="separate"/>
      </w:r>
      <w:r>
        <w:rPr>
          <w:i w:val="0"/>
          <w:iCs w:val="0"/>
          <w:noProof/>
          <w:color w:val="auto"/>
          <w:sz w:val="24"/>
          <w:szCs w:val="24"/>
        </w:rPr>
        <w:t>7</w:t>
      </w:r>
      <w:r w:rsidRPr="00A76947">
        <w:rPr>
          <w:i w:val="0"/>
          <w:iCs w:val="0"/>
          <w:color w:val="auto"/>
          <w:sz w:val="24"/>
          <w:szCs w:val="24"/>
        </w:rPr>
        <w:fldChar w:fldCharType="end"/>
      </w:r>
      <w:r w:rsidRPr="00A76947">
        <w:rPr>
          <w:i w:val="0"/>
          <w:iCs w:val="0"/>
          <w:color w:val="auto"/>
          <w:sz w:val="24"/>
          <w:szCs w:val="24"/>
        </w:rPr>
        <w:t>. Wyniki osiągnięte przez model sieci neuronowych.</w:t>
      </w:r>
      <w:bookmarkEnd w:id="36"/>
    </w:p>
    <w:tbl>
      <w:tblPr>
        <w:tblStyle w:val="Tabela-Siatka"/>
        <w:tblW w:w="0" w:type="auto"/>
        <w:jc w:val="center"/>
        <w:tblLook w:val="04A0" w:firstRow="1" w:lastRow="0" w:firstColumn="1" w:lastColumn="0" w:noHBand="0" w:noVBand="1"/>
      </w:tblPr>
      <w:tblGrid>
        <w:gridCol w:w="1009"/>
        <w:gridCol w:w="1793"/>
        <w:gridCol w:w="756"/>
        <w:gridCol w:w="1795"/>
      </w:tblGrid>
      <w:tr w:rsidR="00A76947" w14:paraId="6DDDACA1" w14:textId="77777777" w:rsidTr="00D66FBF">
        <w:trPr>
          <w:jc w:val="center"/>
        </w:trPr>
        <w:tc>
          <w:tcPr>
            <w:tcW w:w="2802" w:type="dxa"/>
            <w:gridSpan w:val="2"/>
          </w:tcPr>
          <w:p w14:paraId="21BCF6F8" w14:textId="77777777" w:rsidR="00A76947" w:rsidRDefault="00A76947" w:rsidP="00D66FBF">
            <w:pPr>
              <w:spacing w:line="360" w:lineRule="auto"/>
              <w:jc w:val="center"/>
            </w:pPr>
            <w:r>
              <w:t>Zbiór treningowy</w:t>
            </w:r>
          </w:p>
        </w:tc>
        <w:tc>
          <w:tcPr>
            <w:tcW w:w="2551" w:type="dxa"/>
            <w:gridSpan w:val="2"/>
          </w:tcPr>
          <w:p w14:paraId="695B47C8" w14:textId="77777777" w:rsidR="00A76947" w:rsidRDefault="00A76947" w:rsidP="00D66FBF">
            <w:pPr>
              <w:spacing w:line="360" w:lineRule="auto"/>
              <w:jc w:val="center"/>
            </w:pPr>
            <w:r>
              <w:t>Zbiór testowy</w:t>
            </w:r>
          </w:p>
        </w:tc>
      </w:tr>
      <w:tr w:rsidR="00A76947" w14:paraId="2D793CB9" w14:textId="77777777" w:rsidTr="00D66FBF">
        <w:trPr>
          <w:jc w:val="center"/>
        </w:trPr>
        <w:tc>
          <w:tcPr>
            <w:tcW w:w="1009" w:type="dxa"/>
          </w:tcPr>
          <w:p w14:paraId="6C3488AF" w14:textId="77777777" w:rsidR="00A76947" w:rsidRDefault="00A76947" w:rsidP="00D66FBF">
            <w:pPr>
              <w:spacing w:line="360" w:lineRule="auto"/>
              <w:jc w:val="center"/>
            </w:pPr>
            <w:r>
              <w:t>AUC</w:t>
            </w:r>
          </w:p>
        </w:tc>
        <w:tc>
          <w:tcPr>
            <w:tcW w:w="1793" w:type="dxa"/>
          </w:tcPr>
          <w:p w14:paraId="366C8681" w14:textId="77777777" w:rsidR="00A76947" w:rsidRDefault="00A76947" w:rsidP="00D66FBF">
            <w:pPr>
              <w:spacing w:line="360" w:lineRule="auto"/>
              <w:jc w:val="center"/>
            </w:pPr>
            <w:r>
              <w:t>Wskaźnik 75%</w:t>
            </w:r>
          </w:p>
        </w:tc>
        <w:tc>
          <w:tcPr>
            <w:tcW w:w="756" w:type="dxa"/>
          </w:tcPr>
          <w:p w14:paraId="7C70D01C" w14:textId="77777777" w:rsidR="00A76947" w:rsidRDefault="00A76947" w:rsidP="00D66FBF">
            <w:pPr>
              <w:spacing w:line="360" w:lineRule="auto"/>
              <w:jc w:val="center"/>
            </w:pPr>
            <w:r>
              <w:t>AUC</w:t>
            </w:r>
          </w:p>
        </w:tc>
        <w:tc>
          <w:tcPr>
            <w:tcW w:w="1795" w:type="dxa"/>
          </w:tcPr>
          <w:p w14:paraId="0EECCCCB" w14:textId="77777777" w:rsidR="00A76947" w:rsidRDefault="00A76947" w:rsidP="00D66FBF">
            <w:pPr>
              <w:spacing w:line="360" w:lineRule="auto"/>
              <w:jc w:val="center"/>
            </w:pPr>
            <w:r>
              <w:t>Wskaźnik 75%</w:t>
            </w:r>
          </w:p>
        </w:tc>
      </w:tr>
      <w:tr w:rsidR="00A76947" w14:paraId="5FD0DEE7" w14:textId="77777777" w:rsidTr="00D66FBF">
        <w:trPr>
          <w:trHeight w:val="70"/>
          <w:jc w:val="center"/>
        </w:trPr>
        <w:tc>
          <w:tcPr>
            <w:tcW w:w="1009" w:type="dxa"/>
          </w:tcPr>
          <w:p w14:paraId="1F1B48CB" w14:textId="4E1FD11F" w:rsidR="00A76947" w:rsidRDefault="00A76947" w:rsidP="00D66FBF">
            <w:pPr>
              <w:spacing w:line="360" w:lineRule="auto"/>
              <w:jc w:val="center"/>
            </w:pPr>
            <w:r>
              <w:t>0,</w:t>
            </w:r>
            <w:r>
              <w:t>955</w:t>
            </w:r>
          </w:p>
        </w:tc>
        <w:tc>
          <w:tcPr>
            <w:tcW w:w="1793" w:type="dxa"/>
          </w:tcPr>
          <w:p w14:paraId="74C46770" w14:textId="6F21F75A" w:rsidR="00A76947" w:rsidRDefault="00A76947" w:rsidP="00D66FBF">
            <w:pPr>
              <w:spacing w:line="360" w:lineRule="auto"/>
              <w:jc w:val="center"/>
            </w:pPr>
            <w:r>
              <w:t>0,9</w:t>
            </w:r>
            <w:r>
              <w:t>95</w:t>
            </w:r>
          </w:p>
        </w:tc>
        <w:tc>
          <w:tcPr>
            <w:tcW w:w="756" w:type="dxa"/>
          </w:tcPr>
          <w:p w14:paraId="2DC12FC5" w14:textId="77777777" w:rsidR="00A76947" w:rsidRDefault="00A76947" w:rsidP="00D66FBF">
            <w:pPr>
              <w:spacing w:line="360" w:lineRule="auto"/>
              <w:jc w:val="center"/>
            </w:pPr>
            <w:r>
              <w:t>0,895</w:t>
            </w:r>
          </w:p>
        </w:tc>
        <w:tc>
          <w:tcPr>
            <w:tcW w:w="1795" w:type="dxa"/>
          </w:tcPr>
          <w:p w14:paraId="67526A9C" w14:textId="33D1569E" w:rsidR="00A76947" w:rsidRDefault="00A76947" w:rsidP="00D66FBF">
            <w:pPr>
              <w:spacing w:line="360" w:lineRule="auto"/>
              <w:jc w:val="center"/>
            </w:pPr>
            <w:r>
              <w:t>0,9</w:t>
            </w:r>
            <w:r>
              <w:t>91</w:t>
            </w:r>
          </w:p>
        </w:tc>
      </w:tr>
    </w:tbl>
    <w:p w14:paraId="6B0423E6" w14:textId="77777777" w:rsidR="00A76947" w:rsidRDefault="00A76947" w:rsidP="00A76947">
      <w:pPr>
        <w:pStyle w:val="Tekstpodstawowy"/>
        <w:spacing w:line="360" w:lineRule="auto"/>
        <w:jc w:val="both"/>
        <w:rPr>
          <w:rFonts w:cs="Times New Roman"/>
          <w:szCs w:val="24"/>
        </w:rPr>
      </w:pPr>
    </w:p>
    <w:p w14:paraId="38469FBE" w14:textId="117324D2" w:rsidR="00E95B3A" w:rsidRDefault="00A76947" w:rsidP="00A7694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5CE3600" w14:textId="65821FAC" w:rsidR="00A76947" w:rsidRPr="000B3E4E" w:rsidRDefault="00A76947" w:rsidP="00A76947">
      <w:pPr>
        <w:pStyle w:val="Legenda"/>
        <w:keepNext/>
        <w:spacing w:line="360" w:lineRule="auto"/>
        <w:jc w:val="both"/>
        <w:rPr>
          <w:i w:val="0"/>
          <w:iCs w:val="0"/>
          <w:color w:val="auto"/>
          <w:sz w:val="24"/>
          <w:szCs w:val="24"/>
        </w:rPr>
      </w:pPr>
    </w:p>
    <w:p w14:paraId="6A4EE696" w14:textId="5E44F182" w:rsidR="00A76947" w:rsidRPr="00A76947" w:rsidRDefault="00A76947" w:rsidP="00A76947">
      <w:pPr>
        <w:pStyle w:val="Legenda"/>
        <w:keepNext/>
        <w:spacing w:line="360" w:lineRule="auto"/>
        <w:jc w:val="both"/>
        <w:rPr>
          <w:i w:val="0"/>
          <w:iCs w:val="0"/>
          <w:color w:val="auto"/>
          <w:sz w:val="24"/>
          <w:szCs w:val="24"/>
        </w:rPr>
      </w:pPr>
      <w:bookmarkStart w:id="37" w:name="_Toc62167800"/>
      <w:r w:rsidRPr="00A76947">
        <w:rPr>
          <w:i w:val="0"/>
          <w:iCs w:val="0"/>
          <w:color w:val="auto"/>
          <w:sz w:val="24"/>
          <w:szCs w:val="24"/>
        </w:rPr>
        <w:t xml:space="preserve">Tabela </w:t>
      </w:r>
      <w:r w:rsidRPr="00A76947">
        <w:rPr>
          <w:i w:val="0"/>
          <w:iCs w:val="0"/>
          <w:color w:val="auto"/>
          <w:sz w:val="24"/>
          <w:szCs w:val="24"/>
        </w:rPr>
        <w:fldChar w:fldCharType="begin"/>
      </w:r>
      <w:r w:rsidRPr="00A76947">
        <w:rPr>
          <w:i w:val="0"/>
          <w:iCs w:val="0"/>
          <w:color w:val="auto"/>
          <w:sz w:val="24"/>
          <w:szCs w:val="24"/>
        </w:rPr>
        <w:instrText xml:space="preserve"> SEQ Tabela \* ARABIC </w:instrText>
      </w:r>
      <w:r w:rsidRPr="00A76947">
        <w:rPr>
          <w:i w:val="0"/>
          <w:iCs w:val="0"/>
          <w:color w:val="auto"/>
          <w:sz w:val="24"/>
          <w:szCs w:val="24"/>
        </w:rPr>
        <w:fldChar w:fldCharType="separate"/>
      </w:r>
      <w:r w:rsidRPr="00A76947">
        <w:rPr>
          <w:i w:val="0"/>
          <w:iCs w:val="0"/>
          <w:noProof/>
          <w:color w:val="auto"/>
          <w:sz w:val="24"/>
          <w:szCs w:val="24"/>
        </w:rPr>
        <w:t>8</w:t>
      </w:r>
      <w:r w:rsidRPr="00A76947">
        <w:rPr>
          <w:i w:val="0"/>
          <w:iCs w:val="0"/>
          <w:color w:val="auto"/>
          <w:sz w:val="24"/>
          <w:szCs w:val="24"/>
        </w:rPr>
        <w:fldChar w:fldCharType="end"/>
      </w:r>
      <w:r w:rsidRPr="00A76947">
        <w:rPr>
          <w:i w:val="0"/>
          <w:iCs w:val="0"/>
          <w:color w:val="auto"/>
          <w:sz w:val="24"/>
          <w:szCs w:val="24"/>
        </w:rPr>
        <w:t>. Macierz błędów dla modelu sieci neuronowych na zbiorze testowym.</w:t>
      </w:r>
      <w:bookmarkEnd w:id="37"/>
    </w:p>
    <w:tbl>
      <w:tblPr>
        <w:tblStyle w:val="Tabela-Siatka"/>
        <w:tblW w:w="0" w:type="auto"/>
        <w:jc w:val="center"/>
        <w:tblLook w:val="04A0" w:firstRow="1" w:lastRow="0" w:firstColumn="1" w:lastColumn="0" w:noHBand="0" w:noVBand="1"/>
      </w:tblPr>
      <w:tblGrid>
        <w:gridCol w:w="688"/>
        <w:gridCol w:w="1972"/>
        <w:gridCol w:w="1984"/>
        <w:gridCol w:w="1985"/>
      </w:tblGrid>
      <w:tr w:rsidR="00A76947" w14:paraId="7D1D7743" w14:textId="77777777" w:rsidTr="00D66FBF">
        <w:trPr>
          <w:jc w:val="center"/>
        </w:trPr>
        <w:tc>
          <w:tcPr>
            <w:tcW w:w="2660" w:type="dxa"/>
            <w:gridSpan w:val="2"/>
            <w:vMerge w:val="restart"/>
            <w:vAlign w:val="center"/>
          </w:tcPr>
          <w:p w14:paraId="02FAA3E7" w14:textId="77777777" w:rsidR="00A76947" w:rsidRDefault="00A76947" w:rsidP="00D66FBF">
            <w:pPr>
              <w:spacing w:line="360" w:lineRule="auto"/>
              <w:jc w:val="center"/>
            </w:pPr>
          </w:p>
        </w:tc>
        <w:tc>
          <w:tcPr>
            <w:tcW w:w="3969" w:type="dxa"/>
            <w:gridSpan w:val="2"/>
            <w:vAlign w:val="center"/>
          </w:tcPr>
          <w:p w14:paraId="646E78CF" w14:textId="77777777" w:rsidR="00A76947" w:rsidRDefault="00A76947" w:rsidP="00D66FBF">
            <w:pPr>
              <w:spacing w:line="360" w:lineRule="auto"/>
              <w:jc w:val="center"/>
            </w:pPr>
            <w:r>
              <w:t>Predykcja</w:t>
            </w:r>
          </w:p>
        </w:tc>
      </w:tr>
      <w:tr w:rsidR="00A76947" w14:paraId="7EF11816" w14:textId="77777777" w:rsidTr="00D66FBF">
        <w:trPr>
          <w:jc w:val="center"/>
        </w:trPr>
        <w:tc>
          <w:tcPr>
            <w:tcW w:w="2660" w:type="dxa"/>
            <w:gridSpan w:val="2"/>
            <w:vMerge/>
            <w:vAlign w:val="center"/>
          </w:tcPr>
          <w:p w14:paraId="6E7542EB" w14:textId="77777777" w:rsidR="00A76947" w:rsidRDefault="00A76947" w:rsidP="00D66FBF">
            <w:pPr>
              <w:spacing w:line="360" w:lineRule="auto"/>
              <w:jc w:val="center"/>
            </w:pPr>
          </w:p>
        </w:tc>
        <w:tc>
          <w:tcPr>
            <w:tcW w:w="1984" w:type="dxa"/>
            <w:vAlign w:val="center"/>
          </w:tcPr>
          <w:p w14:paraId="23951BB2" w14:textId="77777777" w:rsidR="00A76947" w:rsidRDefault="00A76947" w:rsidP="00D66FBF">
            <w:pPr>
              <w:spacing w:line="360" w:lineRule="auto"/>
              <w:jc w:val="center"/>
            </w:pPr>
            <w:r>
              <w:t>Klasa pozytywna</w:t>
            </w:r>
          </w:p>
        </w:tc>
        <w:tc>
          <w:tcPr>
            <w:tcW w:w="1985" w:type="dxa"/>
            <w:vAlign w:val="center"/>
          </w:tcPr>
          <w:p w14:paraId="2A544BEA" w14:textId="77777777" w:rsidR="00A76947" w:rsidRDefault="00A76947" w:rsidP="00D66FBF">
            <w:pPr>
              <w:spacing w:line="360" w:lineRule="auto"/>
              <w:jc w:val="center"/>
            </w:pPr>
            <w:r>
              <w:t>Klasa negatywna</w:t>
            </w:r>
          </w:p>
        </w:tc>
      </w:tr>
      <w:tr w:rsidR="00A76947" w14:paraId="07EEC672" w14:textId="77777777" w:rsidTr="00D66FBF">
        <w:trPr>
          <w:trHeight w:val="928"/>
          <w:jc w:val="center"/>
        </w:trPr>
        <w:tc>
          <w:tcPr>
            <w:tcW w:w="688" w:type="dxa"/>
            <w:vMerge w:val="restart"/>
            <w:textDirection w:val="btLr"/>
            <w:vAlign w:val="center"/>
          </w:tcPr>
          <w:p w14:paraId="0235FA29" w14:textId="77777777" w:rsidR="00A76947" w:rsidRDefault="00A76947" w:rsidP="00D66FBF">
            <w:pPr>
              <w:spacing w:line="360" w:lineRule="auto"/>
              <w:ind w:left="113" w:right="113"/>
              <w:jc w:val="center"/>
            </w:pPr>
            <w:r>
              <w:t>Rzeczywistość</w:t>
            </w:r>
          </w:p>
        </w:tc>
        <w:tc>
          <w:tcPr>
            <w:tcW w:w="1972" w:type="dxa"/>
            <w:vAlign w:val="center"/>
          </w:tcPr>
          <w:p w14:paraId="6BCA953D" w14:textId="77777777" w:rsidR="00A76947" w:rsidRDefault="00A76947" w:rsidP="00D66FBF">
            <w:pPr>
              <w:spacing w:line="360" w:lineRule="auto"/>
              <w:jc w:val="center"/>
            </w:pPr>
            <w:r>
              <w:t>Klasa pozytywna</w:t>
            </w:r>
          </w:p>
        </w:tc>
        <w:tc>
          <w:tcPr>
            <w:tcW w:w="1984" w:type="dxa"/>
            <w:vAlign w:val="center"/>
          </w:tcPr>
          <w:p w14:paraId="55CC34A8" w14:textId="77777777" w:rsidR="00A76947" w:rsidRDefault="00A76947" w:rsidP="00D66FBF">
            <w:pPr>
              <w:spacing w:line="360" w:lineRule="auto"/>
              <w:jc w:val="center"/>
            </w:pPr>
            <w:r>
              <w:t>3 027 (29,00%)</w:t>
            </w:r>
          </w:p>
        </w:tc>
        <w:tc>
          <w:tcPr>
            <w:tcW w:w="1985" w:type="dxa"/>
            <w:vAlign w:val="center"/>
          </w:tcPr>
          <w:p w14:paraId="160CE661" w14:textId="77777777" w:rsidR="00A76947" w:rsidRDefault="00A76947" w:rsidP="00D66FBF">
            <w:pPr>
              <w:spacing w:line="360" w:lineRule="auto"/>
              <w:jc w:val="center"/>
            </w:pPr>
            <w:r>
              <w:t>720 (6,90%)</w:t>
            </w:r>
          </w:p>
        </w:tc>
      </w:tr>
      <w:tr w:rsidR="00A76947" w14:paraId="32E91EE8" w14:textId="77777777" w:rsidTr="00D66FBF">
        <w:trPr>
          <w:trHeight w:val="842"/>
          <w:jc w:val="center"/>
        </w:trPr>
        <w:tc>
          <w:tcPr>
            <w:tcW w:w="688" w:type="dxa"/>
            <w:vMerge/>
            <w:vAlign w:val="center"/>
          </w:tcPr>
          <w:p w14:paraId="6E3FC785" w14:textId="77777777" w:rsidR="00A76947" w:rsidRDefault="00A76947" w:rsidP="00D66FBF">
            <w:pPr>
              <w:spacing w:line="360" w:lineRule="auto"/>
              <w:jc w:val="center"/>
            </w:pPr>
          </w:p>
        </w:tc>
        <w:tc>
          <w:tcPr>
            <w:tcW w:w="1972" w:type="dxa"/>
            <w:vAlign w:val="center"/>
          </w:tcPr>
          <w:p w14:paraId="1FD63DCB" w14:textId="77777777" w:rsidR="00A76947" w:rsidRDefault="00A76947" w:rsidP="00D66FBF">
            <w:pPr>
              <w:spacing w:line="360" w:lineRule="auto"/>
              <w:jc w:val="center"/>
            </w:pPr>
            <w:r>
              <w:t>Klasa negatywna</w:t>
            </w:r>
          </w:p>
        </w:tc>
        <w:tc>
          <w:tcPr>
            <w:tcW w:w="1984" w:type="dxa"/>
            <w:vAlign w:val="center"/>
          </w:tcPr>
          <w:p w14:paraId="790D4D9D" w14:textId="77777777" w:rsidR="00A76947" w:rsidRDefault="00A76947" w:rsidP="00D66FBF">
            <w:pPr>
              <w:spacing w:line="360" w:lineRule="auto"/>
              <w:jc w:val="center"/>
            </w:pPr>
            <w:r>
              <w:t>1 208 (11,57%)</w:t>
            </w:r>
          </w:p>
        </w:tc>
        <w:tc>
          <w:tcPr>
            <w:tcW w:w="1985" w:type="dxa"/>
            <w:vAlign w:val="center"/>
          </w:tcPr>
          <w:p w14:paraId="0E677B12" w14:textId="77777777" w:rsidR="00A76947" w:rsidRDefault="00A76947" w:rsidP="00D66FBF">
            <w:pPr>
              <w:spacing w:line="360" w:lineRule="auto"/>
              <w:jc w:val="center"/>
            </w:pPr>
            <w:r>
              <w:t>5 483 (52,23%)</w:t>
            </w:r>
          </w:p>
        </w:tc>
      </w:tr>
    </w:tbl>
    <w:p w14:paraId="34537B0E" w14:textId="77777777" w:rsidR="00A76947" w:rsidRDefault="00A76947" w:rsidP="00A76947">
      <w:pPr>
        <w:pStyle w:val="Default"/>
        <w:spacing w:line="360" w:lineRule="auto"/>
        <w:ind w:firstLine="708"/>
        <w:jc w:val="both"/>
        <w:rPr>
          <w:rFonts w:ascii="Times New Roman" w:hAnsi="Times New Roman" w:cs="Times New Roman"/>
          <w:b/>
        </w:rPr>
      </w:pPr>
    </w:p>
    <w:p w14:paraId="01A49A96" w14:textId="77777777" w:rsidR="00A76947" w:rsidRPr="007052BA" w:rsidRDefault="00A76947" w:rsidP="00A7694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095849F5" w14:textId="6A238B55" w:rsidR="00A76947" w:rsidRDefault="00A76947" w:rsidP="00A76947">
      <w:pPr>
        <w:pStyle w:val="Tekstpodstawowy"/>
        <w:spacing w:line="360" w:lineRule="auto"/>
        <w:jc w:val="both"/>
        <w:rPr>
          <w:rFonts w:cs="Times New Roman"/>
        </w:rPr>
      </w:pPr>
    </w:p>
    <w:p w14:paraId="51898C0A" w14:textId="68335F35" w:rsidR="00082597" w:rsidRPr="00082597" w:rsidRDefault="00082597" w:rsidP="00082597">
      <w:pPr>
        <w:pStyle w:val="Legenda"/>
        <w:keepNext/>
        <w:spacing w:line="360" w:lineRule="auto"/>
        <w:jc w:val="both"/>
        <w:rPr>
          <w:i w:val="0"/>
          <w:iCs w:val="0"/>
          <w:color w:val="auto"/>
          <w:sz w:val="24"/>
          <w:szCs w:val="24"/>
        </w:rPr>
      </w:pPr>
      <w:r w:rsidRPr="00082597">
        <w:rPr>
          <w:i w:val="0"/>
          <w:iCs w:val="0"/>
          <w:color w:val="auto"/>
          <w:sz w:val="24"/>
          <w:szCs w:val="24"/>
        </w:rPr>
        <w:lastRenderedPageBreak/>
        <w:t xml:space="preserve">Wykres </w:t>
      </w:r>
      <w:r w:rsidRPr="00082597">
        <w:rPr>
          <w:i w:val="0"/>
          <w:iCs w:val="0"/>
          <w:color w:val="auto"/>
          <w:sz w:val="24"/>
          <w:szCs w:val="24"/>
        </w:rPr>
        <w:fldChar w:fldCharType="begin"/>
      </w:r>
      <w:r w:rsidRPr="00082597">
        <w:rPr>
          <w:i w:val="0"/>
          <w:iCs w:val="0"/>
          <w:color w:val="auto"/>
          <w:sz w:val="24"/>
          <w:szCs w:val="24"/>
        </w:rPr>
        <w:instrText xml:space="preserve"> SEQ Wykres \* ARABIC </w:instrText>
      </w:r>
      <w:r w:rsidRPr="00082597">
        <w:rPr>
          <w:i w:val="0"/>
          <w:iCs w:val="0"/>
          <w:color w:val="auto"/>
          <w:sz w:val="24"/>
          <w:szCs w:val="24"/>
        </w:rPr>
        <w:fldChar w:fldCharType="separate"/>
      </w:r>
      <w:r>
        <w:rPr>
          <w:i w:val="0"/>
          <w:iCs w:val="0"/>
          <w:noProof/>
          <w:color w:val="auto"/>
          <w:sz w:val="24"/>
          <w:szCs w:val="24"/>
        </w:rPr>
        <w:t>11</w:t>
      </w:r>
      <w:r w:rsidRPr="00082597">
        <w:rPr>
          <w:i w:val="0"/>
          <w:iCs w:val="0"/>
          <w:color w:val="auto"/>
          <w:sz w:val="24"/>
          <w:szCs w:val="24"/>
        </w:rPr>
        <w:fldChar w:fldCharType="end"/>
      </w:r>
      <w:r w:rsidRPr="00082597">
        <w:rPr>
          <w:i w:val="0"/>
          <w:iCs w:val="0"/>
          <w:color w:val="auto"/>
          <w:sz w:val="24"/>
          <w:szCs w:val="24"/>
        </w:rPr>
        <w:t>. Krzywe ROC dla mode</w:t>
      </w:r>
      <w:bookmarkStart w:id="38" w:name="_GoBack"/>
      <w:bookmarkEnd w:id="38"/>
      <w:r w:rsidRPr="00082597">
        <w:rPr>
          <w:i w:val="0"/>
          <w:iCs w:val="0"/>
          <w:color w:val="auto"/>
          <w:sz w:val="24"/>
          <w:szCs w:val="24"/>
        </w:rPr>
        <w:t>lu sieci neuronowych</w:t>
      </w:r>
    </w:p>
    <w:p w14:paraId="6931DE4E" w14:textId="4669A66C" w:rsidR="00A76947" w:rsidRDefault="00A76947" w:rsidP="00082597">
      <w:pPr>
        <w:pStyle w:val="Tekstpodstawowy"/>
        <w:spacing w:line="360" w:lineRule="auto"/>
        <w:jc w:val="center"/>
        <w:rPr>
          <w:rFonts w:cs="Times New Roman"/>
        </w:rPr>
      </w:pPr>
      <w:r>
        <w:rPr>
          <w:rFonts w:cs="Times New Roman"/>
          <w:noProof/>
        </w:rPr>
        <w:drawing>
          <wp:inline distT="0" distB="0" distL="0" distR="0" wp14:anchorId="030F8851" wp14:editId="1035802F">
            <wp:extent cx="4276725" cy="288069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n_auc.png"/>
                    <pic:cNvPicPr/>
                  </pic:nvPicPr>
                  <pic:blipFill>
                    <a:blip r:embed="rId20">
                      <a:extLst>
                        <a:ext uri="{28A0092B-C50C-407E-A947-70E740481C1C}">
                          <a14:useLocalDpi xmlns:a14="http://schemas.microsoft.com/office/drawing/2010/main" val="0"/>
                        </a:ext>
                      </a:extLst>
                    </a:blip>
                    <a:stretch>
                      <a:fillRect/>
                    </a:stretch>
                  </pic:blipFill>
                  <pic:spPr>
                    <a:xfrm>
                      <a:off x="0" y="0"/>
                      <a:ext cx="4281097" cy="2883640"/>
                    </a:xfrm>
                    <a:prstGeom prst="rect">
                      <a:avLst/>
                    </a:prstGeom>
                  </pic:spPr>
                </pic:pic>
              </a:graphicData>
            </a:graphic>
          </wp:inline>
        </w:drawing>
      </w:r>
    </w:p>
    <w:p w14:paraId="669B83C3" w14:textId="77777777" w:rsidR="00082597" w:rsidRPr="007052BA" w:rsidRDefault="00082597" w:rsidP="0008259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5E22581F" w14:textId="77777777" w:rsidR="00082597" w:rsidRDefault="00082597" w:rsidP="00A76947">
      <w:pPr>
        <w:pStyle w:val="Tekstpodstawowy"/>
        <w:spacing w:line="360" w:lineRule="auto"/>
        <w:jc w:val="both"/>
        <w:rPr>
          <w:rFonts w:cs="Times New Roman"/>
        </w:rPr>
      </w:pPr>
    </w:p>
    <w:p w14:paraId="4A623062" w14:textId="7EBC1DA4" w:rsidR="00082597" w:rsidRPr="00082597" w:rsidRDefault="00082597" w:rsidP="00082597">
      <w:pPr>
        <w:pStyle w:val="Legenda"/>
        <w:keepNext/>
        <w:spacing w:line="360" w:lineRule="auto"/>
        <w:jc w:val="both"/>
        <w:rPr>
          <w:i w:val="0"/>
          <w:iCs w:val="0"/>
          <w:color w:val="auto"/>
          <w:sz w:val="24"/>
          <w:szCs w:val="24"/>
        </w:rPr>
      </w:pPr>
      <w:r w:rsidRPr="00082597">
        <w:rPr>
          <w:i w:val="0"/>
          <w:iCs w:val="0"/>
          <w:color w:val="auto"/>
          <w:sz w:val="24"/>
          <w:szCs w:val="24"/>
        </w:rPr>
        <w:t xml:space="preserve">Wykres </w:t>
      </w:r>
      <w:r w:rsidRPr="00082597">
        <w:rPr>
          <w:i w:val="0"/>
          <w:iCs w:val="0"/>
          <w:color w:val="auto"/>
          <w:sz w:val="24"/>
          <w:szCs w:val="24"/>
        </w:rPr>
        <w:fldChar w:fldCharType="begin"/>
      </w:r>
      <w:r w:rsidRPr="00082597">
        <w:rPr>
          <w:i w:val="0"/>
          <w:iCs w:val="0"/>
          <w:color w:val="auto"/>
          <w:sz w:val="24"/>
          <w:szCs w:val="24"/>
        </w:rPr>
        <w:instrText xml:space="preserve"> SEQ Wykres \* ARABIC </w:instrText>
      </w:r>
      <w:r w:rsidRPr="00082597">
        <w:rPr>
          <w:i w:val="0"/>
          <w:iCs w:val="0"/>
          <w:color w:val="auto"/>
          <w:sz w:val="24"/>
          <w:szCs w:val="24"/>
        </w:rPr>
        <w:fldChar w:fldCharType="separate"/>
      </w:r>
      <w:r w:rsidRPr="00082597">
        <w:rPr>
          <w:i w:val="0"/>
          <w:iCs w:val="0"/>
          <w:noProof/>
          <w:color w:val="auto"/>
          <w:sz w:val="24"/>
          <w:szCs w:val="24"/>
        </w:rPr>
        <w:t>12</w:t>
      </w:r>
      <w:r w:rsidRPr="00082597">
        <w:rPr>
          <w:i w:val="0"/>
          <w:iCs w:val="0"/>
          <w:color w:val="auto"/>
          <w:sz w:val="24"/>
          <w:szCs w:val="24"/>
        </w:rPr>
        <w:fldChar w:fldCharType="end"/>
      </w:r>
      <w:r w:rsidRPr="00082597">
        <w:rPr>
          <w:i w:val="0"/>
          <w:iCs w:val="0"/>
          <w:color w:val="auto"/>
          <w:sz w:val="24"/>
          <w:szCs w:val="24"/>
        </w:rPr>
        <w:t>. Zdolność modelu sieci neuronowych  do wykrywania obserwacji pozytywnych.</w:t>
      </w:r>
    </w:p>
    <w:p w14:paraId="70A5205B" w14:textId="771ABC42" w:rsidR="00A76947" w:rsidRDefault="00A76947" w:rsidP="00082597">
      <w:pPr>
        <w:pStyle w:val="Tekstpodstawowy"/>
        <w:spacing w:line="360" w:lineRule="auto"/>
        <w:jc w:val="center"/>
        <w:rPr>
          <w:rFonts w:cs="Times New Roman"/>
        </w:rPr>
      </w:pPr>
      <w:r>
        <w:rPr>
          <w:rFonts w:cs="Times New Roman"/>
          <w:noProof/>
        </w:rPr>
        <w:drawing>
          <wp:inline distT="0" distB="0" distL="0" distR="0" wp14:anchorId="7FE0BF92" wp14:editId="683D9783">
            <wp:extent cx="4143375" cy="2790874"/>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n_ratios.png"/>
                    <pic:cNvPicPr/>
                  </pic:nvPicPr>
                  <pic:blipFill>
                    <a:blip r:embed="rId21">
                      <a:extLst>
                        <a:ext uri="{28A0092B-C50C-407E-A947-70E740481C1C}">
                          <a14:useLocalDpi xmlns:a14="http://schemas.microsoft.com/office/drawing/2010/main" val="0"/>
                        </a:ext>
                      </a:extLst>
                    </a:blip>
                    <a:stretch>
                      <a:fillRect/>
                    </a:stretch>
                  </pic:blipFill>
                  <pic:spPr>
                    <a:xfrm>
                      <a:off x="0" y="0"/>
                      <a:ext cx="4148225" cy="2794141"/>
                    </a:xfrm>
                    <a:prstGeom prst="rect">
                      <a:avLst/>
                    </a:prstGeom>
                  </pic:spPr>
                </pic:pic>
              </a:graphicData>
            </a:graphic>
          </wp:inline>
        </w:drawing>
      </w:r>
    </w:p>
    <w:p w14:paraId="5C11D186" w14:textId="77777777" w:rsidR="00082597" w:rsidRPr="007052BA" w:rsidRDefault="00082597" w:rsidP="0008259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57B529CF" w14:textId="77777777" w:rsidR="00082597" w:rsidRDefault="00082597" w:rsidP="00A76947">
      <w:pPr>
        <w:pStyle w:val="Tekstpodstawowy"/>
        <w:spacing w:line="360" w:lineRule="auto"/>
        <w:jc w:val="both"/>
        <w:rPr>
          <w:rFonts w:cs="Times New Roman"/>
        </w:rPr>
      </w:pPr>
    </w:p>
    <w:p w14:paraId="359CD469" w14:textId="77777777" w:rsidR="00C96223" w:rsidRDefault="00C96223" w:rsidP="00C96223">
      <w:pPr>
        <w:pStyle w:val="Default"/>
        <w:spacing w:line="360" w:lineRule="auto"/>
        <w:ind w:firstLine="708"/>
        <w:jc w:val="both"/>
        <w:rPr>
          <w:rFonts w:ascii="Times New Roman" w:hAnsi="Times New Roman" w:cs="Times New Roman"/>
        </w:rPr>
      </w:pPr>
    </w:p>
    <w:p w14:paraId="7A51430F" w14:textId="571963A2" w:rsidR="00182F2A" w:rsidRPr="00182F2A" w:rsidRDefault="00182F2A" w:rsidP="00983F85">
      <w:pPr>
        <w:pStyle w:val="Nagwek2"/>
        <w:spacing w:line="360" w:lineRule="auto"/>
        <w:jc w:val="both"/>
      </w:pPr>
      <w:bookmarkStart w:id="39" w:name="_Toc61804451"/>
      <w:r w:rsidRPr="00182F2A">
        <w:lastRenderedPageBreak/>
        <w:t>III.</w:t>
      </w:r>
      <w:r w:rsidR="00E44969">
        <w:t>4</w:t>
      </w:r>
      <w:r w:rsidRPr="00182F2A">
        <w:t xml:space="preserve"> </w:t>
      </w:r>
      <w:r w:rsidR="003473B7">
        <w:t>Porównanie i ocena jakości zbudowanych modeli klasyfikacyjnych</w:t>
      </w:r>
      <w:bookmarkEnd w:id="39"/>
    </w:p>
    <w:p w14:paraId="6CB51771" w14:textId="1787BA7C"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Kolejnym państwem, w którym kredyty hipoteczne w walutach obcych były popularnym źródłem finansowania jest Austria</w:t>
      </w:r>
      <w:r w:rsidR="00693107">
        <w:rPr>
          <w:rFonts w:ascii="Times New Roman" w:hAnsi="Times New Roman" w:cs="Times New Roman"/>
        </w:rPr>
        <w:t>.</w:t>
      </w:r>
    </w:p>
    <w:p w14:paraId="0144A567" w14:textId="1748D08D" w:rsidR="00513CA9" w:rsidRDefault="00513CA9" w:rsidP="00983F85">
      <w:pPr>
        <w:pStyle w:val="Nagwek2"/>
        <w:spacing w:line="360" w:lineRule="auto"/>
        <w:jc w:val="both"/>
      </w:pPr>
      <w:bookmarkStart w:id="40" w:name="_Toc61804452"/>
      <w:r w:rsidRPr="00513CA9">
        <w:t>III.</w:t>
      </w:r>
      <w:r w:rsidR="00413E52">
        <w:t>5</w:t>
      </w:r>
      <w:r w:rsidRPr="00513CA9">
        <w:t xml:space="preserve"> </w:t>
      </w:r>
      <w:r w:rsidR="003473B7">
        <w:t>Interpretacja uzyskanych wyników i wyciągnięcie wniosków</w:t>
      </w:r>
      <w:r w:rsidR="00A24377">
        <w:t>.</w:t>
      </w:r>
      <w:bookmarkEnd w:id="40"/>
    </w:p>
    <w:p w14:paraId="34E5D319" w14:textId="798B808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Wyzwania leżą nie po stronie zbudowania modelu o odpowiedniej jakości ale zapewnienia wysokiej jakości danych oraz ich właściwego pokrycia.</w:t>
      </w:r>
    </w:p>
    <w:p w14:paraId="6FE024A5"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 niektórych przypadkach konieczne może okazać się pozyskanie odpowiednich informacji ręcznie i wprowadzenie ich do DB a albo przez jakiś formularz. Szczególnie problematyczne </w:t>
      </w:r>
      <w:proofErr w:type="spellStart"/>
      <w:r w:rsidRPr="008058EB">
        <w:rPr>
          <w:rFonts w:ascii="Times New Roman" w:hAnsi="Times New Roman" w:cs="Times New Roman"/>
        </w:rPr>
        <w:t>sa</w:t>
      </w:r>
      <w:proofErr w:type="spellEnd"/>
      <w:r w:rsidRPr="008058EB">
        <w:rPr>
          <w:rFonts w:ascii="Times New Roman" w:hAnsi="Times New Roman" w:cs="Times New Roman"/>
        </w:rPr>
        <w:t xml:space="preserve"> dane finansowe, bo nie jest łatwo je </w:t>
      </w:r>
      <w:proofErr w:type="spellStart"/>
      <w:r w:rsidRPr="008058EB">
        <w:rPr>
          <w:rFonts w:ascii="Times New Roman" w:hAnsi="Times New Roman" w:cs="Times New Roman"/>
        </w:rPr>
        <w:t>wyciągąć</w:t>
      </w:r>
      <w:proofErr w:type="spellEnd"/>
      <w:r w:rsidRPr="008058EB">
        <w:rPr>
          <w:rFonts w:ascii="Times New Roman" w:hAnsi="Times New Roman" w:cs="Times New Roman"/>
        </w:rPr>
        <w:t xml:space="preserve"> i możliwe jest nawiązanie współpracy komercyjnej z podmiotem, który będzie je dostarczał, na przykład wywiadownią gospodarczą, na polskim rynku są firmy świadczące takie usługi.</w:t>
      </w:r>
    </w:p>
    <w:p w14:paraId="04EAC17C" w14:textId="77777777" w:rsidR="008058EB" w:rsidRPr="008058EB" w:rsidRDefault="008058EB" w:rsidP="008058EB">
      <w:pPr>
        <w:pStyle w:val="Default"/>
        <w:spacing w:line="360" w:lineRule="auto"/>
        <w:jc w:val="both"/>
        <w:rPr>
          <w:rFonts w:ascii="Times New Roman" w:hAnsi="Times New Roman" w:cs="Times New Roman"/>
        </w:rPr>
      </w:pPr>
    </w:p>
    <w:p w14:paraId="3D0D691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niemożliwe jest zbudowanie autonomicznego </w:t>
      </w:r>
      <w:proofErr w:type="spellStart"/>
      <w:r w:rsidRPr="008058EB">
        <w:rPr>
          <w:rFonts w:ascii="Times New Roman" w:hAnsi="Times New Roman" w:cs="Times New Roman"/>
        </w:rPr>
        <w:t>toola</w:t>
      </w:r>
      <w:proofErr w:type="spellEnd"/>
      <w:r w:rsidRPr="008058EB">
        <w:rPr>
          <w:rFonts w:ascii="Times New Roman" w:hAnsi="Times New Roman" w:cs="Times New Roman"/>
        </w:rPr>
        <w:t xml:space="preserve"> i wymagany byłby i tak wkład analityka czy innej osoby, która się tym zajmuje. Jednak wysiłek ludzki i tak jest </w:t>
      </w:r>
      <w:proofErr w:type="spellStart"/>
      <w:r w:rsidRPr="008058EB">
        <w:rPr>
          <w:rFonts w:ascii="Times New Roman" w:hAnsi="Times New Roman" w:cs="Times New Roman"/>
        </w:rPr>
        <w:t>minimalzoiwany</w:t>
      </w:r>
      <w:proofErr w:type="spellEnd"/>
      <w:r w:rsidRPr="008058EB">
        <w:rPr>
          <w:rFonts w:ascii="Times New Roman" w:hAnsi="Times New Roman" w:cs="Times New Roman"/>
        </w:rPr>
        <w:t xml:space="preserve">. To co jest osiągalne to dodanie </w:t>
      </w:r>
      <w:proofErr w:type="spellStart"/>
      <w:r w:rsidRPr="008058EB">
        <w:rPr>
          <w:rFonts w:ascii="Times New Roman" w:hAnsi="Times New Roman" w:cs="Times New Roman"/>
        </w:rPr>
        <w:t>inputacji</w:t>
      </w:r>
      <w:proofErr w:type="spellEnd"/>
      <w:r w:rsidRPr="008058EB">
        <w:rPr>
          <w:rFonts w:ascii="Times New Roman" w:hAnsi="Times New Roman" w:cs="Times New Roman"/>
        </w:rPr>
        <w:t xml:space="preserve"> brakujących danych lub, zbudowanie prostszego modelu. Albo wystawienie serwisu w formie aplikacji webowej / witryny, która będzie dostarczać do najmniej cząstkowych wyników i umożliwi ręczne uzupełnienie brakujących informacji.</w:t>
      </w:r>
    </w:p>
    <w:p w14:paraId="46869125" w14:textId="77777777" w:rsidR="008058EB" w:rsidRPr="008058EB" w:rsidRDefault="008058EB" w:rsidP="008058EB">
      <w:pPr>
        <w:pStyle w:val="Default"/>
        <w:spacing w:line="360" w:lineRule="auto"/>
        <w:jc w:val="both"/>
        <w:rPr>
          <w:rFonts w:ascii="Times New Roman" w:hAnsi="Times New Roman" w:cs="Times New Roman"/>
        </w:rPr>
      </w:pPr>
    </w:p>
    <w:p w14:paraId="337B0BD6"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Dodatkowo takie rozwiązanie pozwoli osobom korzystającym na przeprowadzenie swego rodzaju symulacji 'co by było </w:t>
      </w:r>
      <w:proofErr w:type="spellStart"/>
      <w:r w:rsidRPr="008058EB">
        <w:rPr>
          <w:rFonts w:ascii="Times New Roman" w:hAnsi="Times New Roman" w:cs="Times New Roman"/>
        </w:rPr>
        <w:t>gydby</w:t>
      </w:r>
      <w:proofErr w:type="spellEnd"/>
      <w:r w:rsidRPr="008058EB">
        <w:rPr>
          <w:rFonts w:ascii="Times New Roman" w:hAnsi="Times New Roman" w:cs="Times New Roman"/>
        </w:rPr>
        <w:t>'. Po uzupełnieniu brakujących danych następowałoby ponowne przeładowanie modelu i wygenerowanie nowych wyników.</w:t>
      </w:r>
    </w:p>
    <w:p w14:paraId="1281F0F4" w14:textId="77777777" w:rsidR="008058EB" w:rsidRPr="008058EB" w:rsidRDefault="008058EB" w:rsidP="008058EB">
      <w:pPr>
        <w:pStyle w:val="Default"/>
        <w:spacing w:line="360" w:lineRule="auto"/>
        <w:jc w:val="both"/>
        <w:rPr>
          <w:rFonts w:ascii="Times New Roman" w:hAnsi="Times New Roman" w:cs="Times New Roman"/>
        </w:rPr>
      </w:pPr>
    </w:p>
    <w:p w14:paraId="1E057CCF" w14:textId="0D99800E" w:rsid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Oprócz wyników modelu dużą wartością do danych jest zebranie informacji i zagregowanie ich na temat weryfikowanych firm, jest to </w:t>
      </w:r>
      <w:proofErr w:type="spellStart"/>
      <w:r w:rsidRPr="008058EB">
        <w:rPr>
          <w:rFonts w:ascii="Times New Roman" w:hAnsi="Times New Roman" w:cs="Times New Roman"/>
        </w:rPr>
        <w:t>zautomatyzwaone</w:t>
      </w:r>
      <w:proofErr w:type="spellEnd"/>
      <w:r w:rsidRPr="008058EB">
        <w:rPr>
          <w:rFonts w:ascii="Times New Roman" w:hAnsi="Times New Roman" w:cs="Times New Roman"/>
        </w:rPr>
        <w:t xml:space="preserve">. Osoba, która przeprowadza taką </w:t>
      </w:r>
      <w:proofErr w:type="spellStart"/>
      <w:r w:rsidRPr="008058EB">
        <w:rPr>
          <w:rFonts w:ascii="Times New Roman" w:hAnsi="Times New Roman" w:cs="Times New Roman"/>
        </w:rPr>
        <w:t>analize</w:t>
      </w:r>
      <w:proofErr w:type="spellEnd"/>
      <w:r w:rsidRPr="008058EB">
        <w:rPr>
          <w:rFonts w:ascii="Times New Roman" w:hAnsi="Times New Roman" w:cs="Times New Roman"/>
        </w:rPr>
        <w:t xml:space="preserve"> </w:t>
      </w:r>
      <w:proofErr w:type="spellStart"/>
      <w:r w:rsidRPr="008058EB">
        <w:rPr>
          <w:rFonts w:ascii="Times New Roman" w:hAnsi="Times New Roman" w:cs="Times New Roman"/>
        </w:rPr>
        <w:t>konkrahenta</w:t>
      </w:r>
      <w:proofErr w:type="spellEnd"/>
      <w:r w:rsidRPr="008058EB">
        <w:rPr>
          <w:rFonts w:ascii="Times New Roman" w:hAnsi="Times New Roman" w:cs="Times New Roman"/>
        </w:rPr>
        <w:t xml:space="preserve"> (zwłaszcza w podmiotach objętych regulacjami, KYC </w:t>
      </w:r>
      <w:proofErr w:type="spellStart"/>
      <w:r w:rsidRPr="008058EB">
        <w:rPr>
          <w:rFonts w:ascii="Times New Roman" w:hAnsi="Times New Roman" w:cs="Times New Roman"/>
        </w:rPr>
        <w:t>itd</w:t>
      </w:r>
      <w:proofErr w:type="spellEnd"/>
      <w:r w:rsidRPr="008058EB">
        <w:rPr>
          <w:rFonts w:ascii="Times New Roman" w:hAnsi="Times New Roman" w:cs="Times New Roman"/>
        </w:rPr>
        <w:t xml:space="preserve">) jest to potrzebne. Od razu wie gdzie są pierwsze braki danych, może się skupić na ich </w:t>
      </w:r>
      <w:proofErr w:type="spellStart"/>
      <w:r w:rsidRPr="008058EB">
        <w:rPr>
          <w:rFonts w:ascii="Times New Roman" w:hAnsi="Times New Roman" w:cs="Times New Roman"/>
        </w:rPr>
        <w:t>ich</w:t>
      </w:r>
      <w:proofErr w:type="spellEnd"/>
      <w:r w:rsidRPr="008058EB">
        <w:rPr>
          <w:rFonts w:ascii="Times New Roman" w:hAnsi="Times New Roman" w:cs="Times New Roman"/>
        </w:rPr>
        <w:t xml:space="preserve"> pozyskaniu a nie rutynowych informacji, bo proces pozyskania i czyszczenia robi to za nią. Należy jednak pamiętać, że procesowanie danych należy przystosować tak, żeby było czytelne dla człowieka a nie z perspektywy modelowania.</w:t>
      </w:r>
    </w:p>
    <w:p w14:paraId="54D240F2" w14:textId="21127608" w:rsidR="00C77B9C" w:rsidRDefault="00C77B9C" w:rsidP="008058EB">
      <w:pPr>
        <w:pStyle w:val="Default"/>
        <w:spacing w:line="360" w:lineRule="auto"/>
        <w:jc w:val="both"/>
        <w:rPr>
          <w:rFonts w:ascii="Times New Roman" w:hAnsi="Times New Roman" w:cs="Times New Roman"/>
        </w:rPr>
      </w:pPr>
    </w:p>
    <w:p w14:paraId="5C46DCE2" w14:textId="1A53587A" w:rsidR="00C77B9C" w:rsidRPr="008058EB" w:rsidRDefault="00C77B9C" w:rsidP="008058EB">
      <w:pPr>
        <w:pStyle w:val="Default"/>
        <w:spacing w:line="360" w:lineRule="auto"/>
        <w:jc w:val="both"/>
        <w:rPr>
          <w:rFonts w:ascii="Times New Roman" w:hAnsi="Times New Roman" w:cs="Times New Roman"/>
        </w:rPr>
      </w:pPr>
      <w:r>
        <w:rPr>
          <w:rFonts w:ascii="Times New Roman" w:hAnsi="Times New Roman" w:cs="Times New Roman"/>
        </w:rPr>
        <w:t xml:space="preserve">Optymalnie pokazać wszystkie 3 bo CRF jest bardziej konserwatywny niż GBP i zbudować kilka o różnych podejściach – </w:t>
      </w:r>
      <w:proofErr w:type="spellStart"/>
      <w:r>
        <w:rPr>
          <w:rFonts w:ascii="Times New Roman" w:hAnsi="Times New Roman" w:cs="Times New Roman"/>
        </w:rPr>
        <w:t>konsetrwatywne</w:t>
      </w:r>
      <w:proofErr w:type="spellEnd"/>
      <w:r>
        <w:rPr>
          <w:rFonts w:ascii="Times New Roman" w:hAnsi="Times New Roman" w:cs="Times New Roman"/>
        </w:rPr>
        <w:t xml:space="preserve"> i </w:t>
      </w:r>
      <w:proofErr w:type="spellStart"/>
      <w:r>
        <w:rPr>
          <w:rFonts w:ascii="Times New Roman" w:hAnsi="Times New Roman" w:cs="Times New Roman"/>
        </w:rPr>
        <w:t>rzykowne</w:t>
      </w:r>
      <w:proofErr w:type="spellEnd"/>
      <w:r>
        <w:rPr>
          <w:rFonts w:ascii="Times New Roman" w:hAnsi="Times New Roman" w:cs="Times New Roman"/>
        </w:rPr>
        <w:t>,</w:t>
      </w:r>
    </w:p>
    <w:p w14:paraId="5391E591" w14:textId="77777777" w:rsidR="008058EB" w:rsidRPr="008058EB" w:rsidRDefault="008058EB" w:rsidP="008058EB">
      <w:pPr>
        <w:pStyle w:val="Default"/>
        <w:spacing w:line="360" w:lineRule="auto"/>
        <w:jc w:val="both"/>
        <w:rPr>
          <w:rFonts w:ascii="Times New Roman" w:hAnsi="Times New Roman" w:cs="Times New Roman"/>
        </w:rPr>
      </w:pPr>
    </w:p>
    <w:p w14:paraId="1F20D9B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zbudowane narzędzie jest spoko POC i w celu komercyjnego wykorzystania wskazane są dalsze prace, szczególnie nad dopracowaniem </w:t>
      </w:r>
      <w:proofErr w:type="spellStart"/>
      <w:r w:rsidRPr="008058EB">
        <w:rPr>
          <w:rFonts w:ascii="Times New Roman" w:hAnsi="Times New Roman" w:cs="Times New Roman"/>
        </w:rPr>
        <w:t>pipeline</w:t>
      </w:r>
      <w:proofErr w:type="spellEnd"/>
      <w:r w:rsidRPr="008058EB">
        <w:rPr>
          <w:rFonts w:ascii="Times New Roman" w:hAnsi="Times New Roman" w:cs="Times New Roman"/>
        </w:rPr>
        <w:t xml:space="preserve"> do pobierania i czyszczenia danych + wizualizacje i </w:t>
      </w:r>
      <w:proofErr w:type="spellStart"/>
      <w:r w:rsidRPr="008058EB">
        <w:rPr>
          <w:rFonts w:ascii="Times New Roman" w:hAnsi="Times New Roman" w:cs="Times New Roman"/>
        </w:rPr>
        <w:t>output</w:t>
      </w:r>
      <w:proofErr w:type="spellEnd"/>
      <w:r w:rsidRPr="008058EB">
        <w:rPr>
          <w:rFonts w:ascii="Times New Roman" w:hAnsi="Times New Roman" w:cs="Times New Roman"/>
        </w:rPr>
        <w:t xml:space="preserve"> końcowy, żeby był ten efekt WOW i to było bardziej efektowne, bo same wyniki no to trochę mało z perspektywy opakowania - trzeba zrobić więcej, żeby przyciągnąć klientów.</w:t>
      </w:r>
    </w:p>
    <w:p w14:paraId="4A4E47B5" w14:textId="77777777" w:rsidR="008058EB" w:rsidRPr="008058EB" w:rsidRDefault="008058EB" w:rsidP="008058EB">
      <w:pPr>
        <w:pStyle w:val="Default"/>
        <w:spacing w:line="360" w:lineRule="auto"/>
        <w:jc w:val="both"/>
        <w:rPr>
          <w:rFonts w:ascii="Times New Roman" w:hAnsi="Times New Roman" w:cs="Times New Roman"/>
        </w:rPr>
      </w:pPr>
    </w:p>
    <w:p w14:paraId="33ECE60C" w14:textId="77777777" w:rsidR="001443A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Dodatkowo - spoko byłoby dodanie cyklicznej weryfikacji - pierwszym modelem tak żeby monitorować ryzyko kontrahenta w czasie i ustanowić jakiś system ostrzegania jeśli </w:t>
      </w:r>
      <w:proofErr w:type="spellStart"/>
      <w:r w:rsidRPr="008058EB">
        <w:rPr>
          <w:rFonts w:ascii="Times New Roman" w:hAnsi="Times New Roman" w:cs="Times New Roman"/>
        </w:rPr>
        <w:t>np</w:t>
      </w:r>
      <w:proofErr w:type="spellEnd"/>
      <w:r w:rsidRPr="008058EB">
        <w:rPr>
          <w:rFonts w:ascii="Times New Roman" w:hAnsi="Times New Roman" w:cs="Times New Roman"/>
        </w:rPr>
        <w:t xml:space="preserve"> jego </w:t>
      </w:r>
      <w:proofErr w:type="spellStart"/>
      <w:r w:rsidRPr="008058EB">
        <w:rPr>
          <w:rFonts w:ascii="Times New Roman" w:hAnsi="Times New Roman" w:cs="Times New Roman"/>
        </w:rPr>
        <w:t>score</w:t>
      </w:r>
      <w:proofErr w:type="spellEnd"/>
      <w:r w:rsidRPr="008058EB">
        <w:rPr>
          <w:rFonts w:ascii="Times New Roman" w:hAnsi="Times New Roman" w:cs="Times New Roman"/>
        </w:rPr>
        <w:t xml:space="preserve"> spada w czasie ileś razy pod rząd albo przekroczy określony próg ryzyka.</w:t>
      </w:r>
    </w:p>
    <w:p w14:paraId="67EF51F7" w14:textId="77777777" w:rsidR="001443AB" w:rsidRPr="001443A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 xml:space="preserve">Spoko byłoby też zbudować </w:t>
      </w:r>
      <w:proofErr w:type="spellStart"/>
      <w:r w:rsidRPr="001443AB">
        <w:rPr>
          <w:rFonts w:ascii="Times New Roman" w:hAnsi="Times New Roman" w:cs="Times New Roman"/>
        </w:rPr>
        <w:t>pipeline</w:t>
      </w:r>
      <w:proofErr w:type="spellEnd"/>
      <w:r w:rsidRPr="001443AB">
        <w:rPr>
          <w:rFonts w:ascii="Times New Roman" w:hAnsi="Times New Roman" w:cs="Times New Roman"/>
        </w:rPr>
        <w:t xml:space="preserve"> na danych od dostawcy, które pracuje stricte na polskich sprawozdaniach finansowych w celu poprawy jakości kluczowych czynników ryzyka, bo na ten moment EMIS jest spoko do pobierania </w:t>
      </w:r>
      <w:proofErr w:type="spellStart"/>
      <w:r w:rsidRPr="001443AB">
        <w:rPr>
          <w:rFonts w:ascii="Times New Roman" w:hAnsi="Times New Roman" w:cs="Times New Roman"/>
        </w:rPr>
        <w:t>bulkowo</w:t>
      </w:r>
      <w:proofErr w:type="spellEnd"/>
      <w:r w:rsidRPr="001443AB">
        <w:rPr>
          <w:rFonts w:ascii="Times New Roman" w:hAnsi="Times New Roman" w:cs="Times New Roman"/>
        </w:rPr>
        <w:t xml:space="preserve"> ale nie mamy pełnego zaufania</w:t>
      </w:r>
    </w:p>
    <w:p w14:paraId="63286D8F" w14:textId="77777777" w:rsidR="001443AB" w:rsidRPr="001443AB" w:rsidRDefault="001443AB" w:rsidP="001443AB">
      <w:pPr>
        <w:pStyle w:val="Default"/>
        <w:spacing w:line="360" w:lineRule="auto"/>
        <w:jc w:val="both"/>
        <w:rPr>
          <w:rFonts w:ascii="Times New Roman" w:hAnsi="Times New Roman" w:cs="Times New Roman"/>
        </w:rPr>
      </w:pPr>
    </w:p>
    <w:p w14:paraId="3603F82C" w14:textId="77777777" w:rsidR="00DF286C"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 xml:space="preserve">Zbudowanie prostszego modelu na danych, które są podstawowe i łatwe w wykorzystaniu przy użyciu mniejszej liczby zmiennych, który byłby lepiej interpretowalny a pozyskanie. Czas </w:t>
      </w:r>
      <w:proofErr w:type="spellStart"/>
      <w:r w:rsidRPr="001443AB">
        <w:rPr>
          <w:rFonts w:ascii="Times New Roman" w:hAnsi="Times New Roman" w:cs="Times New Roman"/>
        </w:rPr>
        <w:t>inputacji</w:t>
      </w:r>
      <w:proofErr w:type="spellEnd"/>
      <w:r w:rsidRPr="001443AB">
        <w:rPr>
          <w:rFonts w:ascii="Times New Roman" w:hAnsi="Times New Roman" w:cs="Times New Roman"/>
        </w:rPr>
        <w:t xml:space="preserve"> przez człowieka też byłby krótszy, skróciłoby się trenowanie modelu. Można to dać jako wersję podstawową do modelowania a do </w:t>
      </w:r>
      <w:proofErr w:type="spellStart"/>
      <w:r w:rsidRPr="001443AB">
        <w:rPr>
          <w:rFonts w:ascii="Times New Roman" w:hAnsi="Times New Roman" w:cs="Times New Roman"/>
        </w:rPr>
        <w:t>sashboardu</w:t>
      </w:r>
      <w:proofErr w:type="spellEnd"/>
      <w:r w:rsidRPr="001443AB">
        <w:rPr>
          <w:rFonts w:ascii="Times New Roman" w:hAnsi="Times New Roman" w:cs="Times New Roman"/>
        </w:rPr>
        <w:t xml:space="preserve"> z informacjami pozostałe dane </w:t>
      </w:r>
      <w:proofErr w:type="spellStart"/>
      <w:r w:rsidRPr="001443AB">
        <w:rPr>
          <w:rFonts w:ascii="Times New Roman" w:hAnsi="Times New Roman" w:cs="Times New Roman"/>
        </w:rPr>
        <w:t>dodakotowo</w:t>
      </w:r>
      <w:proofErr w:type="spellEnd"/>
      <w:r w:rsidRPr="001443AB">
        <w:rPr>
          <w:rFonts w:ascii="Times New Roman" w:hAnsi="Times New Roman" w:cs="Times New Roman"/>
        </w:rPr>
        <w:t xml:space="preserve"> płatne 'dla chętnych'. </w:t>
      </w:r>
      <w:proofErr w:type="spellStart"/>
      <w:r w:rsidRPr="001443AB">
        <w:rPr>
          <w:rFonts w:ascii="Times New Roman" w:hAnsi="Times New Roman" w:cs="Times New Roman"/>
        </w:rPr>
        <w:t>Wgl</w:t>
      </w:r>
      <w:proofErr w:type="spellEnd"/>
      <w:r w:rsidRPr="001443AB">
        <w:rPr>
          <w:rFonts w:ascii="Times New Roman" w:hAnsi="Times New Roman" w:cs="Times New Roman"/>
        </w:rPr>
        <w:t xml:space="preserve"> zbudowanie takiego </w:t>
      </w:r>
      <w:proofErr w:type="spellStart"/>
      <w:r w:rsidRPr="001443AB">
        <w:rPr>
          <w:rFonts w:ascii="Times New Roman" w:hAnsi="Times New Roman" w:cs="Times New Roman"/>
        </w:rPr>
        <w:t>dashboardu</w:t>
      </w:r>
      <w:proofErr w:type="spellEnd"/>
      <w:r w:rsidRPr="001443AB">
        <w:rPr>
          <w:rFonts w:ascii="Times New Roman" w:hAnsi="Times New Roman" w:cs="Times New Roman"/>
        </w:rPr>
        <w:t xml:space="preserve"> z informacjami też jest wartością samą w sobie i może w zasadzie stanowić punkt </w:t>
      </w:r>
      <w:proofErr w:type="spellStart"/>
      <w:r w:rsidRPr="001443AB">
        <w:rPr>
          <w:rFonts w:ascii="Times New Roman" w:hAnsi="Times New Roman" w:cs="Times New Roman"/>
        </w:rPr>
        <w:t>wyjśćia</w:t>
      </w:r>
      <w:proofErr w:type="spellEnd"/>
      <w:r w:rsidRPr="001443AB">
        <w:rPr>
          <w:rFonts w:ascii="Times New Roman" w:hAnsi="Times New Roman" w:cs="Times New Roman"/>
        </w:rPr>
        <w:t xml:space="preserve"> do modelowania zjawiska bankructwa (</w:t>
      </w:r>
      <w:proofErr w:type="spellStart"/>
      <w:r w:rsidRPr="001443AB">
        <w:rPr>
          <w:rFonts w:ascii="Times New Roman" w:hAnsi="Times New Roman" w:cs="Times New Roman"/>
        </w:rPr>
        <w:t>np</w:t>
      </w:r>
      <w:proofErr w:type="spellEnd"/>
      <w:r w:rsidRPr="001443AB">
        <w:rPr>
          <w:rFonts w:ascii="Times New Roman" w:hAnsi="Times New Roman" w:cs="Times New Roman"/>
        </w:rPr>
        <w:t xml:space="preserve"> jako dodatkowy element)</w:t>
      </w:r>
      <w:r w:rsidR="00DF286C">
        <w:rPr>
          <w:rFonts w:ascii="Times New Roman" w:hAnsi="Times New Roman" w:cs="Times New Roman"/>
        </w:rPr>
        <w:t>.</w:t>
      </w:r>
    </w:p>
    <w:p w14:paraId="7F46ED4B" w14:textId="3340D4F0" w:rsidR="004E72D4" w:rsidRPr="008058EB" w:rsidRDefault="00DF286C" w:rsidP="001443AB">
      <w:pPr>
        <w:pStyle w:val="Default"/>
        <w:spacing w:line="360" w:lineRule="auto"/>
        <w:jc w:val="both"/>
        <w:rPr>
          <w:rFonts w:ascii="Times New Roman" w:hAnsi="Times New Roman" w:cs="Times New Roman"/>
        </w:rPr>
      </w:pPr>
      <w:r>
        <w:rPr>
          <w:rFonts w:ascii="Times New Roman" w:hAnsi="Times New Roman" w:cs="Times New Roman"/>
        </w:rPr>
        <w:t xml:space="preserve">i co jakiś czas będzie tylko robiony </w:t>
      </w:r>
      <w:proofErr w:type="spellStart"/>
      <w:r>
        <w:rPr>
          <w:rFonts w:ascii="Times New Roman" w:hAnsi="Times New Roman" w:cs="Times New Roman"/>
        </w:rPr>
        <w:t>remodelling</w:t>
      </w:r>
      <w:proofErr w:type="spellEnd"/>
      <w:r>
        <w:rPr>
          <w:rFonts w:ascii="Times New Roman" w:hAnsi="Times New Roman" w:cs="Times New Roman"/>
        </w:rPr>
        <w:t xml:space="preserve"> w celu sprawdzenia czy się zmieniły wzorce &lt;- daj to do wniosków i do zakończenia</w:t>
      </w:r>
      <w:r>
        <w:rPr>
          <w:rFonts w:cs="Times New Roman"/>
        </w:rPr>
        <w:t xml:space="preserve"> </w:t>
      </w:r>
      <w:r w:rsidR="004E72D4">
        <w:rPr>
          <w:rFonts w:cs="Times New Roman"/>
        </w:rPr>
        <w:br w:type="page"/>
      </w:r>
    </w:p>
    <w:p w14:paraId="78601EF2" w14:textId="05F6F3D5" w:rsidR="00A574C7" w:rsidRDefault="003C6BF8" w:rsidP="00983F85">
      <w:pPr>
        <w:pStyle w:val="Nagwek1"/>
        <w:spacing w:line="360" w:lineRule="auto"/>
        <w:jc w:val="both"/>
      </w:pPr>
      <w:bookmarkStart w:id="41" w:name="_Toc61804453"/>
      <w:r w:rsidRPr="00CF2507">
        <w:lastRenderedPageBreak/>
        <w:t>Zakończenie</w:t>
      </w:r>
      <w:r w:rsidR="000656B8">
        <w:t>.</w:t>
      </w:r>
      <w:bookmarkEnd w:id="41"/>
    </w:p>
    <w:p w14:paraId="6FFB9915" w14:textId="79A401BD" w:rsidR="00A574C7" w:rsidRPr="00E748D2" w:rsidRDefault="00AA4047" w:rsidP="00145D52">
      <w:pPr>
        <w:pStyle w:val="Tekstpodstawowyzwciciem"/>
        <w:spacing w:line="360" w:lineRule="auto"/>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4"/>
      </w:r>
      <w:r w:rsidR="00BB0930">
        <w:t>.</w:t>
      </w:r>
      <w:r w:rsidR="00A574C7">
        <w:br w:type="page"/>
      </w:r>
    </w:p>
    <w:p w14:paraId="756DAECC" w14:textId="03571F25" w:rsidR="00A574C7" w:rsidRDefault="00A574C7" w:rsidP="00983F85">
      <w:pPr>
        <w:pStyle w:val="Nagwek1"/>
        <w:spacing w:line="360" w:lineRule="auto"/>
        <w:jc w:val="both"/>
      </w:pPr>
      <w:bookmarkStart w:id="42" w:name="_Toc61804454"/>
      <w:r w:rsidRPr="00A574C7">
        <w:lastRenderedPageBreak/>
        <w:t>Bibliografia</w:t>
      </w:r>
      <w:r w:rsidR="00363B56">
        <w:t>.</w:t>
      </w:r>
      <w:bookmarkEnd w:id="42"/>
    </w:p>
    <w:p w14:paraId="2DAEEF3B" w14:textId="76687FA2" w:rsidR="000656B8" w:rsidRDefault="00CC60BA" w:rsidP="00983F85">
      <w:pPr>
        <w:pStyle w:val="Nagwek2"/>
        <w:spacing w:line="360" w:lineRule="auto"/>
        <w:jc w:val="both"/>
      </w:pPr>
      <w:bookmarkStart w:id="43" w:name="_Toc61804455"/>
      <w:r>
        <w:t>I</w:t>
      </w:r>
      <w:r w:rsidR="000656B8">
        <w:t xml:space="preserve">. </w:t>
      </w:r>
      <w:r>
        <w:t>Wydawnictwa zwarte.</w:t>
      </w:r>
      <w:bookmarkEnd w:id="43"/>
    </w:p>
    <w:p w14:paraId="7C0B5D7E" w14:textId="7786F7DF" w:rsidR="00C32FCD" w:rsidRDefault="00C32FCD" w:rsidP="00983F85">
      <w:pPr>
        <w:pStyle w:val="Tekstprzypisudolnego"/>
        <w:numPr>
          <w:ilvl w:val="0"/>
          <w:numId w:val="10"/>
        </w:numPr>
        <w:spacing w:line="360" w:lineRule="auto"/>
        <w:ind w:left="360"/>
        <w:jc w:val="both"/>
        <w:rPr>
          <w:rFonts w:cs="Times New Roman"/>
          <w:sz w:val="24"/>
        </w:rPr>
      </w:pPr>
      <w:r w:rsidRPr="00C32FCD">
        <w:rPr>
          <w:rFonts w:cs="Times New Roman"/>
          <w:sz w:val="24"/>
        </w:rPr>
        <w:t>Sozański</w:t>
      </w:r>
      <w:r>
        <w:rPr>
          <w:rFonts w:cs="Times New Roman"/>
          <w:sz w:val="24"/>
        </w:rPr>
        <w:t xml:space="preserve"> T.</w:t>
      </w:r>
      <w:r w:rsidRPr="00C32FCD">
        <w:rPr>
          <w:rFonts w:cs="Times New Roman"/>
          <w:sz w:val="24"/>
        </w:rPr>
        <w:t xml:space="preserve">, </w:t>
      </w:r>
      <w:r w:rsidRPr="00C32FCD">
        <w:rPr>
          <w:rFonts w:cs="Times New Roman"/>
          <w:i/>
          <w:iCs/>
          <w:sz w:val="24"/>
        </w:rPr>
        <w:t>Teoria gier i decyzji dla socjologów i psychologów</w:t>
      </w:r>
      <w:r w:rsidRPr="00C32FCD">
        <w:rPr>
          <w:rFonts w:cs="Times New Roman"/>
          <w:sz w:val="24"/>
        </w:rPr>
        <w:t>, 2005,</w:t>
      </w:r>
    </w:p>
    <w:p w14:paraId="0E0BA6C5" w14:textId="291F1B66" w:rsidR="002D3DF9" w:rsidRDefault="00C32FCD" w:rsidP="00983F85">
      <w:pPr>
        <w:pStyle w:val="Tekstprzypisudolnego"/>
        <w:numPr>
          <w:ilvl w:val="0"/>
          <w:numId w:val="10"/>
        </w:numPr>
        <w:spacing w:line="360" w:lineRule="auto"/>
        <w:ind w:left="360"/>
        <w:jc w:val="both"/>
        <w:rPr>
          <w:rFonts w:cs="Times New Roman"/>
          <w:sz w:val="24"/>
          <w:lang w:val="en-GB"/>
        </w:rPr>
      </w:pPr>
      <w:r w:rsidRPr="00C32FCD">
        <w:rPr>
          <w:rFonts w:cs="Times New Roman"/>
          <w:sz w:val="24"/>
          <w:lang w:val="en-GB"/>
        </w:rPr>
        <w:t>Lowrance</w:t>
      </w:r>
      <w:r>
        <w:rPr>
          <w:rFonts w:cs="Times New Roman"/>
          <w:sz w:val="24"/>
          <w:lang w:val="en-GB"/>
        </w:rPr>
        <w:t xml:space="preserve"> W.</w:t>
      </w:r>
      <w:r w:rsidRPr="00C32FCD">
        <w:rPr>
          <w:rFonts w:cs="Times New Roman"/>
          <w:sz w:val="24"/>
          <w:lang w:val="en-GB"/>
        </w:rPr>
        <w:t xml:space="preserve">, </w:t>
      </w:r>
      <w:r w:rsidRPr="00C32FCD">
        <w:rPr>
          <w:rFonts w:cs="Times New Roman"/>
          <w:i/>
          <w:iCs/>
          <w:sz w:val="24"/>
          <w:lang w:val="en-GB"/>
        </w:rPr>
        <w:t>Of Acceptable Risk: Science and the Determination of Safety</w:t>
      </w:r>
      <w:r w:rsidRPr="00C32FCD">
        <w:rPr>
          <w:rFonts w:cs="Times New Roman"/>
          <w:sz w:val="24"/>
          <w:lang w:val="en-GB"/>
        </w:rPr>
        <w:t>,</w:t>
      </w:r>
      <w:r>
        <w:rPr>
          <w:rFonts w:cs="Times New Roman"/>
          <w:sz w:val="24"/>
          <w:lang w:val="en-GB"/>
        </w:rPr>
        <w:t xml:space="preserve"> </w:t>
      </w:r>
      <w:r w:rsidRPr="00C32FCD">
        <w:rPr>
          <w:rFonts w:cs="Times New Roman"/>
          <w:sz w:val="24"/>
          <w:lang w:val="en-GB"/>
        </w:rPr>
        <w:t>William Kaufman In</w:t>
      </w:r>
      <w:r>
        <w:rPr>
          <w:rFonts w:cs="Times New Roman"/>
          <w:sz w:val="24"/>
          <w:lang w:val="en-GB"/>
        </w:rPr>
        <w:t xml:space="preserve">, </w:t>
      </w:r>
      <w:r w:rsidRPr="00C32FCD">
        <w:rPr>
          <w:rFonts w:cs="Times New Roman"/>
          <w:sz w:val="24"/>
          <w:lang w:val="en-GB"/>
        </w:rPr>
        <w:t>Los Altos</w:t>
      </w:r>
      <w:r>
        <w:rPr>
          <w:rFonts w:cs="Times New Roman"/>
          <w:sz w:val="24"/>
          <w:lang w:val="en-GB"/>
        </w:rPr>
        <w:t xml:space="preserve"> </w:t>
      </w:r>
      <w:r w:rsidRPr="00C32FCD">
        <w:rPr>
          <w:rFonts w:cs="Times New Roman"/>
          <w:sz w:val="24"/>
          <w:lang w:val="en-GB"/>
        </w:rPr>
        <w:t>1976</w:t>
      </w:r>
      <w:r w:rsidR="00640B7C">
        <w:rPr>
          <w:rFonts w:cs="Times New Roman"/>
          <w:sz w:val="24"/>
          <w:lang w:val="en-GB"/>
        </w:rPr>
        <w:t>,</w:t>
      </w:r>
    </w:p>
    <w:p w14:paraId="3F818D93" w14:textId="60E4B97C" w:rsidR="00C32FCD" w:rsidRDefault="00D2090D" w:rsidP="00983F85">
      <w:pPr>
        <w:pStyle w:val="Tekstprzypisudolnego"/>
        <w:numPr>
          <w:ilvl w:val="0"/>
          <w:numId w:val="10"/>
        </w:numPr>
        <w:spacing w:line="360" w:lineRule="auto"/>
        <w:ind w:left="360"/>
        <w:jc w:val="both"/>
        <w:rPr>
          <w:rFonts w:cs="Times New Roman"/>
          <w:sz w:val="24"/>
          <w:lang w:val="en-GB"/>
        </w:rPr>
      </w:pPr>
      <w:proofErr w:type="spellStart"/>
      <w:r w:rsidRPr="00D2090D">
        <w:rPr>
          <w:rFonts w:cs="Times New Roman"/>
          <w:sz w:val="24"/>
          <w:lang w:val="en-GB"/>
        </w:rPr>
        <w:t>Kościelniak</w:t>
      </w:r>
      <w:proofErr w:type="spellEnd"/>
      <w:r>
        <w:rPr>
          <w:rFonts w:cs="Times New Roman"/>
          <w:sz w:val="24"/>
          <w:lang w:val="en-GB"/>
        </w:rPr>
        <w:t xml:space="preserve"> H.</w:t>
      </w:r>
      <w:r w:rsidRPr="00D2090D">
        <w:rPr>
          <w:rFonts w:cs="Times New Roman"/>
          <w:sz w:val="24"/>
          <w:lang w:val="en-GB"/>
        </w:rPr>
        <w:t xml:space="preserve">, </w:t>
      </w:r>
      <w:r w:rsidRPr="00D2090D">
        <w:rPr>
          <w:rFonts w:cs="Times New Roman"/>
          <w:i/>
          <w:iCs/>
          <w:sz w:val="24"/>
          <w:lang w:val="en-GB"/>
        </w:rPr>
        <w:t>An improvement of information processes in enterprises—The analysis of sales profitability in the manufacturing company using ERP systems</w:t>
      </w:r>
      <w:r>
        <w:rPr>
          <w:rFonts w:cs="Times New Roman"/>
          <w:i/>
          <w:iCs/>
          <w:sz w:val="24"/>
          <w:lang w:val="en-GB"/>
        </w:rPr>
        <w:t xml:space="preserve">, </w:t>
      </w:r>
      <w:r w:rsidRPr="00D2090D">
        <w:rPr>
          <w:rFonts w:cs="Times New Roman"/>
          <w:sz w:val="24"/>
          <w:lang w:val="en-GB"/>
        </w:rPr>
        <w:t>Polish Journal of Management Studies 2014</w:t>
      </w:r>
      <w:r>
        <w:rPr>
          <w:rFonts w:cs="Times New Roman"/>
          <w:sz w:val="24"/>
          <w:lang w:val="en-GB"/>
        </w:rPr>
        <w:t>,</w:t>
      </w:r>
    </w:p>
    <w:p w14:paraId="41ACB678" w14:textId="2E8D06E5" w:rsidR="00243942" w:rsidRDefault="00243942" w:rsidP="00983F85">
      <w:pPr>
        <w:pStyle w:val="Tekstprzypisudolnego"/>
        <w:numPr>
          <w:ilvl w:val="0"/>
          <w:numId w:val="10"/>
        </w:numPr>
        <w:spacing w:line="360" w:lineRule="auto"/>
        <w:ind w:left="360"/>
        <w:jc w:val="both"/>
        <w:rPr>
          <w:rFonts w:cs="Times New Roman"/>
          <w:sz w:val="24"/>
        </w:rPr>
      </w:pPr>
      <w:r>
        <w:rPr>
          <w:rFonts w:cs="Times New Roman"/>
          <w:sz w:val="24"/>
        </w:rPr>
        <w:t xml:space="preserve">Mach </w:t>
      </w:r>
      <w:r w:rsidRPr="00243942">
        <w:rPr>
          <w:rFonts w:cs="Times New Roman"/>
          <w:sz w:val="24"/>
        </w:rPr>
        <w:t xml:space="preserve">M., </w:t>
      </w:r>
      <w:r w:rsidRPr="006D5B92">
        <w:rPr>
          <w:rFonts w:cs="Times New Roman"/>
          <w:i/>
          <w:iCs/>
          <w:sz w:val="24"/>
        </w:rPr>
        <w:t>Dynamiczna analiza barier wejścia na rynek jako zadanie dla narzędzia inteligentnego</w:t>
      </w:r>
      <w:r w:rsidRPr="00243942">
        <w:rPr>
          <w:rFonts w:cs="Times New Roman"/>
          <w:sz w:val="24"/>
        </w:rPr>
        <w:t>, 2003</w:t>
      </w:r>
      <w:r w:rsidR="002925BF">
        <w:rPr>
          <w:rFonts w:cs="Times New Roman"/>
          <w:sz w:val="24"/>
        </w:rPr>
        <w:t>,</w:t>
      </w:r>
    </w:p>
    <w:p w14:paraId="734E5249" w14:textId="103527D7" w:rsidR="002925BF" w:rsidRDefault="002925BF" w:rsidP="00983F85">
      <w:pPr>
        <w:pStyle w:val="Tekstprzypisudolnego"/>
        <w:numPr>
          <w:ilvl w:val="0"/>
          <w:numId w:val="10"/>
        </w:numPr>
        <w:spacing w:line="360" w:lineRule="auto"/>
        <w:ind w:left="360"/>
        <w:jc w:val="both"/>
        <w:rPr>
          <w:rFonts w:cs="Times New Roman"/>
          <w:sz w:val="24"/>
          <w:lang w:val="en-GB"/>
        </w:rPr>
      </w:pPr>
      <w:r w:rsidRPr="002925BF">
        <w:rPr>
          <w:rFonts w:cs="Times New Roman"/>
          <w:sz w:val="24"/>
          <w:lang w:val="en-GB"/>
        </w:rPr>
        <w:t xml:space="preserve">Andrew B., </w:t>
      </w:r>
      <w:proofErr w:type="spellStart"/>
      <w:r w:rsidRPr="002925BF">
        <w:rPr>
          <w:rFonts w:cs="Times New Roman"/>
          <w:sz w:val="24"/>
          <w:lang w:val="en-GB"/>
        </w:rPr>
        <w:t>Salemat</w:t>
      </w:r>
      <w:proofErr w:type="spellEnd"/>
      <w:r w:rsidRPr="002925BF">
        <w:rPr>
          <w:rFonts w:cs="Times New Roman"/>
          <w:sz w:val="24"/>
          <w:lang w:val="en-GB"/>
        </w:rPr>
        <w:t xml:space="preserve"> A., </w:t>
      </w:r>
      <w:r w:rsidRPr="002925BF">
        <w:rPr>
          <w:rFonts w:cs="Times New Roman"/>
          <w:i/>
          <w:iCs/>
          <w:sz w:val="24"/>
          <w:lang w:val="en-GB"/>
        </w:rPr>
        <w:t>Systematic Literature Review of Missing Data Imputation Techniques for Effort Prediction</w:t>
      </w:r>
      <w:r w:rsidRPr="002925BF">
        <w:rPr>
          <w:rFonts w:cs="Times New Roman"/>
          <w:sz w:val="24"/>
          <w:lang w:val="en-GB"/>
        </w:rPr>
        <w:t xml:space="preserve">, </w:t>
      </w:r>
      <w:r>
        <w:rPr>
          <w:rFonts w:cs="Times New Roman"/>
          <w:sz w:val="24"/>
          <w:lang w:val="en-GB"/>
        </w:rPr>
        <w:t>2</w:t>
      </w:r>
      <w:r w:rsidRPr="002925BF">
        <w:rPr>
          <w:rFonts w:cs="Times New Roman"/>
          <w:sz w:val="24"/>
          <w:lang w:val="en-GB"/>
        </w:rPr>
        <w:t>012,</w:t>
      </w:r>
    </w:p>
    <w:p w14:paraId="62461F6C" w14:textId="79C600C3" w:rsidR="00EF4DF6" w:rsidRDefault="00EF4DF6" w:rsidP="00983F85">
      <w:pPr>
        <w:pStyle w:val="Tekstprzypisudolnego"/>
        <w:numPr>
          <w:ilvl w:val="0"/>
          <w:numId w:val="10"/>
        </w:numPr>
        <w:spacing w:line="360" w:lineRule="auto"/>
        <w:ind w:left="360"/>
        <w:jc w:val="both"/>
        <w:rPr>
          <w:rFonts w:cs="Times New Roman"/>
          <w:sz w:val="24"/>
          <w:lang w:val="en-GB"/>
        </w:rPr>
      </w:pPr>
      <w:proofErr w:type="spellStart"/>
      <w:r w:rsidRPr="00EF4DF6">
        <w:rPr>
          <w:rFonts w:cs="Times New Roman"/>
          <w:sz w:val="24"/>
          <w:lang w:val="en-GB"/>
        </w:rPr>
        <w:t>Cabras</w:t>
      </w:r>
      <w:proofErr w:type="spellEnd"/>
      <w:r w:rsidRPr="00EF4DF6">
        <w:rPr>
          <w:rFonts w:cs="Times New Roman"/>
          <w:sz w:val="24"/>
          <w:lang w:val="en-GB"/>
        </w:rPr>
        <w:t xml:space="preserve"> S. Morales J., </w:t>
      </w:r>
      <w:r w:rsidRPr="002C50C6">
        <w:rPr>
          <w:rFonts w:cs="Times New Roman"/>
          <w:i/>
          <w:iCs/>
          <w:sz w:val="24"/>
          <w:lang w:val="en-GB"/>
        </w:rPr>
        <w:t>Extreme value analysis within a parametric outlier detection framework. Applied Stochastic Models in Business and Industry</w:t>
      </w:r>
      <w:r w:rsidRPr="00EF4DF6">
        <w:rPr>
          <w:rFonts w:cs="Times New Roman"/>
          <w:sz w:val="24"/>
          <w:lang w:val="en-GB"/>
        </w:rPr>
        <w:t>, Department of Mathematics, University of Cagliari</w:t>
      </w:r>
      <w:r w:rsidR="00CA3C45">
        <w:rPr>
          <w:rFonts w:cs="Times New Roman"/>
          <w:sz w:val="24"/>
          <w:lang w:val="en-GB"/>
        </w:rPr>
        <w:t>,</w:t>
      </w:r>
      <w:r w:rsidR="00E65B07">
        <w:rPr>
          <w:rFonts w:cs="Times New Roman"/>
          <w:sz w:val="24"/>
          <w:lang w:val="en-GB"/>
        </w:rPr>
        <w:t xml:space="preserve"> </w:t>
      </w:r>
      <w:r w:rsidRPr="00EF4DF6">
        <w:rPr>
          <w:rFonts w:cs="Times New Roman"/>
          <w:sz w:val="24"/>
          <w:lang w:val="en-GB"/>
        </w:rPr>
        <w:t xml:space="preserve">2007, </w:t>
      </w:r>
    </w:p>
    <w:p w14:paraId="3C1842B5" w14:textId="1163F6AE" w:rsidR="008E3C17" w:rsidRPr="002925BF" w:rsidRDefault="00033146" w:rsidP="00983F85">
      <w:pPr>
        <w:pStyle w:val="Tekstprzypisudolnego"/>
        <w:numPr>
          <w:ilvl w:val="0"/>
          <w:numId w:val="10"/>
        </w:numPr>
        <w:spacing w:line="360" w:lineRule="auto"/>
        <w:ind w:left="360"/>
        <w:jc w:val="both"/>
        <w:rPr>
          <w:rFonts w:cs="Times New Roman"/>
          <w:sz w:val="24"/>
          <w:lang w:val="en-GB"/>
        </w:rPr>
      </w:pPr>
      <w:r w:rsidRPr="008E3C17">
        <w:rPr>
          <w:rFonts w:cs="Times New Roman"/>
          <w:sz w:val="24"/>
          <w:lang w:val="en-GB"/>
        </w:rPr>
        <w:t xml:space="preserve">Altman </w:t>
      </w:r>
      <w:r w:rsidR="008E3C17" w:rsidRPr="008E3C17">
        <w:rPr>
          <w:rFonts w:cs="Times New Roman"/>
          <w:sz w:val="24"/>
          <w:lang w:val="en-GB"/>
        </w:rPr>
        <w:t xml:space="preserve">E., </w:t>
      </w:r>
      <w:r w:rsidR="008E3C17" w:rsidRPr="008E3C17">
        <w:rPr>
          <w:rFonts w:cs="Times New Roman"/>
          <w:i/>
          <w:iCs/>
          <w:sz w:val="24"/>
          <w:lang w:val="en-GB"/>
        </w:rPr>
        <w:t>Financial ratios, discriminant analysis and the prediction of corporate bankruptcy</w:t>
      </w:r>
      <w:r w:rsidR="008E3C17" w:rsidRPr="008E3C17">
        <w:rPr>
          <w:rFonts w:cs="Times New Roman"/>
          <w:sz w:val="24"/>
          <w:lang w:val="en-GB"/>
        </w:rPr>
        <w:t>, 1968,</w:t>
      </w:r>
    </w:p>
    <w:p w14:paraId="2C409029" w14:textId="3FEA8EF2" w:rsidR="000656B8" w:rsidRDefault="00CC60BA" w:rsidP="00983F85">
      <w:pPr>
        <w:pStyle w:val="Nagwek2"/>
        <w:spacing w:line="360" w:lineRule="auto"/>
        <w:jc w:val="both"/>
      </w:pPr>
      <w:bookmarkStart w:id="44" w:name="_Toc61804456"/>
      <w:r>
        <w:t>II</w:t>
      </w:r>
      <w:r w:rsidR="000656B8">
        <w:t>. Artykuły.</w:t>
      </w:r>
      <w:bookmarkEnd w:id="44"/>
    </w:p>
    <w:p w14:paraId="24DC2CF5" w14:textId="74DA2BBE" w:rsidR="000656B8" w:rsidRDefault="00E36F3E" w:rsidP="00E36F3E">
      <w:pPr>
        <w:pStyle w:val="Akapitzlist"/>
        <w:numPr>
          <w:ilvl w:val="0"/>
          <w:numId w:val="11"/>
        </w:numPr>
        <w:spacing w:line="360" w:lineRule="auto"/>
        <w:ind w:left="360"/>
        <w:jc w:val="both"/>
        <w:rPr>
          <w:rFonts w:cs="Times New Roman"/>
          <w:szCs w:val="24"/>
          <w:lang w:val="en-GB"/>
        </w:rPr>
      </w:pPr>
      <w:proofErr w:type="spellStart"/>
      <w:r w:rsidRPr="00E36F3E">
        <w:rPr>
          <w:rFonts w:cs="Times New Roman"/>
          <w:szCs w:val="24"/>
          <w:lang w:val="en-GB"/>
        </w:rPr>
        <w:t>Horváthová</w:t>
      </w:r>
      <w:proofErr w:type="spellEnd"/>
      <w:r w:rsidRPr="00E36F3E">
        <w:rPr>
          <w:rFonts w:cs="Times New Roman"/>
          <w:szCs w:val="24"/>
          <w:lang w:val="en-GB"/>
        </w:rPr>
        <w:t xml:space="preserve"> J., </w:t>
      </w:r>
      <w:proofErr w:type="spellStart"/>
      <w:r w:rsidRPr="00E36F3E">
        <w:rPr>
          <w:rFonts w:cs="Times New Roman"/>
          <w:szCs w:val="24"/>
          <w:lang w:val="en-GB"/>
        </w:rPr>
        <w:t>Mokrišová</w:t>
      </w:r>
      <w:proofErr w:type="spellEnd"/>
      <w:r w:rsidRPr="00E36F3E">
        <w:rPr>
          <w:rFonts w:cs="Times New Roman"/>
          <w:szCs w:val="24"/>
          <w:lang w:val="en-GB"/>
        </w:rPr>
        <w:t xml:space="preserve"> M., </w:t>
      </w:r>
      <w:r w:rsidRPr="00E36F3E">
        <w:rPr>
          <w:rFonts w:cs="Times New Roman"/>
          <w:i/>
          <w:iCs/>
          <w:szCs w:val="24"/>
          <w:lang w:val="en-GB"/>
        </w:rPr>
        <w:t>Risk of Bankruptcy, Its Determinants and Models</w:t>
      </w:r>
      <w:r w:rsidRPr="00E36F3E">
        <w:rPr>
          <w:rFonts w:cs="Times New Roman"/>
          <w:szCs w:val="24"/>
          <w:lang w:val="en-GB"/>
        </w:rPr>
        <w:t>, 2018</w:t>
      </w:r>
      <w:r>
        <w:rPr>
          <w:rFonts w:cs="Times New Roman"/>
          <w:szCs w:val="24"/>
          <w:lang w:val="en-GB"/>
        </w:rPr>
        <w:t>,</w:t>
      </w:r>
    </w:p>
    <w:p w14:paraId="70CD03EB" w14:textId="0329D466" w:rsidR="00E36F3E" w:rsidRDefault="00233AC6" w:rsidP="00E36F3E">
      <w:pPr>
        <w:pStyle w:val="Akapitzlist"/>
        <w:numPr>
          <w:ilvl w:val="0"/>
          <w:numId w:val="11"/>
        </w:numPr>
        <w:spacing w:line="360" w:lineRule="auto"/>
        <w:ind w:left="360"/>
        <w:jc w:val="both"/>
        <w:rPr>
          <w:rFonts w:cs="Times New Roman"/>
          <w:szCs w:val="24"/>
          <w:lang w:val="en-GB"/>
        </w:rPr>
      </w:pPr>
      <w:r w:rsidRPr="00233AC6">
        <w:rPr>
          <w:rFonts w:cs="Times New Roman"/>
          <w:szCs w:val="24"/>
          <w:lang w:val="en-GB"/>
        </w:rPr>
        <w:t xml:space="preserve">Chen S., Xu S., </w:t>
      </w:r>
      <w:r w:rsidRPr="00BE7A91">
        <w:rPr>
          <w:rFonts w:cs="Times New Roman"/>
          <w:i/>
          <w:iCs/>
          <w:szCs w:val="24"/>
          <w:lang w:val="en-GB"/>
        </w:rPr>
        <w:t>Comparative study of bankruptcy prediction model</w:t>
      </w:r>
      <w:r w:rsidRPr="00233AC6">
        <w:rPr>
          <w:rFonts w:cs="Times New Roman"/>
          <w:szCs w:val="24"/>
          <w:lang w:val="en-GB"/>
        </w:rPr>
        <w:t>, 2018,</w:t>
      </w:r>
    </w:p>
    <w:p w14:paraId="76C6113D" w14:textId="4BC98372" w:rsidR="00BD033A" w:rsidRDefault="00BD033A" w:rsidP="00E36F3E">
      <w:pPr>
        <w:pStyle w:val="Akapitzlist"/>
        <w:numPr>
          <w:ilvl w:val="0"/>
          <w:numId w:val="11"/>
        </w:numPr>
        <w:spacing w:line="360" w:lineRule="auto"/>
        <w:ind w:left="360"/>
        <w:jc w:val="both"/>
        <w:rPr>
          <w:rFonts w:cs="Times New Roman"/>
          <w:szCs w:val="24"/>
          <w:lang w:val="en-GB"/>
        </w:rPr>
      </w:pPr>
      <w:proofErr w:type="spellStart"/>
      <w:r w:rsidRPr="00BD033A">
        <w:rPr>
          <w:rFonts w:cs="Times New Roman"/>
          <w:szCs w:val="24"/>
          <w:lang w:val="en-GB"/>
        </w:rPr>
        <w:t>Vignan</w:t>
      </w:r>
      <w:proofErr w:type="spellEnd"/>
      <w:r w:rsidRPr="00BD033A">
        <w:rPr>
          <w:rFonts w:cs="Times New Roman"/>
          <w:szCs w:val="24"/>
          <w:lang w:val="en-GB"/>
        </w:rPr>
        <w:t xml:space="preserve"> N., Jawaharlal N., </w:t>
      </w:r>
      <w:r w:rsidRPr="00BD033A">
        <w:rPr>
          <w:rFonts w:cs="Times New Roman"/>
          <w:i/>
          <w:iCs/>
          <w:szCs w:val="24"/>
          <w:lang w:val="en-GB"/>
        </w:rPr>
        <w:t>An Exhaustive Literature Review on Class Imbalance Problem</w:t>
      </w:r>
      <w:r w:rsidRPr="00BD033A">
        <w:rPr>
          <w:rFonts w:cs="Times New Roman"/>
          <w:szCs w:val="24"/>
          <w:lang w:val="en-GB"/>
        </w:rPr>
        <w:t>, 2013</w:t>
      </w:r>
      <w:r>
        <w:rPr>
          <w:rFonts w:cs="Times New Roman"/>
          <w:szCs w:val="24"/>
          <w:lang w:val="en-GB"/>
        </w:rPr>
        <w:t>,</w:t>
      </w:r>
    </w:p>
    <w:p w14:paraId="0CC49372" w14:textId="269DD97A" w:rsidR="00A27AE4" w:rsidRDefault="00A27AE4" w:rsidP="00E36F3E">
      <w:pPr>
        <w:pStyle w:val="Akapitzlist"/>
        <w:numPr>
          <w:ilvl w:val="0"/>
          <w:numId w:val="11"/>
        </w:numPr>
        <w:spacing w:line="360" w:lineRule="auto"/>
        <w:ind w:left="360"/>
        <w:jc w:val="both"/>
        <w:rPr>
          <w:rFonts w:cs="Times New Roman"/>
          <w:szCs w:val="24"/>
          <w:lang w:val="en-GB"/>
        </w:rPr>
      </w:pPr>
      <w:r w:rsidRPr="00A27AE4">
        <w:rPr>
          <w:rFonts w:cs="Times New Roman"/>
          <w:szCs w:val="24"/>
          <w:lang w:val="en-GB"/>
        </w:rPr>
        <w:t xml:space="preserve">Hart P., </w:t>
      </w:r>
      <w:r w:rsidRPr="00A27AE4">
        <w:rPr>
          <w:rFonts w:cs="Times New Roman"/>
          <w:i/>
          <w:iCs/>
          <w:szCs w:val="24"/>
          <w:lang w:val="en-GB"/>
        </w:rPr>
        <w:t xml:space="preserve">The condensed nearest </w:t>
      </w:r>
      <w:proofErr w:type="spellStart"/>
      <w:r w:rsidRPr="00A27AE4">
        <w:rPr>
          <w:rFonts w:cs="Times New Roman"/>
          <w:i/>
          <w:iCs/>
          <w:szCs w:val="24"/>
          <w:lang w:val="en-GB"/>
        </w:rPr>
        <w:t>neighbor</w:t>
      </w:r>
      <w:proofErr w:type="spellEnd"/>
      <w:r w:rsidRPr="00A27AE4">
        <w:rPr>
          <w:rFonts w:cs="Times New Roman"/>
          <w:i/>
          <w:iCs/>
          <w:szCs w:val="24"/>
          <w:lang w:val="en-GB"/>
        </w:rPr>
        <w:t xml:space="preserve"> rule, IEEE Transactions on Information Theory</w:t>
      </w:r>
      <w:r w:rsidRPr="00A27AE4">
        <w:rPr>
          <w:rFonts w:cs="Times New Roman"/>
          <w:szCs w:val="24"/>
          <w:lang w:val="en-GB"/>
        </w:rPr>
        <w:t>, 1968</w:t>
      </w:r>
      <w:r>
        <w:rPr>
          <w:rFonts w:cs="Times New Roman"/>
          <w:szCs w:val="24"/>
          <w:lang w:val="en-GB"/>
        </w:rPr>
        <w:t>,</w:t>
      </w:r>
    </w:p>
    <w:p w14:paraId="10ACDBD0" w14:textId="3250AD33" w:rsidR="00F62748" w:rsidRDefault="00F62748" w:rsidP="00E36F3E">
      <w:pPr>
        <w:pStyle w:val="Akapitzlist"/>
        <w:numPr>
          <w:ilvl w:val="0"/>
          <w:numId w:val="11"/>
        </w:numPr>
        <w:spacing w:line="360" w:lineRule="auto"/>
        <w:ind w:left="360"/>
        <w:jc w:val="both"/>
        <w:rPr>
          <w:rFonts w:cs="Times New Roman"/>
          <w:szCs w:val="24"/>
          <w:lang w:val="en-GB"/>
        </w:rPr>
      </w:pPr>
      <w:proofErr w:type="spellStart"/>
      <w:r w:rsidRPr="00F62748">
        <w:rPr>
          <w:rFonts w:cs="Times New Roman"/>
          <w:szCs w:val="24"/>
          <w:lang w:val="en-GB"/>
        </w:rPr>
        <w:t>Dormann</w:t>
      </w:r>
      <w:proofErr w:type="spellEnd"/>
      <w:r w:rsidRPr="00F62748">
        <w:rPr>
          <w:rFonts w:cs="Times New Roman"/>
          <w:szCs w:val="24"/>
          <w:lang w:val="en-GB"/>
        </w:rPr>
        <w:t xml:space="preserve"> C. F., </w:t>
      </w:r>
      <w:r w:rsidRPr="00F62748">
        <w:rPr>
          <w:rFonts w:cs="Times New Roman"/>
          <w:i/>
          <w:iCs/>
          <w:szCs w:val="24"/>
          <w:lang w:val="en-GB"/>
        </w:rPr>
        <w:t>Collinearity: a review of methods to deal with it and a simulation study evaluating their performance</w:t>
      </w:r>
      <w:r w:rsidRPr="00F62748">
        <w:rPr>
          <w:rFonts w:cs="Times New Roman"/>
          <w:szCs w:val="24"/>
          <w:lang w:val="en-GB"/>
        </w:rPr>
        <w:t>, 2013,</w:t>
      </w:r>
    </w:p>
    <w:p w14:paraId="5C1155A4" w14:textId="0CB0D4C0" w:rsidR="00DB69AE" w:rsidRDefault="00CE194F" w:rsidP="00E36F3E">
      <w:pPr>
        <w:pStyle w:val="Akapitzlist"/>
        <w:numPr>
          <w:ilvl w:val="0"/>
          <w:numId w:val="11"/>
        </w:numPr>
        <w:spacing w:line="360" w:lineRule="auto"/>
        <w:ind w:left="360"/>
        <w:jc w:val="both"/>
        <w:rPr>
          <w:rFonts w:cs="Times New Roman"/>
          <w:szCs w:val="24"/>
        </w:rPr>
      </w:pPr>
      <w:r w:rsidRPr="00DB69AE">
        <w:rPr>
          <w:rFonts w:cs="Times New Roman"/>
          <w:szCs w:val="24"/>
        </w:rPr>
        <w:t xml:space="preserve">Dudek </w:t>
      </w:r>
      <w:r w:rsidR="00DB69AE" w:rsidRPr="00DB69AE">
        <w:rPr>
          <w:rFonts w:cs="Times New Roman"/>
          <w:szCs w:val="24"/>
        </w:rPr>
        <w:t xml:space="preserve">H., </w:t>
      </w:r>
      <w:r w:rsidR="00DB69AE" w:rsidRPr="00DB69AE">
        <w:rPr>
          <w:rFonts w:cs="Times New Roman"/>
          <w:i/>
          <w:iCs/>
          <w:szCs w:val="24"/>
        </w:rPr>
        <w:t>Wykrywanie współliniowości za pomocą scentrowanych, niescentrowanych oraz uogólnionych czynników inflacji wariancji</w:t>
      </w:r>
      <w:r w:rsidR="00DB69AE" w:rsidRPr="00DB69AE">
        <w:rPr>
          <w:rFonts w:cs="Times New Roman"/>
          <w:szCs w:val="24"/>
        </w:rPr>
        <w:t>, 2005</w:t>
      </w:r>
      <w:r w:rsidR="00DC4B94">
        <w:rPr>
          <w:rFonts w:cs="Times New Roman"/>
          <w:szCs w:val="24"/>
        </w:rPr>
        <w:t>,</w:t>
      </w:r>
    </w:p>
    <w:p w14:paraId="76DE7B80" w14:textId="0F6DCE96" w:rsidR="00DC4B94" w:rsidRDefault="00DC4B94" w:rsidP="00E36F3E">
      <w:pPr>
        <w:pStyle w:val="Akapitzlist"/>
        <w:numPr>
          <w:ilvl w:val="0"/>
          <w:numId w:val="11"/>
        </w:numPr>
        <w:spacing w:line="360" w:lineRule="auto"/>
        <w:ind w:left="360"/>
        <w:jc w:val="both"/>
        <w:rPr>
          <w:rFonts w:cs="Times New Roman"/>
          <w:szCs w:val="24"/>
        </w:rPr>
      </w:pPr>
      <w:r w:rsidRPr="00DC4B94">
        <w:rPr>
          <w:rFonts w:cs="Times New Roman"/>
          <w:szCs w:val="24"/>
        </w:rPr>
        <w:t xml:space="preserve">Prusak B., </w:t>
      </w:r>
      <w:r w:rsidRPr="00DC4B94">
        <w:rPr>
          <w:rFonts w:cs="Times New Roman"/>
          <w:i/>
          <w:iCs/>
          <w:szCs w:val="24"/>
        </w:rPr>
        <w:t>Nowoczesne metody prognozowania zagrożenia finansowego przedsiębiorstw</w:t>
      </w:r>
      <w:r w:rsidRPr="00DC4B94">
        <w:rPr>
          <w:rFonts w:cs="Times New Roman"/>
          <w:szCs w:val="24"/>
        </w:rPr>
        <w:t>, 2005</w:t>
      </w:r>
      <w:r w:rsidR="003A4A6A">
        <w:rPr>
          <w:rFonts w:cs="Times New Roman"/>
          <w:szCs w:val="24"/>
        </w:rPr>
        <w:t>,</w:t>
      </w:r>
    </w:p>
    <w:p w14:paraId="3195693B" w14:textId="77777777" w:rsidR="00033146" w:rsidRPr="00033146" w:rsidRDefault="00D155B7" w:rsidP="00E36F3E">
      <w:pPr>
        <w:pStyle w:val="Akapitzlist"/>
        <w:numPr>
          <w:ilvl w:val="0"/>
          <w:numId w:val="11"/>
        </w:numPr>
        <w:spacing w:line="360" w:lineRule="auto"/>
        <w:ind w:left="360"/>
        <w:jc w:val="both"/>
        <w:rPr>
          <w:rFonts w:cs="Times New Roman"/>
          <w:szCs w:val="24"/>
        </w:rPr>
      </w:pPr>
      <w:r w:rsidRPr="00033146">
        <w:rPr>
          <w:rFonts w:cs="Times New Roman"/>
          <w:szCs w:val="24"/>
        </w:rPr>
        <w:t xml:space="preserve">Korol </w:t>
      </w:r>
      <w:r w:rsidR="00470EE8" w:rsidRPr="00033146">
        <w:rPr>
          <w:rFonts w:cs="Times New Roman"/>
          <w:szCs w:val="24"/>
        </w:rPr>
        <w:t xml:space="preserve">T., </w:t>
      </w:r>
      <w:r w:rsidR="00470EE8" w:rsidRPr="00033146">
        <w:rPr>
          <w:rFonts w:cs="Times New Roman"/>
          <w:i/>
          <w:iCs/>
          <w:szCs w:val="24"/>
        </w:rPr>
        <w:t>Systemy Ostrzegania Przedsiębiorstw Przed Ryzykiem Upadłości</w:t>
      </w:r>
      <w:r w:rsidR="00470EE8" w:rsidRPr="00033146">
        <w:rPr>
          <w:rFonts w:cs="Times New Roman"/>
          <w:szCs w:val="24"/>
        </w:rPr>
        <w:t>, 2010,</w:t>
      </w:r>
    </w:p>
    <w:p w14:paraId="029B1402" w14:textId="1F41D6A9" w:rsidR="00470EE8" w:rsidRDefault="00033146" w:rsidP="00E36F3E">
      <w:pPr>
        <w:pStyle w:val="Akapitzlist"/>
        <w:numPr>
          <w:ilvl w:val="0"/>
          <w:numId w:val="11"/>
        </w:numPr>
        <w:spacing w:line="360" w:lineRule="auto"/>
        <w:ind w:left="360"/>
        <w:jc w:val="both"/>
        <w:rPr>
          <w:rFonts w:cs="Times New Roman"/>
          <w:szCs w:val="24"/>
          <w:lang w:val="en-GB"/>
        </w:rPr>
      </w:pPr>
      <w:proofErr w:type="spellStart"/>
      <w:r w:rsidRPr="00470EE8">
        <w:rPr>
          <w:rFonts w:cs="Times New Roman"/>
          <w:szCs w:val="24"/>
          <w:lang w:val="en-GB"/>
        </w:rPr>
        <w:t>Korol</w:t>
      </w:r>
      <w:proofErr w:type="spellEnd"/>
      <w:r w:rsidRPr="00470EE8">
        <w:rPr>
          <w:rFonts w:cs="Times New Roman"/>
          <w:szCs w:val="24"/>
          <w:lang w:val="en-GB"/>
        </w:rPr>
        <w:t xml:space="preserve"> </w:t>
      </w:r>
      <w:r w:rsidR="00470EE8" w:rsidRPr="00470EE8">
        <w:rPr>
          <w:rFonts w:cs="Times New Roman"/>
          <w:szCs w:val="24"/>
          <w:lang w:val="en-GB"/>
        </w:rPr>
        <w:t xml:space="preserve">T., </w:t>
      </w:r>
      <w:r w:rsidR="00470EE8" w:rsidRPr="00CE64CB">
        <w:rPr>
          <w:rFonts w:cs="Times New Roman"/>
          <w:i/>
          <w:iCs/>
          <w:szCs w:val="24"/>
          <w:lang w:val="en-GB"/>
        </w:rPr>
        <w:t>Early warning models against bankruptcy risk for Central European and Latin American enterprises</w:t>
      </w:r>
      <w:r w:rsidR="00470EE8" w:rsidRPr="00470EE8">
        <w:rPr>
          <w:rFonts w:cs="Times New Roman"/>
          <w:szCs w:val="24"/>
          <w:lang w:val="en-GB"/>
        </w:rPr>
        <w:t>, 2013</w:t>
      </w:r>
      <w:r w:rsidR="00CE0CDA">
        <w:rPr>
          <w:rFonts w:cs="Times New Roman"/>
          <w:szCs w:val="24"/>
          <w:lang w:val="en-GB"/>
        </w:rPr>
        <w:t>,</w:t>
      </w:r>
    </w:p>
    <w:p w14:paraId="3BD4E205" w14:textId="6A190AD1" w:rsidR="0088233D" w:rsidRDefault="00B11366" w:rsidP="00E36F3E">
      <w:pPr>
        <w:pStyle w:val="Akapitzlist"/>
        <w:numPr>
          <w:ilvl w:val="0"/>
          <w:numId w:val="11"/>
        </w:numPr>
        <w:spacing w:line="360" w:lineRule="auto"/>
        <w:ind w:left="360"/>
        <w:jc w:val="both"/>
        <w:rPr>
          <w:rFonts w:cs="Times New Roman"/>
          <w:szCs w:val="24"/>
          <w:lang w:val="en-GB"/>
        </w:rPr>
      </w:pPr>
      <w:proofErr w:type="spellStart"/>
      <w:r w:rsidRPr="00B11366">
        <w:rPr>
          <w:rFonts w:cs="Times New Roman"/>
          <w:szCs w:val="24"/>
          <w:lang w:val="en-GB"/>
        </w:rPr>
        <w:lastRenderedPageBreak/>
        <w:t>Patro</w:t>
      </w:r>
      <w:proofErr w:type="spellEnd"/>
      <w:r w:rsidRPr="00B11366">
        <w:rPr>
          <w:rFonts w:cs="Times New Roman"/>
          <w:szCs w:val="24"/>
          <w:lang w:val="en-GB"/>
        </w:rPr>
        <w:t xml:space="preserve"> K., Kumar K., </w:t>
      </w:r>
      <w:r w:rsidRPr="00B11366">
        <w:rPr>
          <w:rFonts w:cs="Times New Roman"/>
          <w:i/>
          <w:iCs/>
          <w:szCs w:val="24"/>
          <w:lang w:val="en-GB"/>
        </w:rPr>
        <w:t xml:space="preserve">Normalization: A </w:t>
      </w:r>
      <w:proofErr w:type="spellStart"/>
      <w:r w:rsidRPr="00B11366">
        <w:rPr>
          <w:rFonts w:cs="Times New Roman"/>
          <w:i/>
          <w:iCs/>
          <w:szCs w:val="24"/>
          <w:lang w:val="en-GB"/>
        </w:rPr>
        <w:t>Preprocessing</w:t>
      </w:r>
      <w:proofErr w:type="spellEnd"/>
      <w:r w:rsidRPr="00B11366">
        <w:rPr>
          <w:rFonts w:cs="Times New Roman"/>
          <w:i/>
          <w:iCs/>
          <w:szCs w:val="24"/>
          <w:lang w:val="en-GB"/>
        </w:rPr>
        <w:t xml:space="preserve"> Stage</w:t>
      </w:r>
      <w:r w:rsidRPr="00B11366">
        <w:rPr>
          <w:rFonts w:cs="Times New Roman"/>
          <w:szCs w:val="24"/>
          <w:lang w:val="en-GB"/>
        </w:rPr>
        <w:t>, 2015</w:t>
      </w:r>
      <w:r w:rsidR="00324CE4">
        <w:rPr>
          <w:rFonts w:cs="Times New Roman"/>
          <w:szCs w:val="24"/>
          <w:lang w:val="en-GB"/>
        </w:rPr>
        <w:t>,</w:t>
      </w:r>
    </w:p>
    <w:p w14:paraId="5DC0EC09" w14:textId="4E4FDB3D" w:rsidR="00324CE4" w:rsidRDefault="00324CE4" w:rsidP="00E36F3E">
      <w:pPr>
        <w:pStyle w:val="Akapitzlist"/>
        <w:numPr>
          <w:ilvl w:val="0"/>
          <w:numId w:val="11"/>
        </w:numPr>
        <w:spacing w:line="360" w:lineRule="auto"/>
        <w:ind w:left="360"/>
        <w:jc w:val="both"/>
        <w:rPr>
          <w:rFonts w:cs="Times New Roman"/>
          <w:szCs w:val="24"/>
          <w:lang w:val="en-GB"/>
        </w:rPr>
      </w:pPr>
      <w:proofErr w:type="spellStart"/>
      <w:r w:rsidRPr="00324CE4">
        <w:rPr>
          <w:rFonts w:cs="Times New Roman"/>
          <w:szCs w:val="24"/>
          <w:lang w:val="en-GB"/>
        </w:rPr>
        <w:t>Potdar</w:t>
      </w:r>
      <w:proofErr w:type="spellEnd"/>
      <w:r w:rsidRPr="00324CE4">
        <w:rPr>
          <w:rFonts w:cs="Times New Roman"/>
          <w:szCs w:val="24"/>
          <w:lang w:val="en-GB"/>
        </w:rPr>
        <w:t xml:space="preserve"> K., </w:t>
      </w:r>
      <w:proofErr w:type="spellStart"/>
      <w:r w:rsidRPr="00324CE4">
        <w:rPr>
          <w:rFonts w:cs="Times New Roman"/>
          <w:szCs w:val="24"/>
          <w:lang w:val="en-GB"/>
        </w:rPr>
        <w:t>Pardawala</w:t>
      </w:r>
      <w:proofErr w:type="spellEnd"/>
      <w:r w:rsidRPr="00324CE4">
        <w:rPr>
          <w:rFonts w:cs="Times New Roman"/>
          <w:szCs w:val="24"/>
          <w:lang w:val="en-GB"/>
        </w:rPr>
        <w:t xml:space="preserve"> T. S., Pai C. D., </w:t>
      </w:r>
      <w:r w:rsidRPr="00324CE4">
        <w:rPr>
          <w:rFonts w:cs="Times New Roman"/>
          <w:i/>
          <w:iCs/>
          <w:szCs w:val="24"/>
          <w:lang w:val="en-GB"/>
        </w:rPr>
        <w:t>A Comparative Study of Categorical Variable Encoding Techniques for Neural Network Classifiers</w:t>
      </w:r>
      <w:r w:rsidRPr="00324CE4">
        <w:rPr>
          <w:rFonts w:cs="Times New Roman"/>
          <w:szCs w:val="24"/>
          <w:lang w:val="en-GB"/>
        </w:rPr>
        <w:t>, 2017,</w:t>
      </w:r>
    </w:p>
    <w:p w14:paraId="689A9A09" w14:textId="7C9D3D70" w:rsidR="0070650F" w:rsidRPr="00470EE8" w:rsidRDefault="0070650F" w:rsidP="00E36F3E">
      <w:pPr>
        <w:pStyle w:val="Akapitzlist"/>
        <w:numPr>
          <w:ilvl w:val="0"/>
          <w:numId w:val="11"/>
        </w:numPr>
        <w:spacing w:line="360" w:lineRule="auto"/>
        <w:ind w:left="360"/>
        <w:jc w:val="both"/>
        <w:rPr>
          <w:rFonts w:cs="Times New Roman"/>
          <w:szCs w:val="24"/>
          <w:lang w:val="en-GB"/>
        </w:rPr>
      </w:pPr>
      <w:proofErr w:type="spellStart"/>
      <w:r w:rsidRPr="0070650F">
        <w:rPr>
          <w:rFonts w:cs="Times New Roman"/>
          <w:szCs w:val="24"/>
          <w:lang w:val="en-GB"/>
        </w:rPr>
        <w:t>Bhalaji</w:t>
      </w:r>
      <w:proofErr w:type="spellEnd"/>
      <w:r w:rsidRPr="0070650F">
        <w:rPr>
          <w:rFonts w:cs="Times New Roman"/>
          <w:szCs w:val="24"/>
          <w:lang w:val="en-GB"/>
        </w:rPr>
        <w:t xml:space="preserve"> N., </w:t>
      </w:r>
      <w:proofErr w:type="spellStart"/>
      <w:r w:rsidRPr="0070650F">
        <w:rPr>
          <w:rFonts w:cs="Times New Roman"/>
          <w:szCs w:val="24"/>
          <w:lang w:val="en-GB"/>
        </w:rPr>
        <w:t>Sundharakumar</w:t>
      </w:r>
      <w:proofErr w:type="spellEnd"/>
      <w:r w:rsidRPr="0070650F">
        <w:rPr>
          <w:rFonts w:cs="Times New Roman"/>
          <w:szCs w:val="24"/>
          <w:lang w:val="en-GB"/>
        </w:rPr>
        <w:t xml:space="preserve"> </w:t>
      </w:r>
      <w:proofErr w:type="spellStart"/>
      <w:r w:rsidRPr="0070650F">
        <w:rPr>
          <w:rFonts w:cs="Times New Roman"/>
          <w:szCs w:val="24"/>
          <w:lang w:val="en-GB"/>
        </w:rPr>
        <w:t>Kb</w:t>
      </w:r>
      <w:proofErr w:type="spellEnd"/>
      <w:r w:rsidRPr="0070650F">
        <w:rPr>
          <w:rFonts w:cs="Times New Roman"/>
          <w:szCs w:val="24"/>
          <w:lang w:val="en-GB"/>
        </w:rPr>
        <w:t xml:space="preserve">., </w:t>
      </w:r>
      <w:proofErr w:type="spellStart"/>
      <w:r w:rsidRPr="0070650F">
        <w:rPr>
          <w:rFonts w:cs="Times New Roman"/>
          <w:szCs w:val="24"/>
          <w:lang w:val="en-GB"/>
        </w:rPr>
        <w:t>Chithra</w:t>
      </w:r>
      <w:proofErr w:type="spellEnd"/>
      <w:r w:rsidRPr="0070650F">
        <w:rPr>
          <w:rFonts w:cs="Times New Roman"/>
          <w:szCs w:val="24"/>
          <w:lang w:val="en-GB"/>
        </w:rPr>
        <w:t xml:space="preserve"> S., </w:t>
      </w:r>
      <w:r w:rsidRPr="0070650F">
        <w:rPr>
          <w:rFonts w:cs="Times New Roman"/>
          <w:i/>
          <w:iCs/>
          <w:szCs w:val="24"/>
          <w:lang w:val="en-GB"/>
        </w:rPr>
        <w:t>Empirical study of feature selection methods over classification algorithms</w:t>
      </w:r>
      <w:r w:rsidRPr="0070650F">
        <w:rPr>
          <w:rFonts w:cs="Times New Roman"/>
          <w:szCs w:val="24"/>
          <w:lang w:val="en-GB"/>
        </w:rPr>
        <w:t>, 2016</w:t>
      </w:r>
    </w:p>
    <w:p w14:paraId="268A876E" w14:textId="0F801496" w:rsidR="000656B8" w:rsidRDefault="00CC60BA" w:rsidP="00983F85">
      <w:pPr>
        <w:pStyle w:val="Nagwek2"/>
        <w:spacing w:line="360" w:lineRule="auto"/>
        <w:jc w:val="both"/>
      </w:pPr>
      <w:bookmarkStart w:id="45" w:name="_Toc61804457"/>
      <w:r>
        <w:t>III</w:t>
      </w:r>
      <w:r w:rsidR="000656B8">
        <w:t xml:space="preserve">. </w:t>
      </w:r>
      <w:r>
        <w:t>Akty prawne.</w:t>
      </w:r>
      <w:bookmarkEnd w:id="45"/>
    </w:p>
    <w:p w14:paraId="1D5263CE" w14:textId="5D6EDDF1" w:rsidR="00071F1B" w:rsidRDefault="00071F1B" w:rsidP="00983F85">
      <w:pPr>
        <w:pStyle w:val="Tekstprzypisudolnego"/>
        <w:numPr>
          <w:ilvl w:val="0"/>
          <w:numId w:val="12"/>
        </w:numPr>
        <w:spacing w:line="360" w:lineRule="auto"/>
        <w:ind w:left="360"/>
        <w:contextualSpacing/>
        <w:jc w:val="both"/>
        <w:rPr>
          <w:rFonts w:cs="Times New Roman"/>
          <w:sz w:val="24"/>
          <w:szCs w:val="24"/>
        </w:rPr>
      </w:pPr>
      <w:r w:rsidRPr="00071F1B">
        <w:rPr>
          <w:rFonts w:cs="Times New Roman"/>
          <w:sz w:val="24"/>
          <w:szCs w:val="24"/>
        </w:rPr>
        <w:t xml:space="preserve">Ustawa </w:t>
      </w:r>
      <w:r w:rsidRPr="00071F1B">
        <w:rPr>
          <w:rFonts w:cs="Times New Roman"/>
          <w:i/>
          <w:iCs/>
          <w:sz w:val="24"/>
          <w:szCs w:val="24"/>
        </w:rPr>
        <w:t>Kodeks cywilny z dn. 23.04.1964 r.</w:t>
      </w:r>
      <w:r w:rsidRPr="00071F1B">
        <w:rPr>
          <w:rFonts w:cs="Times New Roman"/>
          <w:sz w:val="24"/>
          <w:szCs w:val="24"/>
        </w:rPr>
        <w:t xml:space="preserve"> art. 55.1 Dz.U.2019.0.1145</w:t>
      </w:r>
      <w:r>
        <w:rPr>
          <w:rFonts w:cs="Times New Roman"/>
          <w:sz w:val="24"/>
          <w:szCs w:val="24"/>
        </w:rPr>
        <w:t>,</w:t>
      </w:r>
    </w:p>
    <w:p w14:paraId="01455560" w14:textId="13B9EDD2"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Prawo upadłościowe z dn. 28</w:t>
      </w:r>
      <w:r>
        <w:rPr>
          <w:rFonts w:cs="Times New Roman"/>
          <w:i/>
          <w:iCs/>
          <w:sz w:val="24"/>
          <w:szCs w:val="24"/>
        </w:rPr>
        <w:t>.02.</w:t>
      </w:r>
      <w:r w:rsidRPr="00BB6472">
        <w:rPr>
          <w:rFonts w:cs="Times New Roman"/>
          <w:i/>
          <w:iCs/>
          <w:sz w:val="24"/>
          <w:szCs w:val="24"/>
        </w:rPr>
        <w:t>2003 r.</w:t>
      </w:r>
      <w:r w:rsidRPr="00BB6472">
        <w:rPr>
          <w:rFonts w:cs="Times New Roman"/>
          <w:sz w:val="24"/>
          <w:szCs w:val="24"/>
        </w:rPr>
        <w:t xml:space="preserve"> art. 5-6, 9-11 Dz.U. 2003 poz. 1228 z </w:t>
      </w:r>
      <w:proofErr w:type="spellStart"/>
      <w:r w:rsidRPr="00BB6472">
        <w:rPr>
          <w:rFonts w:cs="Times New Roman"/>
          <w:sz w:val="24"/>
          <w:szCs w:val="24"/>
        </w:rPr>
        <w:t>późn</w:t>
      </w:r>
      <w:proofErr w:type="spellEnd"/>
      <w:r w:rsidRPr="00BB6472">
        <w:rPr>
          <w:rFonts w:cs="Times New Roman"/>
          <w:sz w:val="24"/>
          <w:szCs w:val="24"/>
        </w:rPr>
        <w:t>. zm.</w:t>
      </w:r>
      <w:r>
        <w:rPr>
          <w:rFonts w:cs="Times New Roman"/>
          <w:sz w:val="24"/>
          <w:szCs w:val="24"/>
        </w:rPr>
        <w:t>,</w:t>
      </w:r>
    </w:p>
    <w:p w14:paraId="67A8A7EA" w14:textId="2345B06B"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Kodeks spółek handlowych z dnia 15</w:t>
      </w:r>
      <w:r>
        <w:rPr>
          <w:rFonts w:cs="Times New Roman"/>
          <w:i/>
          <w:iCs/>
          <w:sz w:val="24"/>
          <w:szCs w:val="24"/>
        </w:rPr>
        <w:t>.02.</w:t>
      </w:r>
      <w:r w:rsidRPr="00BB6472">
        <w:rPr>
          <w:rFonts w:cs="Times New Roman"/>
          <w:i/>
          <w:iCs/>
          <w:sz w:val="24"/>
          <w:szCs w:val="24"/>
        </w:rPr>
        <w:t>2000 r.</w:t>
      </w:r>
      <w:r w:rsidRPr="00BB6472">
        <w:rPr>
          <w:rFonts w:cs="Times New Roman"/>
          <w:sz w:val="24"/>
          <w:szCs w:val="24"/>
        </w:rPr>
        <w:t xml:space="preserve"> art. 266, 271, 282 Dz.U. 2000 94 poz. 1037</w:t>
      </w:r>
      <w:r w:rsidR="00C055C2">
        <w:rPr>
          <w:rFonts w:cs="Times New Roman"/>
          <w:sz w:val="24"/>
          <w:szCs w:val="24"/>
        </w:rPr>
        <w:t>,</w:t>
      </w:r>
    </w:p>
    <w:p w14:paraId="438DC453" w14:textId="522C88F3" w:rsidR="00C055C2" w:rsidRDefault="00C055C2" w:rsidP="00983F85">
      <w:pPr>
        <w:pStyle w:val="Tekstprzypisudolnego"/>
        <w:numPr>
          <w:ilvl w:val="0"/>
          <w:numId w:val="12"/>
        </w:numPr>
        <w:spacing w:line="360" w:lineRule="auto"/>
        <w:ind w:left="360"/>
        <w:contextualSpacing/>
        <w:jc w:val="both"/>
        <w:rPr>
          <w:rFonts w:cs="Times New Roman"/>
          <w:sz w:val="24"/>
          <w:szCs w:val="24"/>
        </w:rPr>
      </w:pPr>
      <w:r w:rsidRPr="00C055C2">
        <w:rPr>
          <w:rFonts w:cs="Times New Roman"/>
          <w:sz w:val="24"/>
          <w:szCs w:val="24"/>
        </w:rPr>
        <w:t xml:space="preserve">Ustawa </w:t>
      </w:r>
      <w:r w:rsidRPr="00EC206F">
        <w:rPr>
          <w:rFonts w:cs="Times New Roman"/>
          <w:i/>
          <w:iCs/>
          <w:sz w:val="24"/>
          <w:szCs w:val="24"/>
        </w:rPr>
        <w:t>O podatku od towarów i usług z dnia 11.03.2004 r.</w:t>
      </w:r>
      <w:r w:rsidR="00EC206F">
        <w:rPr>
          <w:rFonts w:cs="Times New Roman"/>
          <w:i/>
          <w:iCs/>
          <w:sz w:val="24"/>
          <w:szCs w:val="24"/>
        </w:rPr>
        <w:t xml:space="preserve"> </w:t>
      </w:r>
      <w:r w:rsidRPr="00C055C2">
        <w:rPr>
          <w:rFonts w:cs="Times New Roman"/>
          <w:sz w:val="24"/>
          <w:szCs w:val="24"/>
        </w:rPr>
        <w:t>art.. 3, 109 Dz.U.2020.0.106</w:t>
      </w:r>
      <w:r>
        <w:rPr>
          <w:rFonts w:cs="Times New Roman"/>
          <w:sz w:val="24"/>
          <w:szCs w:val="24"/>
        </w:rPr>
        <w:t>,</w:t>
      </w:r>
    </w:p>
    <w:p w14:paraId="27CF8B2B" w14:textId="5818C608" w:rsidR="00B95A01" w:rsidRPr="00B94F95" w:rsidRDefault="00211BE2" w:rsidP="00983F85">
      <w:pPr>
        <w:pStyle w:val="Tekstprzypisudolnego"/>
        <w:numPr>
          <w:ilvl w:val="0"/>
          <w:numId w:val="12"/>
        </w:numPr>
        <w:spacing w:line="360" w:lineRule="auto"/>
        <w:ind w:left="360"/>
        <w:contextualSpacing/>
        <w:jc w:val="both"/>
        <w:rPr>
          <w:rFonts w:cs="Times New Roman"/>
          <w:sz w:val="24"/>
          <w:szCs w:val="24"/>
        </w:rPr>
      </w:pPr>
      <w:r w:rsidRPr="00211BE2">
        <w:rPr>
          <w:rFonts w:cs="Times New Roman"/>
          <w:sz w:val="24"/>
          <w:szCs w:val="24"/>
        </w:rPr>
        <w:t>Ustawa</w:t>
      </w:r>
      <w:r w:rsidR="0015482A">
        <w:rPr>
          <w:rFonts w:cs="Times New Roman"/>
          <w:sz w:val="24"/>
          <w:szCs w:val="24"/>
        </w:rPr>
        <w:t xml:space="preserve"> </w:t>
      </w:r>
      <w:r w:rsidRPr="00211BE2">
        <w:rPr>
          <w:rFonts w:cs="Times New Roman"/>
          <w:i/>
          <w:iCs/>
          <w:sz w:val="24"/>
          <w:szCs w:val="24"/>
        </w:rPr>
        <w:t>O przeciwdziałaniu praniu pieniędzy oraz finansowaniu terroryzmu z dnia 1.03.2018 r.</w:t>
      </w:r>
      <w:r w:rsidRPr="00211BE2">
        <w:rPr>
          <w:rFonts w:cs="Times New Roman"/>
          <w:sz w:val="24"/>
          <w:szCs w:val="24"/>
        </w:rPr>
        <w:t xml:space="preserve"> art.. 72, 157 Dz. U. 2018 poz. 723</w:t>
      </w:r>
      <w:r>
        <w:rPr>
          <w:rFonts w:cs="Times New Roman"/>
          <w:sz w:val="24"/>
          <w:szCs w:val="24"/>
        </w:rPr>
        <w:t>,</w:t>
      </w:r>
    </w:p>
    <w:p w14:paraId="0C227D4D" w14:textId="5BF2A36E" w:rsidR="000656B8" w:rsidRDefault="00CC60BA" w:rsidP="00983F85">
      <w:pPr>
        <w:pStyle w:val="Nagwek2"/>
        <w:spacing w:line="360" w:lineRule="auto"/>
        <w:jc w:val="both"/>
      </w:pPr>
      <w:bookmarkStart w:id="46" w:name="_Toc61804458"/>
      <w:r>
        <w:t>IV</w:t>
      </w:r>
      <w:r w:rsidR="000656B8">
        <w:t xml:space="preserve">. </w:t>
      </w:r>
      <w:r>
        <w:t>Strony internetowe.</w:t>
      </w:r>
      <w:bookmarkEnd w:id="46"/>
    </w:p>
    <w:p w14:paraId="4D67CB48" w14:textId="67B73FD2" w:rsidR="00886EB4" w:rsidRPr="00886EB4" w:rsidRDefault="00886EB4" w:rsidP="00983F85">
      <w:pPr>
        <w:pStyle w:val="Akapitzlist"/>
        <w:numPr>
          <w:ilvl w:val="0"/>
          <w:numId w:val="13"/>
        </w:numPr>
        <w:spacing w:line="360" w:lineRule="auto"/>
        <w:ind w:left="360"/>
        <w:jc w:val="both"/>
        <w:rPr>
          <w:rFonts w:cs="Times New Roman"/>
          <w:szCs w:val="24"/>
        </w:rPr>
      </w:pPr>
      <w:r w:rsidRPr="00886EB4">
        <w:t>www.lawyerline.pl/blog/likwidacja-spolki-z-o-o-czy-upadlosc (data odsłony 18.07.2020 r.)</w:t>
      </w:r>
      <w:r>
        <w:t>,</w:t>
      </w:r>
    </w:p>
    <w:p w14:paraId="28F2D85C" w14:textId="1E02DADF" w:rsidR="0052402F" w:rsidRDefault="0052402F" w:rsidP="00983F85">
      <w:pPr>
        <w:pStyle w:val="Akapitzlist"/>
        <w:numPr>
          <w:ilvl w:val="0"/>
          <w:numId w:val="13"/>
        </w:numPr>
        <w:spacing w:line="360" w:lineRule="auto"/>
        <w:ind w:left="360"/>
        <w:jc w:val="both"/>
        <w:rPr>
          <w:rFonts w:cs="Times New Roman"/>
          <w:szCs w:val="24"/>
        </w:rPr>
      </w:pPr>
      <w:r w:rsidRPr="0052402F">
        <w:rPr>
          <w:rFonts w:cs="Times New Roman"/>
          <w:szCs w:val="24"/>
        </w:rPr>
        <w:t>www.coig.com.pl (data odsłony 17.07.2020 r.)</w:t>
      </w:r>
      <w:r>
        <w:rPr>
          <w:rFonts w:cs="Times New Roman"/>
          <w:szCs w:val="24"/>
        </w:rPr>
        <w:t>,</w:t>
      </w:r>
    </w:p>
    <w:p w14:paraId="6E9360F8" w14:textId="5342FE61" w:rsidR="009027C8" w:rsidRDefault="009027C8" w:rsidP="00983F85">
      <w:pPr>
        <w:pStyle w:val="Akapitzlist"/>
        <w:numPr>
          <w:ilvl w:val="0"/>
          <w:numId w:val="13"/>
        </w:numPr>
        <w:spacing w:line="360" w:lineRule="auto"/>
        <w:ind w:left="360"/>
        <w:jc w:val="both"/>
        <w:rPr>
          <w:rFonts w:cs="Times New Roman"/>
          <w:szCs w:val="24"/>
        </w:rPr>
      </w:pPr>
      <w:r w:rsidRPr="009027C8">
        <w:rPr>
          <w:rFonts w:cs="Times New Roman"/>
          <w:szCs w:val="24"/>
        </w:rPr>
        <w:t>www.emis.com (data odsłony 18.08.2020 r.)</w:t>
      </w:r>
      <w:r w:rsidR="008F09EE">
        <w:rPr>
          <w:rFonts w:cs="Times New Roman"/>
          <w:szCs w:val="24"/>
        </w:rPr>
        <w:t>,</w:t>
      </w:r>
    </w:p>
    <w:p w14:paraId="4C25BD9C" w14:textId="5D6FE2F9" w:rsidR="00C40065" w:rsidRDefault="00C40065" w:rsidP="00983F85">
      <w:pPr>
        <w:pStyle w:val="Akapitzlist"/>
        <w:numPr>
          <w:ilvl w:val="0"/>
          <w:numId w:val="13"/>
        </w:numPr>
        <w:spacing w:line="360" w:lineRule="auto"/>
        <w:ind w:left="360"/>
        <w:jc w:val="both"/>
        <w:rPr>
          <w:rFonts w:cs="Times New Roman"/>
          <w:szCs w:val="24"/>
        </w:rPr>
      </w:pPr>
      <w:r w:rsidRPr="00C40065">
        <w:rPr>
          <w:rFonts w:cs="Times New Roman"/>
          <w:szCs w:val="24"/>
        </w:rPr>
        <w:t>www.towardsdatascience.com/understanding-gradient-boosting-machines-9be756fe76ab (data odsł</w:t>
      </w:r>
      <w:r>
        <w:rPr>
          <w:rFonts w:cs="Times New Roman"/>
          <w:szCs w:val="24"/>
        </w:rPr>
        <w:t>ony 5.01.202</w:t>
      </w:r>
      <w:r w:rsidR="00D10D30">
        <w:rPr>
          <w:rFonts w:cs="Times New Roman"/>
          <w:szCs w:val="24"/>
        </w:rPr>
        <w:t>1</w:t>
      </w:r>
      <w:r>
        <w:rPr>
          <w:rFonts w:cs="Times New Roman"/>
          <w:szCs w:val="24"/>
        </w:rPr>
        <w:t xml:space="preserve"> r.),</w:t>
      </w:r>
    </w:p>
    <w:p w14:paraId="72F54A47" w14:textId="7E298467" w:rsidR="00460432" w:rsidRDefault="00460432" w:rsidP="00460432">
      <w:pPr>
        <w:pStyle w:val="Akapitzlist"/>
        <w:numPr>
          <w:ilvl w:val="0"/>
          <w:numId w:val="13"/>
        </w:numPr>
        <w:spacing w:line="360" w:lineRule="auto"/>
        <w:ind w:left="360"/>
        <w:jc w:val="both"/>
        <w:rPr>
          <w:rFonts w:cs="Times New Roman"/>
          <w:szCs w:val="24"/>
        </w:rPr>
      </w:pPr>
      <w:r w:rsidRPr="00460432">
        <w:rPr>
          <w:rFonts w:cs="Times New Roman"/>
          <w:szCs w:val="24"/>
        </w:rPr>
        <w:t>www.mateuszgrzyb.pl/wybor-odpowiedniego-algorytmu-czesc-2-algorytmy-klasyfikacyjne</w:t>
      </w:r>
      <w:r>
        <w:rPr>
          <w:rFonts w:cs="Times New Roman"/>
          <w:szCs w:val="24"/>
        </w:rPr>
        <w:t xml:space="preserve"> </w:t>
      </w:r>
      <w:r w:rsidRPr="00C40065">
        <w:rPr>
          <w:rFonts w:cs="Times New Roman"/>
          <w:szCs w:val="24"/>
        </w:rPr>
        <w:t>(data odsł</w:t>
      </w:r>
      <w:r>
        <w:rPr>
          <w:rFonts w:cs="Times New Roman"/>
          <w:szCs w:val="24"/>
        </w:rPr>
        <w:t>ony 5.01.202</w:t>
      </w:r>
      <w:r w:rsidR="00D10D30">
        <w:rPr>
          <w:rFonts w:cs="Times New Roman"/>
          <w:szCs w:val="24"/>
        </w:rPr>
        <w:t>1</w:t>
      </w:r>
      <w:r>
        <w:rPr>
          <w:rFonts w:cs="Times New Roman"/>
          <w:szCs w:val="24"/>
        </w:rPr>
        <w:t xml:space="preserve"> r.),</w:t>
      </w:r>
    </w:p>
    <w:p w14:paraId="1D3D0F6D" w14:textId="1FA80D72" w:rsidR="00C40065" w:rsidRDefault="00A90BAE" w:rsidP="00983F85">
      <w:pPr>
        <w:pStyle w:val="Akapitzlist"/>
        <w:numPr>
          <w:ilvl w:val="0"/>
          <w:numId w:val="13"/>
        </w:numPr>
        <w:spacing w:line="360" w:lineRule="auto"/>
        <w:ind w:left="360"/>
        <w:jc w:val="both"/>
        <w:rPr>
          <w:rFonts w:cs="Times New Roman"/>
          <w:szCs w:val="24"/>
        </w:rPr>
      </w:pPr>
      <w:r w:rsidRPr="00D10D30">
        <w:rPr>
          <w:rFonts w:cs="Times New Roman"/>
          <w:szCs w:val="24"/>
        </w:rPr>
        <w:t>www.towardsdatascience.com/understanding-random-forest-58381e0602d2</w:t>
      </w:r>
      <w:r w:rsidRPr="00A90BAE">
        <w:rPr>
          <w:rFonts w:cs="Times New Roman"/>
          <w:szCs w:val="24"/>
        </w:rPr>
        <w:t xml:space="preserve"> (data odsł</w:t>
      </w:r>
      <w:r>
        <w:rPr>
          <w:rFonts w:cs="Times New Roman"/>
          <w:szCs w:val="24"/>
        </w:rPr>
        <w:t>ony 6.01.2021 r.)</w:t>
      </w:r>
      <w:r w:rsidR="00B47578">
        <w:rPr>
          <w:rFonts w:cs="Times New Roman"/>
          <w:szCs w:val="24"/>
        </w:rPr>
        <w:t>,</w:t>
      </w:r>
    </w:p>
    <w:p w14:paraId="0D188D22" w14:textId="3991207A" w:rsidR="00EC1280" w:rsidRDefault="00EC1280" w:rsidP="00983F85">
      <w:pPr>
        <w:pStyle w:val="Akapitzlist"/>
        <w:numPr>
          <w:ilvl w:val="0"/>
          <w:numId w:val="13"/>
        </w:numPr>
        <w:spacing w:line="360" w:lineRule="auto"/>
        <w:ind w:left="360"/>
        <w:jc w:val="both"/>
        <w:rPr>
          <w:rFonts w:cs="Times New Roman"/>
          <w:szCs w:val="24"/>
        </w:rPr>
      </w:pPr>
      <w:r w:rsidRPr="00CB2D38">
        <w:rPr>
          <w:rFonts w:cs="Times New Roman"/>
          <w:szCs w:val="24"/>
        </w:rPr>
        <w:t>www.lightgbm.readthedocs.io/en/latest/pythonapi/lightgbm.LGBMClassifier.html</w:t>
      </w:r>
      <w:r>
        <w:rPr>
          <w:rFonts w:cs="Times New Roman"/>
          <w:szCs w:val="24"/>
        </w:rPr>
        <w:t xml:space="preserve"> </w:t>
      </w:r>
      <w:r w:rsidRPr="000867CD">
        <w:rPr>
          <w:rFonts w:cs="Times New Roman"/>
          <w:szCs w:val="24"/>
        </w:rPr>
        <w:t>(data odsłony 6.01.2021 r.),</w:t>
      </w:r>
      <w:r>
        <w:rPr>
          <w:rFonts w:cs="Times New Roman"/>
          <w:szCs w:val="24"/>
        </w:rPr>
        <w:t xml:space="preserve"> </w:t>
      </w:r>
    </w:p>
    <w:p w14:paraId="54C54BFD" w14:textId="4C398626" w:rsidR="00EC1280" w:rsidRDefault="00EC1280" w:rsidP="009909BE">
      <w:pPr>
        <w:pStyle w:val="Akapitzlist"/>
        <w:numPr>
          <w:ilvl w:val="0"/>
          <w:numId w:val="13"/>
        </w:numPr>
        <w:spacing w:line="360" w:lineRule="auto"/>
        <w:ind w:left="360"/>
        <w:jc w:val="both"/>
        <w:rPr>
          <w:rFonts w:cs="Times New Roman"/>
          <w:szCs w:val="24"/>
        </w:rPr>
      </w:pPr>
      <w:r w:rsidRPr="009A6C50">
        <w:t>www</w:t>
      </w:r>
      <w:r>
        <w:t>.</w:t>
      </w:r>
      <w:r w:rsidRPr="009A6C50">
        <w:t>scikit-</w:t>
      </w:r>
      <w:r>
        <w:t>l</w:t>
      </w:r>
      <w:r w:rsidRPr="009A6C50">
        <w:t>earn.org/stable/modules/generated/sklearn.ensemble.RandomForestClassifier.html</w:t>
      </w:r>
      <w:r w:rsidR="009909BE">
        <w:t xml:space="preserve"> </w:t>
      </w:r>
      <w:r w:rsidRPr="009A6C50">
        <w:t xml:space="preserve">(data odsłony </w:t>
      </w:r>
      <w:r>
        <w:t>8</w:t>
      </w:r>
      <w:r w:rsidRPr="009A6C50">
        <w:t>.01.202</w:t>
      </w:r>
      <w:r>
        <w:t>1</w:t>
      </w:r>
      <w:r w:rsidRPr="009A6C50">
        <w:t xml:space="preserve"> r.)</w:t>
      </w:r>
      <w:r>
        <w:t>,</w:t>
      </w:r>
    </w:p>
    <w:p w14:paraId="1784A659" w14:textId="6173AD35" w:rsidR="00D1762B" w:rsidRDefault="00D1762B" w:rsidP="00983F85">
      <w:pPr>
        <w:pStyle w:val="Akapitzlist"/>
        <w:numPr>
          <w:ilvl w:val="0"/>
          <w:numId w:val="13"/>
        </w:numPr>
        <w:spacing w:line="360" w:lineRule="auto"/>
        <w:ind w:left="360"/>
        <w:jc w:val="both"/>
        <w:rPr>
          <w:rFonts w:cs="Times New Roman"/>
          <w:szCs w:val="24"/>
        </w:rPr>
      </w:pPr>
      <w:r w:rsidRPr="00D1762B">
        <w:rPr>
          <w:rFonts w:cs="Times New Roman"/>
          <w:szCs w:val="24"/>
        </w:rPr>
        <w:t>www.sztucznainteligencja.org.pl/definicja/sieci-neuronowe (data odsłony 6.01.2021 r.)</w:t>
      </w:r>
      <w:r w:rsidR="00BB5FCD">
        <w:rPr>
          <w:rFonts w:cs="Times New Roman"/>
          <w:szCs w:val="24"/>
        </w:rPr>
        <w:t>,</w:t>
      </w:r>
    </w:p>
    <w:p w14:paraId="7B4F6D77" w14:textId="09A3C14A" w:rsidR="00CC60BA" w:rsidRDefault="00CC60BA" w:rsidP="00983F85">
      <w:pPr>
        <w:pStyle w:val="Nagwek2"/>
        <w:spacing w:line="360" w:lineRule="auto"/>
        <w:jc w:val="both"/>
      </w:pPr>
      <w:bookmarkStart w:id="47" w:name="_Toc61804459"/>
      <w:r>
        <w:lastRenderedPageBreak/>
        <w:t>V. Inne źródła.</w:t>
      </w:r>
      <w:bookmarkEnd w:id="47"/>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6814B41A" w14:textId="3FCE3946" w:rsidR="00000B49" w:rsidRPr="00BB6472" w:rsidRDefault="00000B49" w:rsidP="00983F85">
      <w:pPr>
        <w:spacing w:line="360" w:lineRule="auto"/>
        <w:jc w:val="both"/>
        <w:rPr>
          <w:rFonts w:eastAsiaTheme="majorEastAsia" w:cstheme="majorBidi"/>
          <w:b/>
          <w:bCs/>
          <w:szCs w:val="24"/>
          <w:lang w:val="en-GB"/>
        </w:rPr>
      </w:pPr>
      <w:r w:rsidRPr="00BB6472">
        <w:rPr>
          <w:rFonts w:eastAsiaTheme="majorEastAsia" w:cstheme="majorBidi"/>
          <w:b/>
          <w:bCs/>
          <w:szCs w:val="24"/>
          <w:lang w:val="en-GB"/>
        </w:rPr>
        <w:br w:type="page"/>
      </w:r>
    </w:p>
    <w:p w14:paraId="3C64A222" w14:textId="58DC8938" w:rsidR="00A574C7" w:rsidRDefault="00A574C7" w:rsidP="00983F85">
      <w:pPr>
        <w:pStyle w:val="Nagwek1"/>
        <w:spacing w:line="360" w:lineRule="auto"/>
        <w:jc w:val="both"/>
      </w:pPr>
      <w:bookmarkStart w:id="48" w:name="_Toc61804460"/>
      <w:r>
        <w:lastRenderedPageBreak/>
        <w:t>Spis wykresów</w:t>
      </w:r>
      <w:r w:rsidR="00363B56">
        <w:t>.</w:t>
      </w:r>
      <w:bookmarkEnd w:id="48"/>
    </w:p>
    <w:p w14:paraId="65F1B58D" w14:textId="58995224" w:rsidR="00BC7974" w:rsidRDefault="00014F40" w:rsidP="00BC7974">
      <w:pPr>
        <w:pStyle w:val="Spisilustracji"/>
        <w:tabs>
          <w:tab w:val="right" w:leader="dot" w:pos="9061"/>
        </w:tabs>
        <w:spacing w:line="360" w:lineRule="auto"/>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2166166" w:history="1">
        <w:r w:rsidR="00BC7974" w:rsidRPr="001F26EF">
          <w:rPr>
            <w:rStyle w:val="Hipercze"/>
            <w:rFonts w:cs="Times New Roman"/>
            <w:noProof/>
          </w:rPr>
          <w:t>Wykres 1. Liczba upadłości i likwidacji firm w latach 2000-2019.</w:t>
        </w:r>
        <w:r w:rsidR="00BC7974">
          <w:rPr>
            <w:noProof/>
            <w:webHidden/>
          </w:rPr>
          <w:tab/>
        </w:r>
        <w:r w:rsidR="00BC7974">
          <w:rPr>
            <w:noProof/>
            <w:webHidden/>
          </w:rPr>
          <w:fldChar w:fldCharType="begin"/>
        </w:r>
        <w:r w:rsidR="00BC7974">
          <w:rPr>
            <w:noProof/>
            <w:webHidden/>
          </w:rPr>
          <w:instrText xml:space="preserve"> PAGEREF _Toc62166166 \h </w:instrText>
        </w:r>
        <w:r w:rsidR="00BC7974">
          <w:rPr>
            <w:noProof/>
            <w:webHidden/>
          </w:rPr>
        </w:r>
        <w:r w:rsidR="00BC7974">
          <w:rPr>
            <w:noProof/>
            <w:webHidden/>
          </w:rPr>
          <w:fldChar w:fldCharType="separate"/>
        </w:r>
        <w:r w:rsidR="00BC7974">
          <w:rPr>
            <w:noProof/>
            <w:webHidden/>
          </w:rPr>
          <w:t>- 12 -</w:t>
        </w:r>
        <w:r w:rsidR="00BC7974">
          <w:rPr>
            <w:noProof/>
            <w:webHidden/>
          </w:rPr>
          <w:fldChar w:fldCharType="end"/>
        </w:r>
      </w:hyperlink>
    </w:p>
    <w:p w14:paraId="04CED8EA" w14:textId="2DF9983C"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67" w:history="1">
        <w:r w:rsidRPr="001F26EF">
          <w:rPr>
            <w:rStyle w:val="Hipercze"/>
            <w:noProof/>
          </w:rPr>
          <w:t>Wykres 2. Liczba i udział firm aktywnych i zamkniętych w badanej populacji</w:t>
        </w:r>
        <w:r>
          <w:rPr>
            <w:noProof/>
            <w:webHidden/>
          </w:rPr>
          <w:tab/>
        </w:r>
        <w:r>
          <w:rPr>
            <w:noProof/>
            <w:webHidden/>
          </w:rPr>
          <w:fldChar w:fldCharType="begin"/>
        </w:r>
        <w:r>
          <w:rPr>
            <w:noProof/>
            <w:webHidden/>
          </w:rPr>
          <w:instrText xml:space="preserve"> PAGEREF _Toc62166167 \h </w:instrText>
        </w:r>
        <w:r>
          <w:rPr>
            <w:noProof/>
            <w:webHidden/>
          </w:rPr>
        </w:r>
        <w:r>
          <w:rPr>
            <w:noProof/>
            <w:webHidden/>
          </w:rPr>
          <w:fldChar w:fldCharType="separate"/>
        </w:r>
        <w:r>
          <w:rPr>
            <w:noProof/>
            <w:webHidden/>
          </w:rPr>
          <w:t>- 31 -</w:t>
        </w:r>
        <w:r>
          <w:rPr>
            <w:noProof/>
            <w:webHidden/>
          </w:rPr>
          <w:fldChar w:fldCharType="end"/>
        </w:r>
      </w:hyperlink>
    </w:p>
    <w:p w14:paraId="0E6431B2" w14:textId="51E23E6F"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68" w:history="1">
        <w:r w:rsidRPr="001F26EF">
          <w:rPr>
            <w:rStyle w:val="Hipercze"/>
            <w:noProof/>
          </w:rPr>
          <w:t>Wykres 3. Liczba firm według województw zgrupowane według klas zmiennej celu – przykładowy histogram dla zmiennych nominalnych</w:t>
        </w:r>
        <w:r>
          <w:rPr>
            <w:noProof/>
            <w:webHidden/>
          </w:rPr>
          <w:tab/>
        </w:r>
        <w:r>
          <w:rPr>
            <w:noProof/>
            <w:webHidden/>
          </w:rPr>
          <w:fldChar w:fldCharType="begin"/>
        </w:r>
        <w:r>
          <w:rPr>
            <w:noProof/>
            <w:webHidden/>
          </w:rPr>
          <w:instrText xml:space="preserve"> PAGEREF _Toc62166168 \h </w:instrText>
        </w:r>
        <w:r>
          <w:rPr>
            <w:noProof/>
            <w:webHidden/>
          </w:rPr>
        </w:r>
        <w:r>
          <w:rPr>
            <w:noProof/>
            <w:webHidden/>
          </w:rPr>
          <w:fldChar w:fldCharType="separate"/>
        </w:r>
        <w:r>
          <w:rPr>
            <w:noProof/>
            <w:webHidden/>
          </w:rPr>
          <w:t>- 42 -</w:t>
        </w:r>
        <w:r>
          <w:rPr>
            <w:noProof/>
            <w:webHidden/>
          </w:rPr>
          <w:fldChar w:fldCharType="end"/>
        </w:r>
      </w:hyperlink>
    </w:p>
    <w:p w14:paraId="34D34558" w14:textId="56926B1A"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69" w:history="1">
        <w:r w:rsidRPr="001F26EF">
          <w:rPr>
            <w:rStyle w:val="Hipercze"/>
            <w:noProof/>
          </w:rPr>
          <w:t>Wykres 4. Rozkłady wieku firm zgrupowane według klas zmiennej celu - przykładowy wykres pudełkowy dla zmiennych numerycznych.</w:t>
        </w:r>
        <w:r>
          <w:rPr>
            <w:noProof/>
            <w:webHidden/>
          </w:rPr>
          <w:tab/>
        </w:r>
        <w:r>
          <w:rPr>
            <w:noProof/>
            <w:webHidden/>
          </w:rPr>
          <w:fldChar w:fldCharType="begin"/>
        </w:r>
        <w:r>
          <w:rPr>
            <w:noProof/>
            <w:webHidden/>
          </w:rPr>
          <w:instrText xml:space="preserve"> PAGEREF _Toc62166169 \h </w:instrText>
        </w:r>
        <w:r>
          <w:rPr>
            <w:noProof/>
            <w:webHidden/>
          </w:rPr>
        </w:r>
        <w:r>
          <w:rPr>
            <w:noProof/>
            <w:webHidden/>
          </w:rPr>
          <w:fldChar w:fldCharType="separate"/>
        </w:r>
        <w:r>
          <w:rPr>
            <w:noProof/>
            <w:webHidden/>
          </w:rPr>
          <w:t>- 43 -</w:t>
        </w:r>
        <w:r>
          <w:rPr>
            <w:noProof/>
            <w:webHidden/>
          </w:rPr>
          <w:fldChar w:fldCharType="end"/>
        </w:r>
      </w:hyperlink>
    </w:p>
    <w:p w14:paraId="281805FB" w14:textId="2EB6F7FE"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0" w:history="1">
        <w:r w:rsidRPr="001F26EF">
          <w:rPr>
            <w:rStyle w:val="Hipercze"/>
            <w:noProof/>
          </w:rPr>
          <w:t>Wykres 5. Rozkłady wieku firm zgrupowane według klas zmiennej celu - przykładowy wykres gęstości dla zmiennych numerycznych.</w:t>
        </w:r>
        <w:r>
          <w:rPr>
            <w:noProof/>
            <w:webHidden/>
          </w:rPr>
          <w:tab/>
        </w:r>
        <w:r>
          <w:rPr>
            <w:noProof/>
            <w:webHidden/>
          </w:rPr>
          <w:fldChar w:fldCharType="begin"/>
        </w:r>
        <w:r>
          <w:rPr>
            <w:noProof/>
            <w:webHidden/>
          </w:rPr>
          <w:instrText xml:space="preserve"> PAGEREF _Toc62166170 \h </w:instrText>
        </w:r>
        <w:r>
          <w:rPr>
            <w:noProof/>
            <w:webHidden/>
          </w:rPr>
        </w:r>
        <w:r>
          <w:rPr>
            <w:noProof/>
            <w:webHidden/>
          </w:rPr>
          <w:fldChar w:fldCharType="separate"/>
        </w:r>
        <w:r>
          <w:rPr>
            <w:noProof/>
            <w:webHidden/>
          </w:rPr>
          <w:t>- 44 -</w:t>
        </w:r>
        <w:r>
          <w:rPr>
            <w:noProof/>
            <w:webHidden/>
          </w:rPr>
          <w:fldChar w:fldCharType="end"/>
        </w:r>
      </w:hyperlink>
    </w:p>
    <w:p w14:paraId="3CAA2CD3" w14:textId="2066380B"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1" w:history="1">
        <w:r w:rsidRPr="001F26EF">
          <w:rPr>
            <w:rStyle w:val="Hipercze"/>
            <w:noProof/>
          </w:rPr>
          <w:t>Wykres 6. Wpływ zmiennych zaakceptowanych przez algorytm Boruta na zmienną celu.</w:t>
        </w:r>
        <w:r>
          <w:rPr>
            <w:noProof/>
            <w:webHidden/>
          </w:rPr>
          <w:tab/>
        </w:r>
        <w:r>
          <w:rPr>
            <w:noProof/>
            <w:webHidden/>
          </w:rPr>
          <w:fldChar w:fldCharType="begin"/>
        </w:r>
        <w:r>
          <w:rPr>
            <w:noProof/>
            <w:webHidden/>
          </w:rPr>
          <w:instrText xml:space="preserve"> PAGEREF _Toc62166171 \h </w:instrText>
        </w:r>
        <w:r>
          <w:rPr>
            <w:noProof/>
            <w:webHidden/>
          </w:rPr>
        </w:r>
        <w:r>
          <w:rPr>
            <w:noProof/>
            <w:webHidden/>
          </w:rPr>
          <w:fldChar w:fldCharType="separate"/>
        </w:r>
        <w:r>
          <w:rPr>
            <w:noProof/>
            <w:webHidden/>
          </w:rPr>
          <w:t>- 47 -</w:t>
        </w:r>
        <w:r>
          <w:rPr>
            <w:noProof/>
            <w:webHidden/>
          </w:rPr>
          <w:fldChar w:fldCharType="end"/>
        </w:r>
      </w:hyperlink>
    </w:p>
    <w:p w14:paraId="67866ECB" w14:textId="5C70CE86"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2" w:history="1">
        <w:r w:rsidRPr="001F26EF">
          <w:rPr>
            <w:rStyle w:val="Hipercze"/>
            <w:noProof/>
          </w:rPr>
          <w:t>Wykres 7. Krzywe ROC dla modelu Gradient Boosting Machine</w:t>
        </w:r>
        <w:r>
          <w:rPr>
            <w:noProof/>
            <w:webHidden/>
          </w:rPr>
          <w:tab/>
        </w:r>
        <w:r>
          <w:rPr>
            <w:noProof/>
            <w:webHidden/>
          </w:rPr>
          <w:fldChar w:fldCharType="begin"/>
        </w:r>
        <w:r>
          <w:rPr>
            <w:noProof/>
            <w:webHidden/>
          </w:rPr>
          <w:instrText xml:space="preserve"> PAGEREF _Toc62166172 \h </w:instrText>
        </w:r>
        <w:r>
          <w:rPr>
            <w:noProof/>
            <w:webHidden/>
          </w:rPr>
        </w:r>
        <w:r>
          <w:rPr>
            <w:noProof/>
            <w:webHidden/>
          </w:rPr>
          <w:fldChar w:fldCharType="separate"/>
        </w:r>
        <w:r>
          <w:rPr>
            <w:noProof/>
            <w:webHidden/>
          </w:rPr>
          <w:t>- 54 -</w:t>
        </w:r>
        <w:r>
          <w:rPr>
            <w:noProof/>
            <w:webHidden/>
          </w:rPr>
          <w:fldChar w:fldCharType="end"/>
        </w:r>
      </w:hyperlink>
    </w:p>
    <w:p w14:paraId="2B556147" w14:textId="7935FDDF"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3" w:history="1">
        <w:r w:rsidRPr="001F26EF">
          <w:rPr>
            <w:rStyle w:val="Hipercze"/>
            <w:noProof/>
          </w:rPr>
          <w:t>Wykres 8. Zdolność modelu Gradient Boosting Machine do wykrywania obserwacji pozytywnych.</w:t>
        </w:r>
        <w:r>
          <w:rPr>
            <w:noProof/>
            <w:webHidden/>
          </w:rPr>
          <w:tab/>
        </w:r>
        <w:r>
          <w:rPr>
            <w:noProof/>
            <w:webHidden/>
          </w:rPr>
          <w:fldChar w:fldCharType="begin"/>
        </w:r>
        <w:r>
          <w:rPr>
            <w:noProof/>
            <w:webHidden/>
          </w:rPr>
          <w:instrText xml:space="preserve"> PAGEREF _Toc62166173 \h </w:instrText>
        </w:r>
        <w:r>
          <w:rPr>
            <w:noProof/>
            <w:webHidden/>
          </w:rPr>
        </w:r>
        <w:r>
          <w:rPr>
            <w:noProof/>
            <w:webHidden/>
          </w:rPr>
          <w:fldChar w:fldCharType="separate"/>
        </w:r>
        <w:r>
          <w:rPr>
            <w:noProof/>
            <w:webHidden/>
          </w:rPr>
          <w:t>- 54 -</w:t>
        </w:r>
        <w:r>
          <w:rPr>
            <w:noProof/>
            <w:webHidden/>
          </w:rPr>
          <w:fldChar w:fldCharType="end"/>
        </w:r>
      </w:hyperlink>
    </w:p>
    <w:p w14:paraId="05819A1E" w14:textId="65896F8A"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4" w:history="1">
        <w:r w:rsidRPr="001F26EF">
          <w:rPr>
            <w:rStyle w:val="Hipercze"/>
            <w:noProof/>
          </w:rPr>
          <w:t>Wykres 9. Krzywe ROC dla modelu klasyfikacyjnego lasu losowego</w:t>
        </w:r>
        <w:r>
          <w:rPr>
            <w:noProof/>
            <w:webHidden/>
          </w:rPr>
          <w:tab/>
        </w:r>
        <w:r>
          <w:rPr>
            <w:noProof/>
            <w:webHidden/>
          </w:rPr>
          <w:fldChar w:fldCharType="begin"/>
        </w:r>
        <w:r>
          <w:rPr>
            <w:noProof/>
            <w:webHidden/>
          </w:rPr>
          <w:instrText xml:space="preserve"> PAGEREF _Toc62166174 \h </w:instrText>
        </w:r>
        <w:r>
          <w:rPr>
            <w:noProof/>
            <w:webHidden/>
          </w:rPr>
        </w:r>
        <w:r>
          <w:rPr>
            <w:noProof/>
            <w:webHidden/>
          </w:rPr>
          <w:fldChar w:fldCharType="separate"/>
        </w:r>
        <w:r>
          <w:rPr>
            <w:noProof/>
            <w:webHidden/>
          </w:rPr>
          <w:t>- 58 -</w:t>
        </w:r>
        <w:r>
          <w:rPr>
            <w:noProof/>
            <w:webHidden/>
          </w:rPr>
          <w:fldChar w:fldCharType="end"/>
        </w:r>
      </w:hyperlink>
    </w:p>
    <w:p w14:paraId="580222A6" w14:textId="3FF7C234" w:rsidR="00BC7974" w:rsidRDefault="00BC7974" w:rsidP="00BC7974">
      <w:pPr>
        <w:pStyle w:val="Spisilustracji"/>
        <w:tabs>
          <w:tab w:val="right" w:leader="dot" w:pos="9061"/>
        </w:tabs>
        <w:spacing w:line="360" w:lineRule="auto"/>
        <w:rPr>
          <w:rFonts w:asciiTheme="minorHAnsi" w:eastAsiaTheme="minorEastAsia" w:hAnsiTheme="minorHAnsi"/>
          <w:noProof/>
          <w:sz w:val="22"/>
          <w:lang w:eastAsia="pl-PL"/>
        </w:rPr>
      </w:pPr>
      <w:hyperlink w:anchor="_Toc62166175" w:history="1">
        <w:r w:rsidRPr="001F26EF">
          <w:rPr>
            <w:rStyle w:val="Hipercze"/>
            <w:noProof/>
          </w:rPr>
          <w:t>Wykres 10. Zdolność modelu klasyfikacyjnego lasu losowego do wykrywania obserwacji pozytywnych.</w:t>
        </w:r>
        <w:r>
          <w:rPr>
            <w:noProof/>
            <w:webHidden/>
          </w:rPr>
          <w:tab/>
        </w:r>
        <w:r>
          <w:rPr>
            <w:noProof/>
            <w:webHidden/>
          </w:rPr>
          <w:fldChar w:fldCharType="begin"/>
        </w:r>
        <w:r>
          <w:rPr>
            <w:noProof/>
            <w:webHidden/>
          </w:rPr>
          <w:instrText xml:space="preserve"> PAGEREF _Toc62166175 \h </w:instrText>
        </w:r>
        <w:r>
          <w:rPr>
            <w:noProof/>
            <w:webHidden/>
          </w:rPr>
        </w:r>
        <w:r>
          <w:rPr>
            <w:noProof/>
            <w:webHidden/>
          </w:rPr>
          <w:fldChar w:fldCharType="separate"/>
        </w:r>
        <w:r>
          <w:rPr>
            <w:noProof/>
            <w:webHidden/>
          </w:rPr>
          <w:t>- 58 -</w:t>
        </w:r>
        <w:r>
          <w:rPr>
            <w:noProof/>
            <w:webHidden/>
          </w:rPr>
          <w:fldChar w:fldCharType="end"/>
        </w:r>
      </w:hyperlink>
    </w:p>
    <w:p w14:paraId="76456255" w14:textId="64F82B85" w:rsidR="00683B35" w:rsidRDefault="00014F40" w:rsidP="00BC7974">
      <w:pPr>
        <w:spacing w:line="360" w:lineRule="auto"/>
        <w:jc w:val="both"/>
      </w:pPr>
      <w:r>
        <w:fldChar w:fldCharType="end"/>
      </w:r>
    </w:p>
    <w:p w14:paraId="4A9B2921" w14:textId="4F70B3F9" w:rsidR="000A2EDF" w:rsidRPr="0039600C" w:rsidRDefault="00C626A5" w:rsidP="00C626A5">
      <w:pPr>
        <w:pStyle w:val="Nagwek1"/>
        <w:spacing w:line="360" w:lineRule="auto"/>
        <w:jc w:val="both"/>
      </w:pPr>
      <w:bookmarkStart w:id="49" w:name="_Toc61804461"/>
      <w:r>
        <w:t>Spis tabel.</w:t>
      </w:r>
      <w:bookmarkEnd w:id="49"/>
    </w:p>
    <w:p w14:paraId="182C165C" w14:textId="6962CB76" w:rsidR="00A76947" w:rsidRDefault="00C626A5" w:rsidP="00A76947">
      <w:pPr>
        <w:pStyle w:val="Spisilustracji"/>
        <w:tabs>
          <w:tab w:val="right" w:leader="dot" w:pos="9061"/>
        </w:tabs>
        <w:spacing w:line="360" w:lineRule="auto"/>
        <w:rPr>
          <w:rFonts w:asciiTheme="minorHAnsi" w:eastAsiaTheme="minorEastAsia" w:hAnsiTheme="minorHAnsi"/>
          <w:noProof/>
          <w:sz w:val="22"/>
          <w:lang w:eastAsia="pl-PL"/>
        </w:rPr>
      </w:pPr>
      <w:r>
        <w:rPr>
          <w:noProof/>
          <w:lang w:eastAsia="pl-PL"/>
        </w:rPr>
        <w:fldChar w:fldCharType="begin"/>
      </w:r>
      <w:r>
        <w:rPr>
          <w:noProof/>
          <w:lang w:eastAsia="pl-PL"/>
        </w:rPr>
        <w:instrText xml:space="preserve"> TOC \h \z \c "Tabela" </w:instrText>
      </w:r>
      <w:r>
        <w:rPr>
          <w:noProof/>
          <w:lang w:eastAsia="pl-PL"/>
        </w:rPr>
        <w:fldChar w:fldCharType="separate"/>
      </w:r>
      <w:hyperlink w:anchor="_Toc62167793" w:history="1">
        <w:r w:rsidR="00A76947" w:rsidRPr="0059596D">
          <w:rPr>
            <w:rStyle w:val="Hipercze"/>
            <w:noProof/>
          </w:rPr>
          <w:t>Tabela 1. Zbiór dostępnych zmiennych nominalnych</w:t>
        </w:r>
        <w:r w:rsidR="00A76947">
          <w:rPr>
            <w:noProof/>
            <w:webHidden/>
          </w:rPr>
          <w:tab/>
        </w:r>
        <w:r w:rsidR="00A76947">
          <w:rPr>
            <w:noProof/>
            <w:webHidden/>
          </w:rPr>
          <w:fldChar w:fldCharType="begin"/>
        </w:r>
        <w:r w:rsidR="00A76947">
          <w:rPr>
            <w:noProof/>
            <w:webHidden/>
          </w:rPr>
          <w:instrText xml:space="preserve"> PAGEREF _Toc62167793 \h </w:instrText>
        </w:r>
        <w:r w:rsidR="00A76947">
          <w:rPr>
            <w:noProof/>
            <w:webHidden/>
          </w:rPr>
        </w:r>
        <w:r w:rsidR="00A76947">
          <w:rPr>
            <w:noProof/>
            <w:webHidden/>
          </w:rPr>
          <w:fldChar w:fldCharType="separate"/>
        </w:r>
        <w:r w:rsidR="00A76947">
          <w:rPr>
            <w:noProof/>
            <w:webHidden/>
          </w:rPr>
          <w:t>- 32 -</w:t>
        </w:r>
        <w:r w:rsidR="00A76947">
          <w:rPr>
            <w:noProof/>
            <w:webHidden/>
          </w:rPr>
          <w:fldChar w:fldCharType="end"/>
        </w:r>
      </w:hyperlink>
    </w:p>
    <w:p w14:paraId="6E628FE0" w14:textId="702ADDD0"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4" w:history="1">
        <w:r w:rsidRPr="0059596D">
          <w:rPr>
            <w:rStyle w:val="Hipercze"/>
            <w:noProof/>
          </w:rPr>
          <w:t>Tabela 2. Zbiór dostępnych zmiennych ciągłych</w:t>
        </w:r>
        <w:r>
          <w:rPr>
            <w:noProof/>
            <w:webHidden/>
          </w:rPr>
          <w:tab/>
        </w:r>
        <w:r>
          <w:rPr>
            <w:noProof/>
            <w:webHidden/>
          </w:rPr>
          <w:fldChar w:fldCharType="begin"/>
        </w:r>
        <w:r>
          <w:rPr>
            <w:noProof/>
            <w:webHidden/>
          </w:rPr>
          <w:instrText xml:space="preserve"> PAGEREF _Toc62167794 \h </w:instrText>
        </w:r>
        <w:r>
          <w:rPr>
            <w:noProof/>
            <w:webHidden/>
          </w:rPr>
        </w:r>
        <w:r>
          <w:rPr>
            <w:noProof/>
            <w:webHidden/>
          </w:rPr>
          <w:fldChar w:fldCharType="separate"/>
        </w:r>
        <w:r>
          <w:rPr>
            <w:noProof/>
            <w:webHidden/>
          </w:rPr>
          <w:t>- 35 -</w:t>
        </w:r>
        <w:r>
          <w:rPr>
            <w:noProof/>
            <w:webHidden/>
          </w:rPr>
          <w:fldChar w:fldCharType="end"/>
        </w:r>
      </w:hyperlink>
    </w:p>
    <w:p w14:paraId="56367704" w14:textId="56A6C703"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5" w:history="1">
        <w:r w:rsidRPr="0059596D">
          <w:rPr>
            <w:rStyle w:val="Hipercze"/>
            <w:noProof/>
          </w:rPr>
          <w:t>Tabela 3. Wyniki osiągnięte przez model Gradient Boosting Machine.</w:t>
        </w:r>
        <w:r>
          <w:rPr>
            <w:noProof/>
            <w:webHidden/>
          </w:rPr>
          <w:tab/>
        </w:r>
        <w:r>
          <w:rPr>
            <w:noProof/>
            <w:webHidden/>
          </w:rPr>
          <w:fldChar w:fldCharType="begin"/>
        </w:r>
        <w:r>
          <w:rPr>
            <w:noProof/>
            <w:webHidden/>
          </w:rPr>
          <w:instrText xml:space="preserve"> PAGEREF _Toc62167795 \h </w:instrText>
        </w:r>
        <w:r>
          <w:rPr>
            <w:noProof/>
            <w:webHidden/>
          </w:rPr>
        </w:r>
        <w:r>
          <w:rPr>
            <w:noProof/>
            <w:webHidden/>
          </w:rPr>
          <w:fldChar w:fldCharType="separate"/>
        </w:r>
        <w:r>
          <w:rPr>
            <w:noProof/>
            <w:webHidden/>
          </w:rPr>
          <w:t>- 53 -</w:t>
        </w:r>
        <w:r>
          <w:rPr>
            <w:noProof/>
            <w:webHidden/>
          </w:rPr>
          <w:fldChar w:fldCharType="end"/>
        </w:r>
      </w:hyperlink>
    </w:p>
    <w:p w14:paraId="0280AB00" w14:textId="1B136215"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6" w:history="1">
        <w:r w:rsidRPr="0059596D">
          <w:rPr>
            <w:rStyle w:val="Hipercze"/>
            <w:noProof/>
          </w:rPr>
          <w:t>Tabela 4. Macierz błędów dla modelu Gradient Boosting Machine na zbiorze testowym.</w:t>
        </w:r>
        <w:r>
          <w:rPr>
            <w:noProof/>
            <w:webHidden/>
          </w:rPr>
          <w:tab/>
        </w:r>
        <w:r>
          <w:rPr>
            <w:noProof/>
            <w:webHidden/>
          </w:rPr>
          <w:fldChar w:fldCharType="begin"/>
        </w:r>
        <w:r>
          <w:rPr>
            <w:noProof/>
            <w:webHidden/>
          </w:rPr>
          <w:instrText xml:space="preserve"> PAGEREF _Toc62167796 \h </w:instrText>
        </w:r>
        <w:r>
          <w:rPr>
            <w:noProof/>
            <w:webHidden/>
          </w:rPr>
        </w:r>
        <w:r>
          <w:rPr>
            <w:noProof/>
            <w:webHidden/>
          </w:rPr>
          <w:fldChar w:fldCharType="separate"/>
        </w:r>
        <w:r>
          <w:rPr>
            <w:noProof/>
            <w:webHidden/>
          </w:rPr>
          <w:t>- 53 -</w:t>
        </w:r>
        <w:r>
          <w:rPr>
            <w:noProof/>
            <w:webHidden/>
          </w:rPr>
          <w:fldChar w:fldCharType="end"/>
        </w:r>
      </w:hyperlink>
    </w:p>
    <w:p w14:paraId="1D2CCA9C" w14:textId="63F33E6E"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7" w:history="1">
        <w:r w:rsidRPr="0059596D">
          <w:rPr>
            <w:rStyle w:val="Hipercze"/>
            <w:noProof/>
          </w:rPr>
          <w:t>Tabela 5. Wyniki osiągnięte przez model klasyfikacyjnego lasu losowego.</w:t>
        </w:r>
        <w:r>
          <w:rPr>
            <w:noProof/>
            <w:webHidden/>
          </w:rPr>
          <w:tab/>
        </w:r>
        <w:r>
          <w:rPr>
            <w:noProof/>
            <w:webHidden/>
          </w:rPr>
          <w:fldChar w:fldCharType="begin"/>
        </w:r>
        <w:r>
          <w:rPr>
            <w:noProof/>
            <w:webHidden/>
          </w:rPr>
          <w:instrText xml:space="preserve"> PAGEREF _Toc62167797 \h </w:instrText>
        </w:r>
        <w:r>
          <w:rPr>
            <w:noProof/>
            <w:webHidden/>
          </w:rPr>
        </w:r>
        <w:r>
          <w:rPr>
            <w:noProof/>
            <w:webHidden/>
          </w:rPr>
          <w:fldChar w:fldCharType="separate"/>
        </w:r>
        <w:r>
          <w:rPr>
            <w:noProof/>
            <w:webHidden/>
          </w:rPr>
          <w:t>- 56 -</w:t>
        </w:r>
        <w:r>
          <w:rPr>
            <w:noProof/>
            <w:webHidden/>
          </w:rPr>
          <w:fldChar w:fldCharType="end"/>
        </w:r>
      </w:hyperlink>
    </w:p>
    <w:p w14:paraId="5A659193" w14:textId="7B926A29"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8" w:history="1">
        <w:r w:rsidRPr="0059596D">
          <w:rPr>
            <w:rStyle w:val="Hipercze"/>
            <w:noProof/>
          </w:rPr>
          <w:t>Tabela 6. Macierz błędów dla modelu klasyfikacyjnego lasu losowego na zbiorze testowym.</w:t>
        </w:r>
        <w:r>
          <w:rPr>
            <w:noProof/>
            <w:webHidden/>
          </w:rPr>
          <w:tab/>
        </w:r>
        <w:r>
          <w:rPr>
            <w:noProof/>
            <w:webHidden/>
          </w:rPr>
          <w:fldChar w:fldCharType="begin"/>
        </w:r>
        <w:r>
          <w:rPr>
            <w:noProof/>
            <w:webHidden/>
          </w:rPr>
          <w:instrText xml:space="preserve"> PAGEREF _Toc62167798 \h </w:instrText>
        </w:r>
        <w:r>
          <w:rPr>
            <w:noProof/>
            <w:webHidden/>
          </w:rPr>
        </w:r>
        <w:r>
          <w:rPr>
            <w:noProof/>
            <w:webHidden/>
          </w:rPr>
          <w:fldChar w:fldCharType="separate"/>
        </w:r>
        <w:r>
          <w:rPr>
            <w:noProof/>
            <w:webHidden/>
          </w:rPr>
          <w:t>- 57 -</w:t>
        </w:r>
        <w:r>
          <w:rPr>
            <w:noProof/>
            <w:webHidden/>
          </w:rPr>
          <w:fldChar w:fldCharType="end"/>
        </w:r>
      </w:hyperlink>
    </w:p>
    <w:p w14:paraId="058E8926" w14:textId="66DD798A"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799" w:history="1">
        <w:r w:rsidRPr="0059596D">
          <w:rPr>
            <w:rStyle w:val="Hipercze"/>
            <w:noProof/>
          </w:rPr>
          <w:t>Tabela 7. Wyniki osiągnięte przez model sieci neuronowych.</w:t>
        </w:r>
        <w:r>
          <w:rPr>
            <w:noProof/>
            <w:webHidden/>
          </w:rPr>
          <w:tab/>
        </w:r>
        <w:r>
          <w:rPr>
            <w:noProof/>
            <w:webHidden/>
          </w:rPr>
          <w:fldChar w:fldCharType="begin"/>
        </w:r>
        <w:r>
          <w:rPr>
            <w:noProof/>
            <w:webHidden/>
          </w:rPr>
          <w:instrText xml:space="preserve"> PAGEREF _Toc62167799 \h </w:instrText>
        </w:r>
        <w:r>
          <w:rPr>
            <w:noProof/>
            <w:webHidden/>
          </w:rPr>
        </w:r>
        <w:r>
          <w:rPr>
            <w:noProof/>
            <w:webHidden/>
          </w:rPr>
          <w:fldChar w:fldCharType="separate"/>
        </w:r>
        <w:r>
          <w:rPr>
            <w:noProof/>
            <w:webHidden/>
          </w:rPr>
          <w:t>- 60 -</w:t>
        </w:r>
        <w:r>
          <w:rPr>
            <w:noProof/>
            <w:webHidden/>
          </w:rPr>
          <w:fldChar w:fldCharType="end"/>
        </w:r>
      </w:hyperlink>
    </w:p>
    <w:p w14:paraId="48303AFD" w14:textId="39042BCD" w:rsidR="00A76947" w:rsidRDefault="00A76947" w:rsidP="00A76947">
      <w:pPr>
        <w:pStyle w:val="Spisilustracji"/>
        <w:tabs>
          <w:tab w:val="right" w:leader="dot" w:pos="9061"/>
        </w:tabs>
        <w:spacing w:line="360" w:lineRule="auto"/>
        <w:rPr>
          <w:rFonts w:asciiTheme="minorHAnsi" w:eastAsiaTheme="minorEastAsia" w:hAnsiTheme="minorHAnsi"/>
          <w:noProof/>
          <w:sz w:val="22"/>
          <w:lang w:eastAsia="pl-PL"/>
        </w:rPr>
      </w:pPr>
      <w:hyperlink w:anchor="_Toc62167800" w:history="1">
        <w:r w:rsidRPr="0059596D">
          <w:rPr>
            <w:rStyle w:val="Hipercze"/>
            <w:noProof/>
          </w:rPr>
          <w:t>Tabela 8. Macierz błędów dla modelu sieci neuronowych na zbiorze testowym.</w:t>
        </w:r>
        <w:r>
          <w:rPr>
            <w:noProof/>
            <w:webHidden/>
          </w:rPr>
          <w:tab/>
        </w:r>
        <w:r>
          <w:rPr>
            <w:noProof/>
            <w:webHidden/>
          </w:rPr>
          <w:fldChar w:fldCharType="begin"/>
        </w:r>
        <w:r>
          <w:rPr>
            <w:noProof/>
            <w:webHidden/>
          </w:rPr>
          <w:instrText xml:space="preserve"> PAGEREF _Toc62167800 \h </w:instrText>
        </w:r>
        <w:r>
          <w:rPr>
            <w:noProof/>
            <w:webHidden/>
          </w:rPr>
        </w:r>
        <w:r>
          <w:rPr>
            <w:noProof/>
            <w:webHidden/>
          </w:rPr>
          <w:fldChar w:fldCharType="separate"/>
        </w:r>
        <w:r>
          <w:rPr>
            <w:noProof/>
            <w:webHidden/>
          </w:rPr>
          <w:t>- 60 -</w:t>
        </w:r>
        <w:r>
          <w:rPr>
            <w:noProof/>
            <w:webHidden/>
          </w:rPr>
          <w:fldChar w:fldCharType="end"/>
        </w:r>
      </w:hyperlink>
    </w:p>
    <w:p w14:paraId="53B1563C" w14:textId="7D53E0FC" w:rsidR="00874504" w:rsidRDefault="00C626A5" w:rsidP="00A76947">
      <w:pPr>
        <w:spacing w:line="360" w:lineRule="auto"/>
        <w:jc w:val="both"/>
        <w:rPr>
          <w:noProof/>
          <w:lang w:eastAsia="pl-PL"/>
        </w:rPr>
      </w:pPr>
      <w:r>
        <w:rPr>
          <w:noProof/>
          <w:lang w:eastAsia="pl-PL"/>
        </w:rPr>
        <w:fldChar w:fldCharType="end"/>
      </w: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lastRenderedPageBreak/>
        <w:br w:type="page"/>
      </w:r>
    </w:p>
    <w:p w14:paraId="6E6D5934" w14:textId="58170160" w:rsidR="00493E50" w:rsidRDefault="00A574C7" w:rsidP="00983F85">
      <w:pPr>
        <w:pStyle w:val="Nagwek1"/>
        <w:spacing w:line="360" w:lineRule="auto"/>
        <w:jc w:val="both"/>
      </w:pPr>
      <w:bookmarkStart w:id="50" w:name="_Toc61804462"/>
      <w:r w:rsidRPr="00A574C7">
        <w:lastRenderedPageBreak/>
        <w:t>Streszczenie</w:t>
      </w:r>
      <w:r w:rsidR="00363B56">
        <w:t>.</w:t>
      </w:r>
      <w:bookmarkEnd w:id="50"/>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2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07D8E" w14:textId="77777777" w:rsidR="00E069D2" w:rsidRDefault="00E069D2" w:rsidP="00154B93">
      <w:pPr>
        <w:spacing w:after="0" w:line="240" w:lineRule="auto"/>
      </w:pPr>
      <w:r>
        <w:separator/>
      </w:r>
    </w:p>
  </w:endnote>
  <w:endnote w:type="continuationSeparator" w:id="0">
    <w:p w14:paraId="0AF417B0" w14:textId="77777777" w:rsidR="00E069D2" w:rsidRDefault="00E069D2"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607656" w:rsidRPr="009A3B16" w:rsidRDefault="00607656">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607656" w:rsidRDefault="0060765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972A5" w14:textId="77777777" w:rsidR="00E069D2" w:rsidRDefault="00E069D2" w:rsidP="00154B93">
      <w:pPr>
        <w:spacing w:after="0" w:line="240" w:lineRule="auto"/>
      </w:pPr>
      <w:r>
        <w:separator/>
      </w:r>
    </w:p>
  </w:footnote>
  <w:footnote w:type="continuationSeparator" w:id="0">
    <w:p w14:paraId="587C022F" w14:textId="77777777" w:rsidR="00E069D2" w:rsidRDefault="00E069D2" w:rsidP="00154B93">
      <w:pPr>
        <w:spacing w:after="0" w:line="240" w:lineRule="auto"/>
      </w:pPr>
      <w:r>
        <w:continuationSeparator/>
      </w:r>
    </w:p>
  </w:footnote>
  <w:footnote w:id="1">
    <w:p w14:paraId="01035299" w14:textId="72F5F528" w:rsidR="00607656" w:rsidRPr="00F8475F" w:rsidRDefault="00607656">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607656" w:rsidRPr="000A44B6" w:rsidRDefault="00607656">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7151250F" w:rsidR="00607656" w:rsidRPr="00B73E7E" w:rsidRDefault="00607656"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s. </w:t>
      </w:r>
      <w:r w:rsidRPr="00B73E7E">
        <w:rPr>
          <w:lang w:val="en-US"/>
        </w:rPr>
        <w:t>65–71</w:t>
      </w:r>
    </w:p>
  </w:footnote>
  <w:footnote w:id="4">
    <w:p w14:paraId="6EE6D32A" w14:textId="3BA68182" w:rsidR="00607656" w:rsidRPr="007867B6" w:rsidRDefault="00607656">
      <w:pPr>
        <w:pStyle w:val="Tekstprzypisudolnego"/>
      </w:pPr>
      <w:r>
        <w:rPr>
          <w:rStyle w:val="Odwoanieprzypisudolnego"/>
        </w:rPr>
        <w:footnoteRef/>
      </w:r>
      <w:r>
        <w:t xml:space="preserve"> </w:t>
      </w:r>
      <w:r w:rsidRPr="007867B6">
        <w:rPr>
          <w:i/>
          <w:iCs/>
        </w:rPr>
        <w:t>Ustawa Kodeks cywilny z dnia 23</w:t>
      </w:r>
      <w:r>
        <w:rPr>
          <w:i/>
          <w:iCs/>
        </w:rPr>
        <w:t>.04.</w:t>
      </w:r>
      <w:r w:rsidRPr="007867B6">
        <w:rPr>
          <w:i/>
          <w:iCs/>
        </w:rPr>
        <w:t>1964 r.</w:t>
      </w:r>
      <w:r>
        <w:t xml:space="preserve"> art. 55.1 </w:t>
      </w:r>
      <w:r w:rsidRPr="007867B6">
        <w:t>Dz.U.2019.0.1145</w:t>
      </w:r>
    </w:p>
  </w:footnote>
  <w:footnote w:id="5">
    <w:p w14:paraId="685B9577" w14:textId="21B009F7" w:rsidR="00607656" w:rsidRDefault="00607656">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28.02.</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2211DB26" w:rsidR="00607656" w:rsidRDefault="00607656">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15.02.</w:t>
      </w:r>
      <w:r w:rsidRPr="003578B6">
        <w:rPr>
          <w:i/>
          <w:iCs/>
        </w:rPr>
        <w:t>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2839A8D3" w:rsidR="00607656" w:rsidRPr="00136A8B" w:rsidRDefault="00607656">
      <w:pPr>
        <w:pStyle w:val="Tekstprzypisudolnego"/>
      </w:pPr>
      <w:r>
        <w:rPr>
          <w:rStyle w:val="Odwoanieprzypisudolnego"/>
        </w:rPr>
        <w:footnoteRef/>
      </w:r>
      <w:r>
        <w:t xml:space="preserve"> </w:t>
      </w:r>
      <w:r w:rsidRPr="00136A8B">
        <w:t>www.lawyerline.pl/blog/likwidacja-spolki-z-o-o-czy-upadlosc (data odsł</w:t>
      </w:r>
      <w:r>
        <w:t>ony 18.07.2020 r.)</w:t>
      </w:r>
    </w:p>
  </w:footnote>
  <w:footnote w:id="8">
    <w:p w14:paraId="2477A226" w14:textId="470E667E" w:rsidR="00607656" w:rsidRPr="00834F76" w:rsidRDefault="00607656"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6F94293F" w:rsidR="00607656" w:rsidRPr="00640B4D" w:rsidRDefault="00607656">
      <w:pPr>
        <w:pStyle w:val="Tekstprzypisudolnego"/>
        <w:rPr>
          <w:i/>
          <w:iCs/>
        </w:rPr>
      </w:pPr>
      <w:r>
        <w:rPr>
          <w:rStyle w:val="Odwoanieprzypisudolnego"/>
        </w:rPr>
        <w:footnoteRef/>
      </w:r>
      <w:r>
        <w:t xml:space="preserve"> </w:t>
      </w:r>
      <w:r w:rsidRPr="00640B4D">
        <w:t xml:space="preserve">Ustawa </w:t>
      </w:r>
      <w:r>
        <w:rPr>
          <w:i/>
          <w:iCs/>
        </w:rPr>
        <w:t>O</w:t>
      </w:r>
      <w:r w:rsidRPr="00640B4D">
        <w:rPr>
          <w:i/>
          <w:iCs/>
        </w:rPr>
        <w:t xml:space="preserve"> podatku od towarów i usług z dnia 11</w:t>
      </w:r>
      <w:r>
        <w:rPr>
          <w:i/>
          <w:iCs/>
        </w:rPr>
        <w:t>.03.</w:t>
      </w:r>
      <w:r w:rsidRPr="00640B4D">
        <w:rPr>
          <w:i/>
          <w:iCs/>
        </w:rPr>
        <w:t xml:space="preserve">2004 </w:t>
      </w:r>
      <w:r>
        <w:rPr>
          <w:i/>
          <w:iCs/>
        </w:rPr>
        <w:t>r.</w:t>
      </w:r>
      <w:r>
        <w:t xml:space="preserve"> art.. 3, 109</w:t>
      </w:r>
      <w:r w:rsidRPr="00640B4D">
        <w:t xml:space="preserve"> Dz.U.2020.0.106</w:t>
      </w:r>
    </w:p>
  </w:footnote>
  <w:footnote w:id="10">
    <w:p w14:paraId="3B805123" w14:textId="3A940588" w:rsidR="00607656" w:rsidRPr="00535202" w:rsidRDefault="00607656" w:rsidP="00F96712">
      <w:pPr>
        <w:pStyle w:val="Tekstprzypisudolnego"/>
      </w:pPr>
      <w:r>
        <w:rPr>
          <w:rStyle w:val="Odwoanieprzypisudolnego"/>
        </w:rPr>
        <w:footnoteRef/>
      </w:r>
      <w:r>
        <w:t xml:space="preserve"> Ustawa </w:t>
      </w:r>
      <w:r w:rsidRPr="00DA00AE">
        <w:rPr>
          <w:i/>
          <w:iCs/>
        </w:rPr>
        <w:t xml:space="preserve">O </w:t>
      </w:r>
      <w:r w:rsidRPr="00F96712">
        <w:rPr>
          <w:i/>
          <w:iCs/>
        </w:rPr>
        <w:t>przeciwdziałaniu praniu pieniędzy oraz finansowaniu</w:t>
      </w:r>
      <w:r>
        <w:rPr>
          <w:i/>
          <w:iCs/>
        </w:rPr>
        <w:t xml:space="preserve"> terroryzmu </w:t>
      </w:r>
      <w:r w:rsidRPr="00F96712">
        <w:rPr>
          <w:i/>
          <w:iCs/>
        </w:rPr>
        <w:t>z dnia 1</w:t>
      </w:r>
      <w:r>
        <w:rPr>
          <w:i/>
          <w:iCs/>
        </w:rPr>
        <w:t>.03.</w:t>
      </w:r>
      <w:r w:rsidRPr="00F96712">
        <w:rPr>
          <w:i/>
          <w:iCs/>
        </w:rPr>
        <w:t>2018 r.</w:t>
      </w:r>
      <w:r>
        <w:t xml:space="preserve"> art.. </w:t>
      </w:r>
      <w:r w:rsidRPr="00535202">
        <w:t>72, 157 Dz. U. 2018 poz. 723</w:t>
      </w:r>
    </w:p>
  </w:footnote>
  <w:footnote w:id="11">
    <w:p w14:paraId="3744DB50" w14:textId="79EF552E" w:rsidR="00607656" w:rsidRPr="00411100" w:rsidRDefault="00607656">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607656" w:rsidRPr="00DF4D35" w:rsidRDefault="00607656">
      <w:pPr>
        <w:pStyle w:val="Tekstprzypisudolnego"/>
      </w:pPr>
      <w:r>
        <w:rPr>
          <w:rStyle w:val="Odwoanieprzypisudolnego"/>
        </w:rPr>
        <w:footnoteRef/>
      </w:r>
      <w:r w:rsidRPr="00DF4D35">
        <w:t xml:space="preserve"> www.emis.com (data odsło</w:t>
      </w:r>
      <w:r>
        <w:t>ny 18.08.2020 r.)</w:t>
      </w:r>
    </w:p>
  </w:footnote>
  <w:footnote w:id="13">
    <w:p w14:paraId="06EA08EC" w14:textId="6D14E286" w:rsidR="00607656" w:rsidRPr="00DC1265" w:rsidRDefault="00607656">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607656" w:rsidRPr="00006374" w:rsidRDefault="00607656">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607656" w:rsidRPr="00F6240C" w:rsidRDefault="00607656">
      <w:pPr>
        <w:pStyle w:val="Tekstprzypisudolnego"/>
      </w:pPr>
      <w:r>
        <w:rPr>
          <w:rStyle w:val="Odwoanieprzypisudolnego"/>
        </w:rPr>
        <w:footnoteRef/>
      </w:r>
      <w:r w:rsidRPr="00F6240C">
        <w:t xml:space="preserve"> S. Chen, S. </w:t>
      </w:r>
      <w:proofErr w:type="spellStart"/>
      <w:r w:rsidRPr="00F6240C">
        <w:t>Xu</w:t>
      </w:r>
      <w:proofErr w:type="spellEnd"/>
      <w:r w:rsidRPr="00F6240C">
        <w:rPr>
          <w:i/>
          <w:iCs/>
        </w:rPr>
        <w:t xml:space="preserve">, </w:t>
      </w:r>
      <w:proofErr w:type="spellStart"/>
      <w:r w:rsidRPr="00F6240C">
        <w:rPr>
          <w:i/>
          <w:iCs/>
        </w:rPr>
        <w:t>Comparative</w:t>
      </w:r>
      <w:proofErr w:type="spellEnd"/>
      <w:r w:rsidRPr="00F6240C">
        <w:rPr>
          <w:i/>
          <w:iCs/>
        </w:rPr>
        <w:t xml:space="preserve"> </w:t>
      </w:r>
      <w:proofErr w:type="spellStart"/>
      <w:r w:rsidRPr="00F6240C">
        <w:rPr>
          <w:i/>
          <w:iCs/>
        </w:rPr>
        <w:t>study</w:t>
      </w:r>
      <w:proofErr w:type="spellEnd"/>
      <w:r w:rsidRPr="00F6240C">
        <w:rPr>
          <w:i/>
          <w:iCs/>
        </w:rPr>
        <w:t xml:space="preserve"> of </w:t>
      </w:r>
      <w:proofErr w:type="spellStart"/>
      <w:r w:rsidRPr="00F6240C">
        <w:rPr>
          <w:i/>
          <w:iCs/>
        </w:rPr>
        <w:t>bankruptcy</w:t>
      </w:r>
      <w:proofErr w:type="spellEnd"/>
      <w:r w:rsidRPr="00F6240C">
        <w:rPr>
          <w:i/>
          <w:iCs/>
        </w:rPr>
        <w:t xml:space="preserve"> </w:t>
      </w:r>
      <w:proofErr w:type="spellStart"/>
      <w:r w:rsidRPr="00F6240C">
        <w:rPr>
          <w:i/>
          <w:iCs/>
        </w:rPr>
        <w:t>prediction</w:t>
      </w:r>
      <w:proofErr w:type="spellEnd"/>
      <w:r w:rsidRPr="00F6240C">
        <w:rPr>
          <w:i/>
          <w:iCs/>
        </w:rPr>
        <w:t xml:space="preserve"> model</w:t>
      </w:r>
      <w:r w:rsidRPr="00F6240C">
        <w:t>, 2018, s. 10-18</w:t>
      </w:r>
    </w:p>
  </w:footnote>
  <w:footnote w:id="16">
    <w:p w14:paraId="6E121F16" w14:textId="6BFFE1C6" w:rsidR="00607656" w:rsidRPr="00303D55" w:rsidRDefault="00607656" w:rsidP="0012723A">
      <w:pPr>
        <w:pStyle w:val="Tekstprzypisudolnego"/>
        <w:rPr>
          <w:lang w:val="en-GB"/>
        </w:rPr>
      </w:pPr>
      <w:r>
        <w:rPr>
          <w:rStyle w:val="Odwoanieprzypisudolnego"/>
        </w:rPr>
        <w:footnoteRef/>
      </w:r>
      <w:r w:rsidRPr="00303D55">
        <w:rPr>
          <w:lang w:val="en-GB"/>
        </w:rPr>
        <w:t xml:space="preserve"> N. </w:t>
      </w:r>
      <w:proofErr w:type="spellStart"/>
      <w:r w:rsidRPr="00303D55">
        <w:rPr>
          <w:lang w:val="en-GB"/>
        </w:rPr>
        <w:t>Vignan</w:t>
      </w:r>
      <w:proofErr w:type="spellEnd"/>
      <w:r w:rsidRPr="00303D55">
        <w:rPr>
          <w:lang w:val="en-GB"/>
        </w:rPr>
        <w:t xml:space="preserve">, N. Jawaharlal, </w:t>
      </w:r>
      <w:r w:rsidRPr="00303D55">
        <w:rPr>
          <w:i/>
          <w:iCs/>
          <w:lang w:val="en-GB"/>
        </w:rPr>
        <w:t>An Exhaustive Literature Review on Class Imbalance Problem</w:t>
      </w:r>
      <w:r w:rsidRPr="00303D55">
        <w:rPr>
          <w:lang w:val="en-GB"/>
        </w:rPr>
        <w:t>, 2013, s. 3</w:t>
      </w:r>
    </w:p>
  </w:footnote>
  <w:footnote w:id="17">
    <w:p w14:paraId="5034E556" w14:textId="24D0D10F" w:rsidR="00607656" w:rsidRPr="0012723A" w:rsidRDefault="00607656">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8">
    <w:p w14:paraId="67538590" w14:textId="78E81F55" w:rsidR="00607656" w:rsidRPr="00542FC4" w:rsidRDefault="00607656">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Pr>
          <w:lang w:val="en-GB"/>
        </w:rPr>
        <w:t>, 2012, s. 223-225</w:t>
      </w:r>
    </w:p>
  </w:footnote>
  <w:footnote w:id="19">
    <w:p w14:paraId="77FED63A" w14:textId="22B39B7E" w:rsidR="00607656" w:rsidRPr="00EA7872" w:rsidRDefault="00607656">
      <w:pPr>
        <w:pStyle w:val="Tekstprzypisudolnego"/>
        <w:rPr>
          <w:lang w:val="en-GB"/>
        </w:rPr>
      </w:pPr>
      <w:r>
        <w:rPr>
          <w:rStyle w:val="Odwoanieprzypisudolnego"/>
        </w:rPr>
        <w:footnoteRef/>
      </w:r>
      <w:r w:rsidRPr="00EA7872">
        <w:rPr>
          <w:lang w:val="en-GB"/>
        </w:rPr>
        <w:t xml:space="preserve"> </w:t>
      </w:r>
      <w:r w:rsidRPr="00F479B3">
        <w:rPr>
          <w:lang w:val="en-GB"/>
        </w:rPr>
        <w:t xml:space="preserve">S. </w:t>
      </w:r>
      <w:proofErr w:type="spellStart"/>
      <w:r w:rsidRPr="00F479B3">
        <w:rPr>
          <w:lang w:val="en-GB"/>
        </w:rPr>
        <w:t>Cabras</w:t>
      </w:r>
      <w:proofErr w:type="spellEnd"/>
      <w:r>
        <w:rPr>
          <w:lang w:val="en-GB"/>
        </w:rPr>
        <w:t>,</w:t>
      </w:r>
      <w:r w:rsidRPr="00F479B3">
        <w:rPr>
          <w:lang w:val="en-GB"/>
        </w:rPr>
        <w:t xml:space="preserve"> J. Morales, </w:t>
      </w:r>
      <w:r w:rsidRPr="00EF4DF6">
        <w:rPr>
          <w:i/>
          <w:iCs/>
          <w:lang w:val="en-GB"/>
        </w:rPr>
        <w:t>Extreme value analysis within a parametric outlier detection framework. Applied Stochastic Models in Business and Industry</w:t>
      </w:r>
      <w:r w:rsidRPr="00F479B3">
        <w:rPr>
          <w:lang w:val="en-GB"/>
        </w:rPr>
        <w:t>, Department of Mathematics, University of Cagliari</w:t>
      </w:r>
      <w:r>
        <w:rPr>
          <w:lang w:val="en-GB"/>
        </w:rPr>
        <w:t>,</w:t>
      </w:r>
      <w:r w:rsidRPr="00F479B3">
        <w:rPr>
          <w:lang w:val="en-GB"/>
        </w:rPr>
        <w:t xml:space="preserve"> 2007, s. 158 – 164</w:t>
      </w:r>
    </w:p>
  </w:footnote>
  <w:footnote w:id="20">
    <w:p w14:paraId="2CBF4128" w14:textId="3184AB07" w:rsidR="00607656" w:rsidRPr="000C4CF0" w:rsidRDefault="00607656">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607656" w:rsidRPr="000C4CF0" w:rsidRDefault="00607656"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607656" w:rsidRPr="00844A06" w:rsidRDefault="00607656">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0B36C861" w:rsidR="00607656" w:rsidRPr="004E24D4" w:rsidRDefault="00607656">
      <w:pPr>
        <w:pStyle w:val="Tekstprzypisudolnego"/>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4E24D4">
        <w:t>2005</w:t>
      </w:r>
    </w:p>
  </w:footnote>
  <w:footnote w:id="24">
    <w:p w14:paraId="54F3438C" w14:textId="0C2D61F6" w:rsidR="00607656" w:rsidRPr="00844A06" w:rsidRDefault="00607656">
      <w:pPr>
        <w:pStyle w:val="Tekstprzypisudolnego"/>
        <w:rPr>
          <w:lang w:val="en-GB"/>
        </w:rPr>
      </w:pPr>
      <w:r>
        <w:rPr>
          <w:rStyle w:val="Odwoanieprzypisudolnego"/>
        </w:rPr>
        <w:footnoteRef/>
      </w:r>
      <w:r w:rsidRPr="00844A06">
        <w:rPr>
          <w:lang w:val="en-GB"/>
        </w:rPr>
        <w:t xml:space="preserve"> T. </w:t>
      </w:r>
      <w:proofErr w:type="spellStart"/>
      <w:r w:rsidRPr="00844A06">
        <w:rPr>
          <w:lang w:val="en-GB"/>
        </w:rPr>
        <w:t>Korol</w:t>
      </w:r>
      <w:proofErr w:type="spellEnd"/>
      <w:r w:rsidRPr="00844A06">
        <w:rPr>
          <w:lang w:val="en-GB"/>
        </w:rPr>
        <w:t xml:space="preserve">, </w:t>
      </w:r>
      <w:proofErr w:type="spellStart"/>
      <w:r w:rsidRPr="00844A06">
        <w:rPr>
          <w:i/>
          <w:iCs/>
          <w:lang w:val="en-GB"/>
        </w:rPr>
        <w:t>Systemy</w:t>
      </w:r>
      <w:proofErr w:type="spellEnd"/>
      <w:r w:rsidRPr="00844A06">
        <w:rPr>
          <w:i/>
          <w:iCs/>
          <w:lang w:val="en-GB"/>
        </w:rPr>
        <w:t xml:space="preserve"> </w:t>
      </w:r>
      <w:proofErr w:type="spellStart"/>
      <w:r w:rsidRPr="00844A06">
        <w:rPr>
          <w:i/>
          <w:iCs/>
          <w:lang w:val="en-GB"/>
        </w:rPr>
        <w:t>Ostrzegania</w:t>
      </w:r>
      <w:proofErr w:type="spellEnd"/>
      <w:r w:rsidRPr="00844A06">
        <w:rPr>
          <w:i/>
          <w:iCs/>
          <w:lang w:val="en-GB"/>
        </w:rPr>
        <w:t xml:space="preserve"> </w:t>
      </w:r>
      <w:proofErr w:type="spellStart"/>
      <w:r w:rsidRPr="00844A06">
        <w:rPr>
          <w:i/>
          <w:iCs/>
          <w:lang w:val="en-GB"/>
        </w:rPr>
        <w:t>Przedsiębiorstw</w:t>
      </w:r>
      <w:proofErr w:type="spellEnd"/>
      <w:r w:rsidRPr="00844A06">
        <w:rPr>
          <w:i/>
          <w:iCs/>
          <w:lang w:val="en-GB"/>
        </w:rPr>
        <w:t xml:space="preserve"> </w:t>
      </w:r>
      <w:proofErr w:type="spellStart"/>
      <w:r w:rsidRPr="00844A06">
        <w:rPr>
          <w:i/>
          <w:iCs/>
          <w:lang w:val="en-GB"/>
        </w:rPr>
        <w:t>Przed</w:t>
      </w:r>
      <w:proofErr w:type="spellEnd"/>
      <w:r w:rsidRPr="00844A06">
        <w:rPr>
          <w:i/>
          <w:iCs/>
          <w:lang w:val="en-GB"/>
        </w:rPr>
        <w:t xml:space="preserve"> </w:t>
      </w:r>
      <w:proofErr w:type="spellStart"/>
      <w:r w:rsidRPr="00844A06">
        <w:rPr>
          <w:i/>
          <w:iCs/>
          <w:lang w:val="en-GB"/>
        </w:rPr>
        <w:t>Ryzykiem</w:t>
      </w:r>
      <w:proofErr w:type="spellEnd"/>
      <w:r w:rsidRPr="00844A06">
        <w:rPr>
          <w:i/>
          <w:iCs/>
          <w:lang w:val="en-GB"/>
        </w:rPr>
        <w:t xml:space="preserve"> </w:t>
      </w:r>
      <w:proofErr w:type="spellStart"/>
      <w:r w:rsidRPr="00844A06">
        <w:rPr>
          <w:i/>
          <w:iCs/>
          <w:lang w:val="en-GB"/>
        </w:rPr>
        <w:t>Upadłości</w:t>
      </w:r>
      <w:proofErr w:type="spellEnd"/>
      <w:r w:rsidRPr="00844A06">
        <w:rPr>
          <w:lang w:val="en-GB"/>
        </w:rPr>
        <w:t xml:space="preserve">, 2010, T. </w:t>
      </w:r>
      <w:proofErr w:type="spellStart"/>
      <w:r w:rsidRPr="00844A06">
        <w:rPr>
          <w:lang w:val="en-GB"/>
        </w:rPr>
        <w:t>Korol</w:t>
      </w:r>
      <w:proofErr w:type="spellEnd"/>
      <w:r w:rsidRPr="00844A06">
        <w:rPr>
          <w:lang w:val="en-GB"/>
        </w:rPr>
        <w:t xml:space="preserve">,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067D779E" w:rsidR="00607656" w:rsidRPr="007C1382" w:rsidRDefault="00607656" w:rsidP="007C1382">
      <w:pPr>
        <w:pStyle w:val="Tekstprzypisudolnego"/>
        <w:rPr>
          <w:lang w:val="en-GB"/>
        </w:rPr>
      </w:pPr>
      <w:r>
        <w:rPr>
          <w:rStyle w:val="Odwoanieprzypisudolnego"/>
        </w:rPr>
        <w:footnoteRef/>
      </w:r>
      <w:r>
        <w:rPr>
          <w:lang w:val="en-GB"/>
        </w:rPr>
        <w:t xml:space="preserve"> K.</w:t>
      </w:r>
      <w:r w:rsidRPr="007C1382">
        <w:rPr>
          <w:lang w:val="en-GB"/>
        </w:rPr>
        <w:t xml:space="preserve"> </w:t>
      </w:r>
      <w:proofErr w:type="spellStart"/>
      <w:r w:rsidRPr="007C1382">
        <w:rPr>
          <w:lang w:val="en-GB"/>
        </w:rPr>
        <w:t>Patro</w:t>
      </w:r>
      <w:proofErr w:type="spellEnd"/>
      <w:r>
        <w:rPr>
          <w:lang w:val="en-GB"/>
        </w:rPr>
        <w:t xml:space="preserve">, K. </w:t>
      </w:r>
      <w:r w:rsidRPr="007C1382">
        <w:rPr>
          <w:lang w:val="en-GB"/>
        </w:rPr>
        <w:t>Kumar</w:t>
      </w:r>
      <w:r>
        <w:rPr>
          <w:lang w:val="en-GB"/>
        </w:rPr>
        <w:t xml:space="preserve">, </w:t>
      </w:r>
      <w:r w:rsidRPr="007C1382">
        <w:rPr>
          <w:i/>
          <w:iCs/>
          <w:lang w:val="en-GB"/>
        </w:rPr>
        <w:t xml:space="preserve">Normalization: A </w:t>
      </w:r>
      <w:proofErr w:type="spellStart"/>
      <w:r w:rsidRPr="007C1382">
        <w:rPr>
          <w:i/>
          <w:iCs/>
          <w:lang w:val="en-GB"/>
        </w:rPr>
        <w:t>Preprocessing</w:t>
      </w:r>
      <w:proofErr w:type="spellEnd"/>
      <w:r w:rsidRPr="007C1382">
        <w:rPr>
          <w:i/>
          <w:iCs/>
          <w:lang w:val="en-GB"/>
        </w:rPr>
        <w:t xml:space="preserve"> Stag</w:t>
      </w:r>
      <w:r>
        <w:rPr>
          <w:i/>
          <w:iCs/>
          <w:lang w:val="en-GB"/>
        </w:rPr>
        <w:t>e</w:t>
      </w:r>
      <w:r>
        <w:rPr>
          <w:lang w:val="en-GB"/>
        </w:rPr>
        <w:t>, 2015, s. 1-3</w:t>
      </w:r>
    </w:p>
  </w:footnote>
  <w:footnote w:id="26">
    <w:p w14:paraId="69EA1686" w14:textId="332D08F6" w:rsidR="00607656" w:rsidRPr="00354FA8" w:rsidRDefault="00607656">
      <w:pPr>
        <w:pStyle w:val="Tekstprzypisudolnego"/>
        <w:rPr>
          <w:lang w:val="en-GB"/>
        </w:rPr>
      </w:pPr>
      <w:r>
        <w:rPr>
          <w:rStyle w:val="Odwoanieprzypisudolnego"/>
        </w:rPr>
        <w:footnoteRef/>
      </w:r>
      <w:r w:rsidRPr="00354FA8">
        <w:rPr>
          <w:lang w:val="en-GB"/>
        </w:rPr>
        <w:t xml:space="preserve"> </w:t>
      </w:r>
      <w:r>
        <w:rPr>
          <w:lang w:val="en-GB"/>
        </w:rPr>
        <w:t xml:space="preserve">K. </w:t>
      </w:r>
      <w:proofErr w:type="spellStart"/>
      <w:r>
        <w:rPr>
          <w:lang w:val="en-GB"/>
        </w:rPr>
        <w:t>Potdar</w:t>
      </w:r>
      <w:proofErr w:type="spellEnd"/>
      <w:r>
        <w:rPr>
          <w:lang w:val="en-GB"/>
        </w:rPr>
        <w:t xml:space="preserve">, T. S. </w:t>
      </w:r>
      <w:proofErr w:type="spellStart"/>
      <w:r>
        <w:rPr>
          <w:lang w:val="en-GB"/>
        </w:rPr>
        <w:t>Pardawala</w:t>
      </w:r>
      <w:proofErr w:type="spellEnd"/>
      <w:r>
        <w:rPr>
          <w:lang w:val="en-GB"/>
        </w:rPr>
        <w:t xml:space="preserve">,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54AD4545" w14:textId="2A3F0D7F" w:rsidR="00607656" w:rsidRPr="004A5902" w:rsidRDefault="00607656" w:rsidP="004A5902">
      <w:pPr>
        <w:pStyle w:val="Tekstprzypisudolnego"/>
        <w:rPr>
          <w:lang w:val="en-GB"/>
        </w:rPr>
      </w:pPr>
      <w:r>
        <w:rPr>
          <w:rStyle w:val="Odwoanieprzypisudolnego"/>
        </w:rPr>
        <w:footnoteRef/>
      </w:r>
      <w:r w:rsidRPr="00BB6472">
        <w:rPr>
          <w:lang w:val="en-GB"/>
        </w:rPr>
        <w:t xml:space="preserve"> </w:t>
      </w:r>
      <w:bookmarkStart w:id="21" w:name="_Hlk61909190"/>
      <w:r w:rsidRPr="00BB6472">
        <w:rPr>
          <w:lang w:val="en-GB"/>
        </w:rPr>
        <w:t xml:space="preserve">N. </w:t>
      </w:r>
      <w:proofErr w:type="spellStart"/>
      <w:r w:rsidRPr="00BB6472">
        <w:rPr>
          <w:lang w:val="en-GB"/>
        </w:rPr>
        <w:t>Bhalaji</w:t>
      </w:r>
      <w:proofErr w:type="spellEnd"/>
      <w:r w:rsidRPr="00BB6472">
        <w:rPr>
          <w:lang w:val="en-GB"/>
        </w:rPr>
        <w:t xml:space="preserve">, </w:t>
      </w:r>
      <w:proofErr w:type="spellStart"/>
      <w:r w:rsidRPr="00BB6472">
        <w:rPr>
          <w:lang w:val="en-GB"/>
        </w:rPr>
        <w:t>Kb</w:t>
      </w:r>
      <w:proofErr w:type="spellEnd"/>
      <w:r w:rsidRPr="00BB6472">
        <w:rPr>
          <w:lang w:val="en-GB"/>
        </w:rPr>
        <w:t xml:space="preserve">. </w:t>
      </w:r>
      <w:proofErr w:type="spellStart"/>
      <w:r w:rsidRPr="004A5902">
        <w:rPr>
          <w:lang w:val="en-GB"/>
        </w:rPr>
        <w:t>Sundharakumar</w:t>
      </w:r>
      <w:proofErr w:type="spellEnd"/>
      <w:r w:rsidRPr="004A5902">
        <w:rPr>
          <w:lang w:val="en-GB"/>
        </w:rPr>
        <w:t xml:space="preserve">, S. </w:t>
      </w:r>
      <w:proofErr w:type="spellStart"/>
      <w:r w:rsidRPr="004A5902">
        <w:rPr>
          <w:lang w:val="en-GB"/>
        </w:rPr>
        <w:t>Chithra</w:t>
      </w:r>
      <w:proofErr w:type="spellEnd"/>
      <w:r w:rsidRPr="004A5902">
        <w:rPr>
          <w:lang w:val="en-GB"/>
        </w:rPr>
        <w:t xml:space="preserve">, </w:t>
      </w:r>
      <w:r w:rsidRPr="001145C9">
        <w:rPr>
          <w:i/>
          <w:iCs/>
          <w:lang w:val="en-GB"/>
        </w:rPr>
        <w:t>Empirical study of feature selection methods over classification algorithms</w:t>
      </w:r>
      <w:r>
        <w:rPr>
          <w:lang w:val="en-GB"/>
        </w:rPr>
        <w:t>, 2016</w:t>
      </w:r>
      <w:bookmarkEnd w:id="21"/>
      <w:r>
        <w:rPr>
          <w:lang w:val="en-GB"/>
        </w:rPr>
        <w:t>, s. 5-19.</w:t>
      </w:r>
    </w:p>
  </w:footnote>
  <w:footnote w:id="28">
    <w:p w14:paraId="18BF118F" w14:textId="20811487" w:rsidR="00607656" w:rsidRDefault="00607656">
      <w:pPr>
        <w:pStyle w:val="Tekstprzypisudolnego"/>
      </w:pPr>
      <w:r>
        <w:rPr>
          <w:rStyle w:val="Odwoanieprzypisudolnego"/>
        </w:rPr>
        <w:footnoteRef/>
      </w:r>
      <w:r w:rsidRPr="003B7029">
        <w:t xml:space="preserve"> www.towardsdatascience.com/understanding-gradient-boosting-machines-9be756fe76ab (data odsłon</w:t>
      </w:r>
      <w:r>
        <w:t>y 5.01.2021 r.),</w:t>
      </w:r>
    </w:p>
    <w:p w14:paraId="7239B0CC" w14:textId="0E530E4C" w:rsidR="00607656" w:rsidRDefault="00607656" w:rsidP="003B7029">
      <w:pPr>
        <w:pStyle w:val="Tekstprzypisudolnego"/>
      </w:pPr>
      <w:r w:rsidRPr="00E343C7">
        <w:t>www.mateuszgrzyb.pl/wybor-odpowiedniego-algorytmu-czesc-2-algorytmy-klasyfikacyjne</w:t>
      </w:r>
      <w:r>
        <w:t xml:space="preserve"> </w:t>
      </w:r>
      <w:r w:rsidRPr="003B7029">
        <w:t>(data odsłon</w:t>
      </w:r>
      <w:r>
        <w:t>y 5.01.2021 r.)</w:t>
      </w:r>
    </w:p>
    <w:p w14:paraId="75B088E7" w14:textId="2A4072BA" w:rsidR="00607656" w:rsidRPr="003B7029" w:rsidRDefault="00607656">
      <w:pPr>
        <w:pStyle w:val="Tekstprzypisudolnego"/>
      </w:pPr>
    </w:p>
  </w:footnote>
  <w:footnote w:id="29">
    <w:p w14:paraId="38FFF498" w14:textId="7248EB08" w:rsidR="00607656" w:rsidRPr="000867CD" w:rsidRDefault="00607656">
      <w:pPr>
        <w:pStyle w:val="Tekstprzypisudolnego"/>
      </w:pPr>
      <w:r>
        <w:rPr>
          <w:rStyle w:val="Odwoanieprzypisudolnego"/>
        </w:rPr>
        <w:footnoteRef/>
      </w:r>
      <w:r w:rsidRPr="000867CD">
        <w:t xml:space="preserve"> www.lightgbm.readthedocs.io/en/latest/pythonapi/lightgbm.LGBMClassifier.html (data odsł</w:t>
      </w:r>
      <w:r>
        <w:t>ony 6.01.202</w:t>
      </w:r>
      <w:r w:rsidR="009A6C50">
        <w:t>1</w:t>
      </w:r>
      <w:r>
        <w:t xml:space="preserve"> r.)</w:t>
      </w:r>
    </w:p>
  </w:footnote>
  <w:footnote w:id="30">
    <w:p w14:paraId="6A799C59" w14:textId="6208CA0D" w:rsidR="00607656" w:rsidRDefault="00607656">
      <w:pPr>
        <w:pStyle w:val="Tekstprzypisudolnego"/>
      </w:pPr>
      <w:r>
        <w:rPr>
          <w:rStyle w:val="Odwoanieprzypisudolnego"/>
        </w:rPr>
        <w:footnoteRef/>
      </w:r>
      <w:r>
        <w:t xml:space="preserve"> Wskaźnik 75% reprezentuje odsetek wykrytych wszystkich obserwacji pozytywnych, w populacji 75% podmiotów wskazanych przez model jako najbardziej zagrożone ryzykiem upadłości.</w:t>
      </w:r>
    </w:p>
  </w:footnote>
  <w:footnote w:id="31">
    <w:p w14:paraId="3598E247" w14:textId="6F155EBA" w:rsidR="00607656" w:rsidRPr="003610D3" w:rsidRDefault="00607656">
      <w:pPr>
        <w:pStyle w:val="Tekstprzypisudolnego"/>
      </w:pPr>
      <w:r>
        <w:rPr>
          <w:rStyle w:val="Odwoanieprzypisudolnego"/>
        </w:rPr>
        <w:footnoteRef/>
      </w:r>
      <w:r w:rsidRPr="003610D3">
        <w:t xml:space="preserve"> </w:t>
      </w:r>
      <w:r w:rsidRPr="007C341B">
        <w:t>www.towardsdatascience.com/understanding-random-forest-58381e0602d2</w:t>
      </w:r>
      <w:r w:rsidRPr="003610D3">
        <w:t xml:space="preserve"> (data odsł</w:t>
      </w:r>
      <w:r>
        <w:t xml:space="preserve">ony </w:t>
      </w:r>
      <w:r w:rsidR="009A6C50">
        <w:t>8</w:t>
      </w:r>
      <w:r>
        <w:t>.01.2021 r.)</w:t>
      </w:r>
    </w:p>
  </w:footnote>
  <w:footnote w:id="32">
    <w:p w14:paraId="3801BB08" w14:textId="0AB11DEE" w:rsidR="00F2459C" w:rsidRPr="009A6C50" w:rsidRDefault="00F2459C" w:rsidP="00F2459C">
      <w:pPr>
        <w:pStyle w:val="Tekstprzypisudolnego"/>
      </w:pPr>
      <w:r>
        <w:rPr>
          <w:rStyle w:val="Odwoanieprzypisudolnego"/>
        </w:rPr>
        <w:footnoteRef/>
      </w:r>
      <w:r w:rsidR="009A6C50" w:rsidRPr="009A6C50">
        <w:t xml:space="preserve"> www</w:t>
      </w:r>
      <w:r w:rsidR="009A6C50">
        <w:t>.</w:t>
      </w:r>
      <w:r w:rsidR="009A6C50" w:rsidRPr="009A6C50">
        <w:t>scikit-learn.org/stable/modules/generated/sklearn.ensemble.RandomForestClassifier.html</w:t>
      </w:r>
      <w:r w:rsidRPr="009A6C50">
        <w:t xml:space="preserve"> (data odsłony 6.01.202</w:t>
      </w:r>
      <w:r w:rsidR="009A6C50">
        <w:t>1</w:t>
      </w:r>
      <w:r w:rsidRPr="009A6C50">
        <w:t xml:space="preserve"> r.)</w:t>
      </w:r>
    </w:p>
  </w:footnote>
  <w:footnote w:id="33">
    <w:p w14:paraId="78A9D2FD" w14:textId="13774F90" w:rsidR="00607656" w:rsidRPr="00E1105B" w:rsidRDefault="00607656">
      <w:pPr>
        <w:pStyle w:val="Tekstprzypisudolnego"/>
      </w:pPr>
      <w:r>
        <w:rPr>
          <w:rStyle w:val="Odwoanieprzypisudolnego"/>
        </w:rPr>
        <w:footnoteRef/>
      </w:r>
      <w:r w:rsidRPr="00E1105B">
        <w:t xml:space="preserve"> </w:t>
      </w:r>
      <w:bookmarkStart w:id="35" w:name="_Hlk62061258"/>
      <w:r w:rsidRPr="00E1105B">
        <w:t>www.sztucznainteligencja.org.pl/definicja/sieci-neuronowe (data odsł</w:t>
      </w:r>
      <w:r>
        <w:t>ony 6.01.2021 r.)</w:t>
      </w:r>
      <w:bookmarkEnd w:id="35"/>
    </w:p>
  </w:footnote>
  <w:footnote w:id="34">
    <w:p w14:paraId="41D44181" w14:textId="77777777" w:rsidR="00607656" w:rsidRPr="003B7029" w:rsidRDefault="00607656" w:rsidP="00BB0930">
      <w:pPr>
        <w:pStyle w:val="Tekstprzypisudolnego"/>
      </w:pPr>
      <w:r>
        <w:rPr>
          <w:rStyle w:val="Odwoanieprzypisudolnego"/>
        </w:rPr>
        <w:footnoteRef/>
      </w:r>
      <w:r w:rsidRPr="003B7029">
        <w:t xml:space="preserve"> Wykres 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2276B6C"/>
    <w:multiLevelType w:val="hybridMultilevel"/>
    <w:tmpl w:val="DEA4D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2F17E5B"/>
    <w:multiLevelType w:val="hybridMultilevel"/>
    <w:tmpl w:val="4D5E9D30"/>
    <w:lvl w:ilvl="0" w:tplc="0276E07A">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4"/>
  </w:num>
  <w:num w:numId="5">
    <w:abstractNumId w:val="16"/>
  </w:num>
  <w:num w:numId="6">
    <w:abstractNumId w:val="6"/>
  </w:num>
  <w:num w:numId="7">
    <w:abstractNumId w:val="17"/>
  </w:num>
  <w:num w:numId="8">
    <w:abstractNumId w:val="15"/>
  </w:num>
  <w:num w:numId="9">
    <w:abstractNumId w:val="4"/>
  </w:num>
  <w:num w:numId="10">
    <w:abstractNumId w:val="2"/>
  </w:num>
  <w:num w:numId="11">
    <w:abstractNumId w:val="7"/>
  </w:num>
  <w:num w:numId="12">
    <w:abstractNumId w:val="3"/>
  </w:num>
  <w:num w:numId="13">
    <w:abstractNumId w:val="1"/>
  </w:num>
  <w:num w:numId="14">
    <w:abstractNumId w:val="11"/>
  </w:num>
  <w:num w:numId="15">
    <w:abstractNumId w:val="5"/>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46"/>
    <w:rsid w:val="000331D0"/>
    <w:rsid w:val="00033955"/>
    <w:rsid w:val="00034AE3"/>
    <w:rsid w:val="00035761"/>
    <w:rsid w:val="00035B97"/>
    <w:rsid w:val="00036414"/>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1F1B"/>
    <w:rsid w:val="00072355"/>
    <w:rsid w:val="000733A1"/>
    <w:rsid w:val="0007359A"/>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597"/>
    <w:rsid w:val="000828AE"/>
    <w:rsid w:val="00083083"/>
    <w:rsid w:val="00083EE3"/>
    <w:rsid w:val="00084464"/>
    <w:rsid w:val="0008458C"/>
    <w:rsid w:val="00085105"/>
    <w:rsid w:val="00085643"/>
    <w:rsid w:val="000856C4"/>
    <w:rsid w:val="000859F5"/>
    <w:rsid w:val="00085C65"/>
    <w:rsid w:val="000867CD"/>
    <w:rsid w:val="00087D81"/>
    <w:rsid w:val="000904F4"/>
    <w:rsid w:val="00090654"/>
    <w:rsid w:val="00090C0E"/>
    <w:rsid w:val="000913D3"/>
    <w:rsid w:val="0009162D"/>
    <w:rsid w:val="000927E8"/>
    <w:rsid w:val="0009280F"/>
    <w:rsid w:val="000928CB"/>
    <w:rsid w:val="0009311F"/>
    <w:rsid w:val="00093FD7"/>
    <w:rsid w:val="00095CFB"/>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3E4E"/>
    <w:rsid w:val="000B467C"/>
    <w:rsid w:val="000B506D"/>
    <w:rsid w:val="000B5176"/>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39A6"/>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6E67"/>
    <w:rsid w:val="000F7065"/>
    <w:rsid w:val="000F7388"/>
    <w:rsid w:val="000F779A"/>
    <w:rsid w:val="000F7E3E"/>
    <w:rsid w:val="0010003F"/>
    <w:rsid w:val="00100D1F"/>
    <w:rsid w:val="001013F6"/>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5C9"/>
    <w:rsid w:val="00114817"/>
    <w:rsid w:val="00115DB5"/>
    <w:rsid w:val="0011611D"/>
    <w:rsid w:val="001170A4"/>
    <w:rsid w:val="00117383"/>
    <w:rsid w:val="0011793E"/>
    <w:rsid w:val="00117FF2"/>
    <w:rsid w:val="00121121"/>
    <w:rsid w:val="00121996"/>
    <w:rsid w:val="0012218F"/>
    <w:rsid w:val="0012278C"/>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181D"/>
    <w:rsid w:val="00132406"/>
    <w:rsid w:val="001326E1"/>
    <w:rsid w:val="001327AA"/>
    <w:rsid w:val="00132E92"/>
    <w:rsid w:val="00133CF6"/>
    <w:rsid w:val="00135DEC"/>
    <w:rsid w:val="00135EC4"/>
    <w:rsid w:val="001367A3"/>
    <w:rsid w:val="00136A8B"/>
    <w:rsid w:val="00137DB8"/>
    <w:rsid w:val="00141C30"/>
    <w:rsid w:val="00142306"/>
    <w:rsid w:val="00143028"/>
    <w:rsid w:val="0014320B"/>
    <w:rsid w:val="00143629"/>
    <w:rsid w:val="001443AB"/>
    <w:rsid w:val="00144CF8"/>
    <w:rsid w:val="00145634"/>
    <w:rsid w:val="00145CA1"/>
    <w:rsid w:val="00145D52"/>
    <w:rsid w:val="001461A5"/>
    <w:rsid w:val="0014674E"/>
    <w:rsid w:val="0014722C"/>
    <w:rsid w:val="00147FFC"/>
    <w:rsid w:val="0015074A"/>
    <w:rsid w:val="001513B1"/>
    <w:rsid w:val="001519F5"/>
    <w:rsid w:val="00151C1E"/>
    <w:rsid w:val="0015264A"/>
    <w:rsid w:val="00152C7D"/>
    <w:rsid w:val="0015362C"/>
    <w:rsid w:val="00153F70"/>
    <w:rsid w:val="0015482A"/>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520"/>
    <w:rsid w:val="00182603"/>
    <w:rsid w:val="00182836"/>
    <w:rsid w:val="00182DFC"/>
    <w:rsid w:val="00182F2A"/>
    <w:rsid w:val="00183AA3"/>
    <w:rsid w:val="001840B2"/>
    <w:rsid w:val="00184815"/>
    <w:rsid w:val="00184909"/>
    <w:rsid w:val="00184C4A"/>
    <w:rsid w:val="001850E9"/>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6709"/>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3DDD"/>
    <w:rsid w:val="001D412D"/>
    <w:rsid w:val="001D585D"/>
    <w:rsid w:val="001D5D81"/>
    <w:rsid w:val="001D70F2"/>
    <w:rsid w:val="001D75E8"/>
    <w:rsid w:val="001D7C64"/>
    <w:rsid w:val="001E03B3"/>
    <w:rsid w:val="001E05F0"/>
    <w:rsid w:val="001E175A"/>
    <w:rsid w:val="001E1B0D"/>
    <w:rsid w:val="001E1D97"/>
    <w:rsid w:val="001E1F13"/>
    <w:rsid w:val="001E3D1F"/>
    <w:rsid w:val="001E42BB"/>
    <w:rsid w:val="001E5958"/>
    <w:rsid w:val="001E685B"/>
    <w:rsid w:val="001E6E06"/>
    <w:rsid w:val="001E720C"/>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0E46"/>
    <w:rsid w:val="0020137C"/>
    <w:rsid w:val="00201C5B"/>
    <w:rsid w:val="00202681"/>
    <w:rsid w:val="00204F71"/>
    <w:rsid w:val="002055A3"/>
    <w:rsid w:val="0020613F"/>
    <w:rsid w:val="002062EA"/>
    <w:rsid w:val="00206FE4"/>
    <w:rsid w:val="0020732B"/>
    <w:rsid w:val="00207FDD"/>
    <w:rsid w:val="002107CA"/>
    <w:rsid w:val="00210AF5"/>
    <w:rsid w:val="0021121F"/>
    <w:rsid w:val="00211BE2"/>
    <w:rsid w:val="002143CC"/>
    <w:rsid w:val="00214D4C"/>
    <w:rsid w:val="00214E1C"/>
    <w:rsid w:val="0021567E"/>
    <w:rsid w:val="00216BA1"/>
    <w:rsid w:val="0022033F"/>
    <w:rsid w:val="00220578"/>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3AC6"/>
    <w:rsid w:val="00234358"/>
    <w:rsid w:val="002354EA"/>
    <w:rsid w:val="00235C64"/>
    <w:rsid w:val="00235F62"/>
    <w:rsid w:val="0023633B"/>
    <w:rsid w:val="002369C4"/>
    <w:rsid w:val="0023782A"/>
    <w:rsid w:val="00237BDE"/>
    <w:rsid w:val="00237D0F"/>
    <w:rsid w:val="002400DF"/>
    <w:rsid w:val="00240179"/>
    <w:rsid w:val="00240D07"/>
    <w:rsid w:val="00242A51"/>
    <w:rsid w:val="00243942"/>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1D9"/>
    <w:rsid w:val="002902F8"/>
    <w:rsid w:val="00290E8C"/>
    <w:rsid w:val="0029147A"/>
    <w:rsid w:val="002923E3"/>
    <w:rsid w:val="002925BF"/>
    <w:rsid w:val="002928BD"/>
    <w:rsid w:val="00292B80"/>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45E"/>
    <w:rsid w:val="002A1A14"/>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B7DBD"/>
    <w:rsid w:val="002C054C"/>
    <w:rsid w:val="002C0684"/>
    <w:rsid w:val="002C0A91"/>
    <w:rsid w:val="002C1000"/>
    <w:rsid w:val="002C171D"/>
    <w:rsid w:val="002C390D"/>
    <w:rsid w:val="002C4039"/>
    <w:rsid w:val="002C4211"/>
    <w:rsid w:val="002C42FD"/>
    <w:rsid w:val="002C4352"/>
    <w:rsid w:val="002C50C6"/>
    <w:rsid w:val="002C5F53"/>
    <w:rsid w:val="002C6935"/>
    <w:rsid w:val="002C7BB9"/>
    <w:rsid w:val="002D209F"/>
    <w:rsid w:val="002D3DF9"/>
    <w:rsid w:val="002D4967"/>
    <w:rsid w:val="002D5DAC"/>
    <w:rsid w:val="002D60EC"/>
    <w:rsid w:val="002D69F8"/>
    <w:rsid w:val="002D72CB"/>
    <w:rsid w:val="002D75A0"/>
    <w:rsid w:val="002E0BE1"/>
    <w:rsid w:val="002E1F65"/>
    <w:rsid w:val="002E2245"/>
    <w:rsid w:val="002E35F1"/>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173"/>
    <w:rsid w:val="002F459C"/>
    <w:rsid w:val="002F4B37"/>
    <w:rsid w:val="002F4BFA"/>
    <w:rsid w:val="002F596C"/>
    <w:rsid w:val="002F652E"/>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4CE4"/>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37278"/>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B2C"/>
    <w:rsid w:val="00356F87"/>
    <w:rsid w:val="00357776"/>
    <w:rsid w:val="003578B6"/>
    <w:rsid w:val="00357FD9"/>
    <w:rsid w:val="0036063C"/>
    <w:rsid w:val="00360A2C"/>
    <w:rsid w:val="00360F61"/>
    <w:rsid w:val="003610D3"/>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542"/>
    <w:rsid w:val="003757F7"/>
    <w:rsid w:val="00375FB0"/>
    <w:rsid w:val="003765F8"/>
    <w:rsid w:val="003770D9"/>
    <w:rsid w:val="00377631"/>
    <w:rsid w:val="0038132F"/>
    <w:rsid w:val="003815BA"/>
    <w:rsid w:val="00381798"/>
    <w:rsid w:val="003818F3"/>
    <w:rsid w:val="0038214C"/>
    <w:rsid w:val="0038262A"/>
    <w:rsid w:val="00382EF1"/>
    <w:rsid w:val="003834EC"/>
    <w:rsid w:val="003841FD"/>
    <w:rsid w:val="003855DF"/>
    <w:rsid w:val="003856A2"/>
    <w:rsid w:val="00386171"/>
    <w:rsid w:val="00386DB3"/>
    <w:rsid w:val="003876A9"/>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A6A"/>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B7029"/>
    <w:rsid w:val="003C04E3"/>
    <w:rsid w:val="003C0631"/>
    <w:rsid w:val="003C06CE"/>
    <w:rsid w:val="003C2158"/>
    <w:rsid w:val="003C280D"/>
    <w:rsid w:val="003C3470"/>
    <w:rsid w:val="003C3D7E"/>
    <w:rsid w:val="003C45B6"/>
    <w:rsid w:val="003C49D7"/>
    <w:rsid w:val="003C54A1"/>
    <w:rsid w:val="003C54E0"/>
    <w:rsid w:val="003C5E9C"/>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52B5"/>
    <w:rsid w:val="003F69D2"/>
    <w:rsid w:val="003F6C7D"/>
    <w:rsid w:val="003F6DA5"/>
    <w:rsid w:val="003F747F"/>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230"/>
    <w:rsid w:val="004457E4"/>
    <w:rsid w:val="004501D8"/>
    <w:rsid w:val="00450A8C"/>
    <w:rsid w:val="00452CAB"/>
    <w:rsid w:val="00452F4E"/>
    <w:rsid w:val="00453409"/>
    <w:rsid w:val="00453600"/>
    <w:rsid w:val="00453C4A"/>
    <w:rsid w:val="00453FB4"/>
    <w:rsid w:val="00454200"/>
    <w:rsid w:val="0045590F"/>
    <w:rsid w:val="004562F9"/>
    <w:rsid w:val="004565CF"/>
    <w:rsid w:val="00457789"/>
    <w:rsid w:val="0045786E"/>
    <w:rsid w:val="00460432"/>
    <w:rsid w:val="00462248"/>
    <w:rsid w:val="00462581"/>
    <w:rsid w:val="00462A3A"/>
    <w:rsid w:val="00464E66"/>
    <w:rsid w:val="00465002"/>
    <w:rsid w:val="0046546B"/>
    <w:rsid w:val="00465CAD"/>
    <w:rsid w:val="0046690B"/>
    <w:rsid w:val="00466C1E"/>
    <w:rsid w:val="00470EE8"/>
    <w:rsid w:val="0047138F"/>
    <w:rsid w:val="00471F9C"/>
    <w:rsid w:val="00472310"/>
    <w:rsid w:val="0047299C"/>
    <w:rsid w:val="00472AF7"/>
    <w:rsid w:val="00472C2D"/>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024"/>
    <w:rsid w:val="004A037A"/>
    <w:rsid w:val="004A065A"/>
    <w:rsid w:val="004A1120"/>
    <w:rsid w:val="004A1570"/>
    <w:rsid w:val="004A167C"/>
    <w:rsid w:val="004A1B2D"/>
    <w:rsid w:val="004A1B64"/>
    <w:rsid w:val="004A466C"/>
    <w:rsid w:val="004A4E23"/>
    <w:rsid w:val="004A50E1"/>
    <w:rsid w:val="004A5902"/>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34CD"/>
    <w:rsid w:val="004C5908"/>
    <w:rsid w:val="004C6128"/>
    <w:rsid w:val="004C6135"/>
    <w:rsid w:val="004C7361"/>
    <w:rsid w:val="004C768E"/>
    <w:rsid w:val="004C7940"/>
    <w:rsid w:val="004D0274"/>
    <w:rsid w:val="004D0391"/>
    <w:rsid w:val="004D07E2"/>
    <w:rsid w:val="004D0D8C"/>
    <w:rsid w:val="004D1FC1"/>
    <w:rsid w:val="004D23BF"/>
    <w:rsid w:val="004D27D9"/>
    <w:rsid w:val="004D3825"/>
    <w:rsid w:val="004D3D4D"/>
    <w:rsid w:val="004D4391"/>
    <w:rsid w:val="004D52B7"/>
    <w:rsid w:val="004D55F6"/>
    <w:rsid w:val="004D6D72"/>
    <w:rsid w:val="004E026F"/>
    <w:rsid w:val="004E0290"/>
    <w:rsid w:val="004E06B0"/>
    <w:rsid w:val="004E186D"/>
    <w:rsid w:val="004E24D4"/>
    <w:rsid w:val="004E2D8E"/>
    <w:rsid w:val="004E4268"/>
    <w:rsid w:val="004E46C2"/>
    <w:rsid w:val="004E5C71"/>
    <w:rsid w:val="004E5ED1"/>
    <w:rsid w:val="004E7014"/>
    <w:rsid w:val="004E72D4"/>
    <w:rsid w:val="004F037C"/>
    <w:rsid w:val="004F128D"/>
    <w:rsid w:val="004F1537"/>
    <w:rsid w:val="004F15FA"/>
    <w:rsid w:val="004F1BB5"/>
    <w:rsid w:val="004F1DD6"/>
    <w:rsid w:val="004F3C93"/>
    <w:rsid w:val="004F3E29"/>
    <w:rsid w:val="004F48CF"/>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5A5"/>
    <w:rsid w:val="00522BC8"/>
    <w:rsid w:val="0052402F"/>
    <w:rsid w:val="005241DF"/>
    <w:rsid w:val="005245AC"/>
    <w:rsid w:val="00524904"/>
    <w:rsid w:val="00524C78"/>
    <w:rsid w:val="00524D7F"/>
    <w:rsid w:val="00524FE3"/>
    <w:rsid w:val="00525E7C"/>
    <w:rsid w:val="00525F5B"/>
    <w:rsid w:val="00526DCF"/>
    <w:rsid w:val="00526F5B"/>
    <w:rsid w:val="00527859"/>
    <w:rsid w:val="005311D6"/>
    <w:rsid w:val="00531FCC"/>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56A"/>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14A2"/>
    <w:rsid w:val="005A2493"/>
    <w:rsid w:val="005A2579"/>
    <w:rsid w:val="005A35CE"/>
    <w:rsid w:val="005A3F01"/>
    <w:rsid w:val="005A404D"/>
    <w:rsid w:val="005A585D"/>
    <w:rsid w:val="005A62E3"/>
    <w:rsid w:val="005A62F9"/>
    <w:rsid w:val="005A6D1A"/>
    <w:rsid w:val="005A736F"/>
    <w:rsid w:val="005A7661"/>
    <w:rsid w:val="005A76CF"/>
    <w:rsid w:val="005A7CE7"/>
    <w:rsid w:val="005B016F"/>
    <w:rsid w:val="005B0787"/>
    <w:rsid w:val="005B10AA"/>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3C10"/>
    <w:rsid w:val="005E4045"/>
    <w:rsid w:val="005E5161"/>
    <w:rsid w:val="005E5317"/>
    <w:rsid w:val="005E5C94"/>
    <w:rsid w:val="005E5CDA"/>
    <w:rsid w:val="005E659D"/>
    <w:rsid w:val="005E682A"/>
    <w:rsid w:val="005E7829"/>
    <w:rsid w:val="005E7E72"/>
    <w:rsid w:val="005F045E"/>
    <w:rsid w:val="005F0D22"/>
    <w:rsid w:val="005F101B"/>
    <w:rsid w:val="005F126C"/>
    <w:rsid w:val="005F14D5"/>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07656"/>
    <w:rsid w:val="00611E05"/>
    <w:rsid w:val="0061217E"/>
    <w:rsid w:val="0061271B"/>
    <w:rsid w:val="00612AEA"/>
    <w:rsid w:val="00614BEC"/>
    <w:rsid w:val="00615212"/>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44D1"/>
    <w:rsid w:val="00635737"/>
    <w:rsid w:val="006358E4"/>
    <w:rsid w:val="00636144"/>
    <w:rsid w:val="00636243"/>
    <w:rsid w:val="0063644C"/>
    <w:rsid w:val="00636765"/>
    <w:rsid w:val="006378D3"/>
    <w:rsid w:val="00637B44"/>
    <w:rsid w:val="00640B4D"/>
    <w:rsid w:val="00640B7C"/>
    <w:rsid w:val="006416CD"/>
    <w:rsid w:val="006421A4"/>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5A7"/>
    <w:rsid w:val="006556B2"/>
    <w:rsid w:val="006557D5"/>
    <w:rsid w:val="00655F7E"/>
    <w:rsid w:val="006565A5"/>
    <w:rsid w:val="00656EF8"/>
    <w:rsid w:val="00657A5D"/>
    <w:rsid w:val="0066000D"/>
    <w:rsid w:val="00660A72"/>
    <w:rsid w:val="00660FFE"/>
    <w:rsid w:val="006627D2"/>
    <w:rsid w:val="00662C57"/>
    <w:rsid w:val="00663D4F"/>
    <w:rsid w:val="00663E96"/>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30"/>
    <w:rsid w:val="006822F3"/>
    <w:rsid w:val="0068259F"/>
    <w:rsid w:val="0068398F"/>
    <w:rsid w:val="00683B35"/>
    <w:rsid w:val="00683D0D"/>
    <w:rsid w:val="0068469F"/>
    <w:rsid w:val="00684B95"/>
    <w:rsid w:val="00685AF1"/>
    <w:rsid w:val="0068641E"/>
    <w:rsid w:val="00687347"/>
    <w:rsid w:val="00687A08"/>
    <w:rsid w:val="006909B0"/>
    <w:rsid w:val="00691C34"/>
    <w:rsid w:val="00692044"/>
    <w:rsid w:val="0069214B"/>
    <w:rsid w:val="00692ADB"/>
    <w:rsid w:val="00693107"/>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1E5"/>
    <w:rsid w:val="006A749A"/>
    <w:rsid w:val="006A78B0"/>
    <w:rsid w:val="006B03C5"/>
    <w:rsid w:val="006B08C8"/>
    <w:rsid w:val="006B0A6C"/>
    <w:rsid w:val="006B0CDA"/>
    <w:rsid w:val="006B0EEB"/>
    <w:rsid w:val="006B1C83"/>
    <w:rsid w:val="006B292D"/>
    <w:rsid w:val="006B3092"/>
    <w:rsid w:val="006B3B9E"/>
    <w:rsid w:val="006B5298"/>
    <w:rsid w:val="006B5D9D"/>
    <w:rsid w:val="006B6884"/>
    <w:rsid w:val="006B71DA"/>
    <w:rsid w:val="006B761E"/>
    <w:rsid w:val="006B7678"/>
    <w:rsid w:val="006B7DAC"/>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5B92"/>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D43"/>
    <w:rsid w:val="00700EDC"/>
    <w:rsid w:val="00701126"/>
    <w:rsid w:val="007013E9"/>
    <w:rsid w:val="00701680"/>
    <w:rsid w:val="00702C88"/>
    <w:rsid w:val="007052BA"/>
    <w:rsid w:val="0070650F"/>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603B"/>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3F48"/>
    <w:rsid w:val="007542A9"/>
    <w:rsid w:val="00754602"/>
    <w:rsid w:val="00754E4E"/>
    <w:rsid w:val="007552DB"/>
    <w:rsid w:val="00755D12"/>
    <w:rsid w:val="00756832"/>
    <w:rsid w:val="0075735D"/>
    <w:rsid w:val="00757E4F"/>
    <w:rsid w:val="00760A6B"/>
    <w:rsid w:val="00760D24"/>
    <w:rsid w:val="007613A7"/>
    <w:rsid w:val="00761E1B"/>
    <w:rsid w:val="00762991"/>
    <w:rsid w:val="00764ACB"/>
    <w:rsid w:val="0076500B"/>
    <w:rsid w:val="007650C9"/>
    <w:rsid w:val="00767A64"/>
    <w:rsid w:val="00767C6D"/>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050C"/>
    <w:rsid w:val="007A12E5"/>
    <w:rsid w:val="007A1C2F"/>
    <w:rsid w:val="007A2475"/>
    <w:rsid w:val="007A2745"/>
    <w:rsid w:val="007A31C7"/>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05E6"/>
    <w:rsid w:val="007C1367"/>
    <w:rsid w:val="007C1382"/>
    <w:rsid w:val="007C14AC"/>
    <w:rsid w:val="007C1537"/>
    <w:rsid w:val="007C175D"/>
    <w:rsid w:val="007C1DAC"/>
    <w:rsid w:val="007C21A3"/>
    <w:rsid w:val="007C280C"/>
    <w:rsid w:val="007C2824"/>
    <w:rsid w:val="007C341B"/>
    <w:rsid w:val="007C378E"/>
    <w:rsid w:val="007C44C1"/>
    <w:rsid w:val="007C50B6"/>
    <w:rsid w:val="007C5526"/>
    <w:rsid w:val="007C5DA5"/>
    <w:rsid w:val="007C7B96"/>
    <w:rsid w:val="007D0151"/>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58EB"/>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0C1"/>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0F8E"/>
    <w:rsid w:val="008412A2"/>
    <w:rsid w:val="0084207B"/>
    <w:rsid w:val="00843302"/>
    <w:rsid w:val="008436DB"/>
    <w:rsid w:val="008446EA"/>
    <w:rsid w:val="00844A06"/>
    <w:rsid w:val="00845805"/>
    <w:rsid w:val="0084679E"/>
    <w:rsid w:val="00846F44"/>
    <w:rsid w:val="00847823"/>
    <w:rsid w:val="00847AC4"/>
    <w:rsid w:val="00847E61"/>
    <w:rsid w:val="008508B0"/>
    <w:rsid w:val="00850AD5"/>
    <w:rsid w:val="00850AF8"/>
    <w:rsid w:val="008515C8"/>
    <w:rsid w:val="008537E3"/>
    <w:rsid w:val="0085457E"/>
    <w:rsid w:val="00855F89"/>
    <w:rsid w:val="0085739D"/>
    <w:rsid w:val="008575AD"/>
    <w:rsid w:val="0086040A"/>
    <w:rsid w:val="00860439"/>
    <w:rsid w:val="00860792"/>
    <w:rsid w:val="00861022"/>
    <w:rsid w:val="008610FA"/>
    <w:rsid w:val="008619E8"/>
    <w:rsid w:val="00861C16"/>
    <w:rsid w:val="00861CB3"/>
    <w:rsid w:val="00861F14"/>
    <w:rsid w:val="00862153"/>
    <w:rsid w:val="0086271C"/>
    <w:rsid w:val="00862CFA"/>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3ED2"/>
    <w:rsid w:val="008743C3"/>
    <w:rsid w:val="00874504"/>
    <w:rsid w:val="00876B73"/>
    <w:rsid w:val="008771B7"/>
    <w:rsid w:val="00877524"/>
    <w:rsid w:val="008775FF"/>
    <w:rsid w:val="00877939"/>
    <w:rsid w:val="0088023A"/>
    <w:rsid w:val="00880BDB"/>
    <w:rsid w:val="00880F8A"/>
    <w:rsid w:val="0088233D"/>
    <w:rsid w:val="00882785"/>
    <w:rsid w:val="00883A89"/>
    <w:rsid w:val="00884264"/>
    <w:rsid w:val="00884604"/>
    <w:rsid w:val="00885159"/>
    <w:rsid w:val="00885F46"/>
    <w:rsid w:val="00886EB4"/>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736"/>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4CCB"/>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5072"/>
    <w:rsid w:val="008C638D"/>
    <w:rsid w:val="008C68A2"/>
    <w:rsid w:val="008C6A6D"/>
    <w:rsid w:val="008D076B"/>
    <w:rsid w:val="008D1C78"/>
    <w:rsid w:val="008D2168"/>
    <w:rsid w:val="008D33D1"/>
    <w:rsid w:val="008D3673"/>
    <w:rsid w:val="008D3979"/>
    <w:rsid w:val="008D406F"/>
    <w:rsid w:val="008D739E"/>
    <w:rsid w:val="008D75B1"/>
    <w:rsid w:val="008D794F"/>
    <w:rsid w:val="008E18F6"/>
    <w:rsid w:val="008E1E93"/>
    <w:rsid w:val="008E256B"/>
    <w:rsid w:val="008E3C17"/>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9EE"/>
    <w:rsid w:val="008F0A47"/>
    <w:rsid w:val="008F0CFB"/>
    <w:rsid w:val="008F158F"/>
    <w:rsid w:val="008F4829"/>
    <w:rsid w:val="008F5034"/>
    <w:rsid w:val="008F50FC"/>
    <w:rsid w:val="008F6177"/>
    <w:rsid w:val="008F61DA"/>
    <w:rsid w:val="008F6D89"/>
    <w:rsid w:val="008F774A"/>
    <w:rsid w:val="00900C27"/>
    <w:rsid w:val="00900ECA"/>
    <w:rsid w:val="00901108"/>
    <w:rsid w:val="0090250B"/>
    <w:rsid w:val="009027C8"/>
    <w:rsid w:val="009049A5"/>
    <w:rsid w:val="00905447"/>
    <w:rsid w:val="009057C8"/>
    <w:rsid w:val="00905968"/>
    <w:rsid w:val="00905DE4"/>
    <w:rsid w:val="0090688F"/>
    <w:rsid w:val="00906FD8"/>
    <w:rsid w:val="00907D6E"/>
    <w:rsid w:val="009103DD"/>
    <w:rsid w:val="00911B9B"/>
    <w:rsid w:val="00911FEE"/>
    <w:rsid w:val="009138BE"/>
    <w:rsid w:val="00913F38"/>
    <w:rsid w:val="0091433A"/>
    <w:rsid w:val="00915745"/>
    <w:rsid w:val="00915A94"/>
    <w:rsid w:val="009164C0"/>
    <w:rsid w:val="00916595"/>
    <w:rsid w:val="009165C3"/>
    <w:rsid w:val="0091698D"/>
    <w:rsid w:val="009171EE"/>
    <w:rsid w:val="0091734F"/>
    <w:rsid w:val="009174D4"/>
    <w:rsid w:val="00917A37"/>
    <w:rsid w:val="00917CF8"/>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0AE"/>
    <w:rsid w:val="00981CF8"/>
    <w:rsid w:val="009826A7"/>
    <w:rsid w:val="00982D90"/>
    <w:rsid w:val="00983228"/>
    <w:rsid w:val="00983F85"/>
    <w:rsid w:val="0098465F"/>
    <w:rsid w:val="00984E49"/>
    <w:rsid w:val="0098515F"/>
    <w:rsid w:val="009909BE"/>
    <w:rsid w:val="00992A5B"/>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6C50"/>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0E9B"/>
    <w:rsid w:val="009C13FB"/>
    <w:rsid w:val="009C189C"/>
    <w:rsid w:val="009C2C85"/>
    <w:rsid w:val="009C3064"/>
    <w:rsid w:val="009C4BA3"/>
    <w:rsid w:val="009C4D7E"/>
    <w:rsid w:val="009C5204"/>
    <w:rsid w:val="009C63CB"/>
    <w:rsid w:val="009C6765"/>
    <w:rsid w:val="009C725F"/>
    <w:rsid w:val="009D0321"/>
    <w:rsid w:val="009D17A8"/>
    <w:rsid w:val="009D1843"/>
    <w:rsid w:val="009D1D83"/>
    <w:rsid w:val="009D247F"/>
    <w:rsid w:val="009D44BC"/>
    <w:rsid w:val="009D50E7"/>
    <w:rsid w:val="009D58BE"/>
    <w:rsid w:val="009D60B3"/>
    <w:rsid w:val="009D696E"/>
    <w:rsid w:val="009D6B7F"/>
    <w:rsid w:val="009D7BCC"/>
    <w:rsid w:val="009E03D5"/>
    <w:rsid w:val="009E04A6"/>
    <w:rsid w:val="009E1BE1"/>
    <w:rsid w:val="009E29AE"/>
    <w:rsid w:val="009E353F"/>
    <w:rsid w:val="009E391F"/>
    <w:rsid w:val="009E41A9"/>
    <w:rsid w:val="009E4C1C"/>
    <w:rsid w:val="009E4C53"/>
    <w:rsid w:val="009E58F4"/>
    <w:rsid w:val="009E6E96"/>
    <w:rsid w:val="009E702C"/>
    <w:rsid w:val="009E7330"/>
    <w:rsid w:val="009E7555"/>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2D4C"/>
    <w:rsid w:val="00A0326D"/>
    <w:rsid w:val="00A0348F"/>
    <w:rsid w:val="00A03C70"/>
    <w:rsid w:val="00A041C1"/>
    <w:rsid w:val="00A04CC2"/>
    <w:rsid w:val="00A066BD"/>
    <w:rsid w:val="00A0741C"/>
    <w:rsid w:val="00A07830"/>
    <w:rsid w:val="00A10637"/>
    <w:rsid w:val="00A106DA"/>
    <w:rsid w:val="00A107FF"/>
    <w:rsid w:val="00A11C7D"/>
    <w:rsid w:val="00A11E4D"/>
    <w:rsid w:val="00A1207C"/>
    <w:rsid w:val="00A12339"/>
    <w:rsid w:val="00A13908"/>
    <w:rsid w:val="00A1407E"/>
    <w:rsid w:val="00A14C89"/>
    <w:rsid w:val="00A14EBF"/>
    <w:rsid w:val="00A15688"/>
    <w:rsid w:val="00A17048"/>
    <w:rsid w:val="00A17A29"/>
    <w:rsid w:val="00A200C4"/>
    <w:rsid w:val="00A203E1"/>
    <w:rsid w:val="00A20877"/>
    <w:rsid w:val="00A20971"/>
    <w:rsid w:val="00A21019"/>
    <w:rsid w:val="00A21156"/>
    <w:rsid w:val="00A21254"/>
    <w:rsid w:val="00A225AB"/>
    <w:rsid w:val="00A22EE4"/>
    <w:rsid w:val="00A241ED"/>
    <w:rsid w:val="00A24377"/>
    <w:rsid w:val="00A2494E"/>
    <w:rsid w:val="00A25DFA"/>
    <w:rsid w:val="00A263F3"/>
    <w:rsid w:val="00A265CE"/>
    <w:rsid w:val="00A26BBA"/>
    <w:rsid w:val="00A27420"/>
    <w:rsid w:val="00A27AE4"/>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40B"/>
    <w:rsid w:val="00A45801"/>
    <w:rsid w:val="00A45880"/>
    <w:rsid w:val="00A46156"/>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96"/>
    <w:rsid w:val="00A75CB8"/>
    <w:rsid w:val="00A7630E"/>
    <w:rsid w:val="00A76947"/>
    <w:rsid w:val="00A77DF6"/>
    <w:rsid w:val="00A8112E"/>
    <w:rsid w:val="00A819E0"/>
    <w:rsid w:val="00A81BBA"/>
    <w:rsid w:val="00A8276E"/>
    <w:rsid w:val="00A835D9"/>
    <w:rsid w:val="00A83F16"/>
    <w:rsid w:val="00A84D70"/>
    <w:rsid w:val="00A85370"/>
    <w:rsid w:val="00A85B19"/>
    <w:rsid w:val="00A8758C"/>
    <w:rsid w:val="00A90BAE"/>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006F"/>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859"/>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2B81"/>
    <w:rsid w:val="00B03277"/>
    <w:rsid w:val="00B03F70"/>
    <w:rsid w:val="00B04AC6"/>
    <w:rsid w:val="00B053EB"/>
    <w:rsid w:val="00B055B9"/>
    <w:rsid w:val="00B06D3D"/>
    <w:rsid w:val="00B10F63"/>
    <w:rsid w:val="00B11352"/>
    <w:rsid w:val="00B11366"/>
    <w:rsid w:val="00B11DC2"/>
    <w:rsid w:val="00B12044"/>
    <w:rsid w:val="00B12983"/>
    <w:rsid w:val="00B12BD3"/>
    <w:rsid w:val="00B13D17"/>
    <w:rsid w:val="00B1455F"/>
    <w:rsid w:val="00B148B5"/>
    <w:rsid w:val="00B14B55"/>
    <w:rsid w:val="00B151A7"/>
    <w:rsid w:val="00B15BAE"/>
    <w:rsid w:val="00B15BD6"/>
    <w:rsid w:val="00B15E31"/>
    <w:rsid w:val="00B15FE7"/>
    <w:rsid w:val="00B16235"/>
    <w:rsid w:val="00B16B1B"/>
    <w:rsid w:val="00B16C74"/>
    <w:rsid w:val="00B16EC0"/>
    <w:rsid w:val="00B17B5B"/>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167D"/>
    <w:rsid w:val="00B329D6"/>
    <w:rsid w:val="00B3325C"/>
    <w:rsid w:val="00B3372D"/>
    <w:rsid w:val="00B33E18"/>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422F"/>
    <w:rsid w:val="00B45743"/>
    <w:rsid w:val="00B464AA"/>
    <w:rsid w:val="00B46A18"/>
    <w:rsid w:val="00B46EA6"/>
    <w:rsid w:val="00B472A6"/>
    <w:rsid w:val="00B47555"/>
    <w:rsid w:val="00B47578"/>
    <w:rsid w:val="00B478C1"/>
    <w:rsid w:val="00B4792F"/>
    <w:rsid w:val="00B50969"/>
    <w:rsid w:val="00B511BE"/>
    <w:rsid w:val="00B51476"/>
    <w:rsid w:val="00B51967"/>
    <w:rsid w:val="00B52E5F"/>
    <w:rsid w:val="00B5622B"/>
    <w:rsid w:val="00B57761"/>
    <w:rsid w:val="00B579AA"/>
    <w:rsid w:val="00B605A3"/>
    <w:rsid w:val="00B6078A"/>
    <w:rsid w:val="00B60F55"/>
    <w:rsid w:val="00B61726"/>
    <w:rsid w:val="00B63CB7"/>
    <w:rsid w:val="00B64974"/>
    <w:rsid w:val="00B64992"/>
    <w:rsid w:val="00B64F60"/>
    <w:rsid w:val="00B6607A"/>
    <w:rsid w:val="00B6635B"/>
    <w:rsid w:val="00B67196"/>
    <w:rsid w:val="00B6785A"/>
    <w:rsid w:val="00B70179"/>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1AF8"/>
    <w:rsid w:val="00B922C0"/>
    <w:rsid w:val="00B941F3"/>
    <w:rsid w:val="00B94B05"/>
    <w:rsid w:val="00B94E69"/>
    <w:rsid w:val="00B94F95"/>
    <w:rsid w:val="00B95111"/>
    <w:rsid w:val="00B95797"/>
    <w:rsid w:val="00B95A01"/>
    <w:rsid w:val="00B964F0"/>
    <w:rsid w:val="00B97C6B"/>
    <w:rsid w:val="00BA030E"/>
    <w:rsid w:val="00BA0C76"/>
    <w:rsid w:val="00BA150F"/>
    <w:rsid w:val="00BA1D72"/>
    <w:rsid w:val="00BA4994"/>
    <w:rsid w:val="00BA4FB2"/>
    <w:rsid w:val="00BA5548"/>
    <w:rsid w:val="00BA668A"/>
    <w:rsid w:val="00BA7D8E"/>
    <w:rsid w:val="00BB0362"/>
    <w:rsid w:val="00BB0525"/>
    <w:rsid w:val="00BB062D"/>
    <w:rsid w:val="00BB0930"/>
    <w:rsid w:val="00BB0D72"/>
    <w:rsid w:val="00BB1F76"/>
    <w:rsid w:val="00BB2BC5"/>
    <w:rsid w:val="00BB2D18"/>
    <w:rsid w:val="00BB5FCD"/>
    <w:rsid w:val="00BB622C"/>
    <w:rsid w:val="00BB6472"/>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974"/>
    <w:rsid w:val="00BC7ACE"/>
    <w:rsid w:val="00BC7C8D"/>
    <w:rsid w:val="00BC7FFC"/>
    <w:rsid w:val="00BD033A"/>
    <w:rsid w:val="00BD1B45"/>
    <w:rsid w:val="00BD2A5A"/>
    <w:rsid w:val="00BD2D1F"/>
    <w:rsid w:val="00BD2D9A"/>
    <w:rsid w:val="00BD2E72"/>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E7A91"/>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5C2"/>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17521"/>
    <w:rsid w:val="00C20591"/>
    <w:rsid w:val="00C21B01"/>
    <w:rsid w:val="00C24F2C"/>
    <w:rsid w:val="00C27677"/>
    <w:rsid w:val="00C27B2F"/>
    <w:rsid w:val="00C27F2A"/>
    <w:rsid w:val="00C31D0C"/>
    <w:rsid w:val="00C32854"/>
    <w:rsid w:val="00C32F42"/>
    <w:rsid w:val="00C32FCD"/>
    <w:rsid w:val="00C332F6"/>
    <w:rsid w:val="00C33A13"/>
    <w:rsid w:val="00C33C6B"/>
    <w:rsid w:val="00C33E34"/>
    <w:rsid w:val="00C34DEA"/>
    <w:rsid w:val="00C375EE"/>
    <w:rsid w:val="00C40065"/>
    <w:rsid w:val="00C40974"/>
    <w:rsid w:val="00C423A4"/>
    <w:rsid w:val="00C425C9"/>
    <w:rsid w:val="00C426D8"/>
    <w:rsid w:val="00C427EA"/>
    <w:rsid w:val="00C4338F"/>
    <w:rsid w:val="00C448B6"/>
    <w:rsid w:val="00C453C2"/>
    <w:rsid w:val="00C46CD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26A5"/>
    <w:rsid w:val="00C63C3A"/>
    <w:rsid w:val="00C64836"/>
    <w:rsid w:val="00C652EC"/>
    <w:rsid w:val="00C6534C"/>
    <w:rsid w:val="00C657EF"/>
    <w:rsid w:val="00C65B66"/>
    <w:rsid w:val="00C65CB6"/>
    <w:rsid w:val="00C66A16"/>
    <w:rsid w:val="00C67096"/>
    <w:rsid w:val="00C6714C"/>
    <w:rsid w:val="00C70237"/>
    <w:rsid w:val="00C702D6"/>
    <w:rsid w:val="00C71013"/>
    <w:rsid w:val="00C711AF"/>
    <w:rsid w:val="00C71439"/>
    <w:rsid w:val="00C71BBB"/>
    <w:rsid w:val="00C7217C"/>
    <w:rsid w:val="00C7316A"/>
    <w:rsid w:val="00C74D33"/>
    <w:rsid w:val="00C74DD9"/>
    <w:rsid w:val="00C757EF"/>
    <w:rsid w:val="00C75D32"/>
    <w:rsid w:val="00C77B9C"/>
    <w:rsid w:val="00C77BD2"/>
    <w:rsid w:val="00C801B3"/>
    <w:rsid w:val="00C80531"/>
    <w:rsid w:val="00C8099B"/>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223"/>
    <w:rsid w:val="00C96456"/>
    <w:rsid w:val="00C96480"/>
    <w:rsid w:val="00CA0031"/>
    <w:rsid w:val="00CA0D45"/>
    <w:rsid w:val="00CA1154"/>
    <w:rsid w:val="00CA11DC"/>
    <w:rsid w:val="00CA2AF7"/>
    <w:rsid w:val="00CA3C45"/>
    <w:rsid w:val="00CA3D21"/>
    <w:rsid w:val="00CA530A"/>
    <w:rsid w:val="00CA5F89"/>
    <w:rsid w:val="00CA623D"/>
    <w:rsid w:val="00CA6649"/>
    <w:rsid w:val="00CA69FA"/>
    <w:rsid w:val="00CA6A5F"/>
    <w:rsid w:val="00CA757C"/>
    <w:rsid w:val="00CB0452"/>
    <w:rsid w:val="00CB181A"/>
    <w:rsid w:val="00CB1BB7"/>
    <w:rsid w:val="00CB21F3"/>
    <w:rsid w:val="00CB2D38"/>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0CDA"/>
    <w:rsid w:val="00CE1321"/>
    <w:rsid w:val="00CE152C"/>
    <w:rsid w:val="00CE194F"/>
    <w:rsid w:val="00CE1FFB"/>
    <w:rsid w:val="00CE2099"/>
    <w:rsid w:val="00CE248D"/>
    <w:rsid w:val="00CE28FB"/>
    <w:rsid w:val="00CE2B3D"/>
    <w:rsid w:val="00CE2EE2"/>
    <w:rsid w:val="00CE3424"/>
    <w:rsid w:val="00CE3B16"/>
    <w:rsid w:val="00CE4491"/>
    <w:rsid w:val="00CE4B3D"/>
    <w:rsid w:val="00CE64CB"/>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0D30"/>
    <w:rsid w:val="00D11310"/>
    <w:rsid w:val="00D125AC"/>
    <w:rsid w:val="00D127C2"/>
    <w:rsid w:val="00D12E6F"/>
    <w:rsid w:val="00D1372A"/>
    <w:rsid w:val="00D13822"/>
    <w:rsid w:val="00D13BB0"/>
    <w:rsid w:val="00D14031"/>
    <w:rsid w:val="00D142E8"/>
    <w:rsid w:val="00D1450B"/>
    <w:rsid w:val="00D150F2"/>
    <w:rsid w:val="00D155B7"/>
    <w:rsid w:val="00D15C4B"/>
    <w:rsid w:val="00D161C7"/>
    <w:rsid w:val="00D1762B"/>
    <w:rsid w:val="00D17A33"/>
    <w:rsid w:val="00D17F9A"/>
    <w:rsid w:val="00D2090D"/>
    <w:rsid w:val="00D2198F"/>
    <w:rsid w:val="00D21C27"/>
    <w:rsid w:val="00D21C37"/>
    <w:rsid w:val="00D237FD"/>
    <w:rsid w:val="00D23844"/>
    <w:rsid w:val="00D23BC1"/>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4E7E"/>
    <w:rsid w:val="00D35879"/>
    <w:rsid w:val="00D35A3A"/>
    <w:rsid w:val="00D35C15"/>
    <w:rsid w:val="00D363D6"/>
    <w:rsid w:val="00D36556"/>
    <w:rsid w:val="00D36E5A"/>
    <w:rsid w:val="00D377D4"/>
    <w:rsid w:val="00D37D4C"/>
    <w:rsid w:val="00D40013"/>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25E"/>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00AE"/>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67D1"/>
    <w:rsid w:val="00DA7176"/>
    <w:rsid w:val="00DA7EA7"/>
    <w:rsid w:val="00DB01E7"/>
    <w:rsid w:val="00DB12FF"/>
    <w:rsid w:val="00DB14BD"/>
    <w:rsid w:val="00DB2B63"/>
    <w:rsid w:val="00DB2D83"/>
    <w:rsid w:val="00DB31FC"/>
    <w:rsid w:val="00DB353A"/>
    <w:rsid w:val="00DB500F"/>
    <w:rsid w:val="00DB69AE"/>
    <w:rsid w:val="00DB705A"/>
    <w:rsid w:val="00DB73EF"/>
    <w:rsid w:val="00DC0446"/>
    <w:rsid w:val="00DC0675"/>
    <w:rsid w:val="00DC08E1"/>
    <w:rsid w:val="00DC1265"/>
    <w:rsid w:val="00DC4B94"/>
    <w:rsid w:val="00DC55CD"/>
    <w:rsid w:val="00DC5E37"/>
    <w:rsid w:val="00DC609E"/>
    <w:rsid w:val="00DC6823"/>
    <w:rsid w:val="00DC6EF8"/>
    <w:rsid w:val="00DC7B48"/>
    <w:rsid w:val="00DC7FA5"/>
    <w:rsid w:val="00DD0CD9"/>
    <w:rsid w:val="00DD10E2"/>
    <w:rsid w:val="00DD1BF0"/>
    <w:rsid w:val="00DD32B8"/>
    <w:rsid w:val="00DD39BA"/>
    <w:rsid w:val="00DD4036"/>
    <w:rsid w:val="00DD446C"/>
    <w:rsid w:val="00DD52F0"/>
    <w:rsid w:val="00DD6112"/>
    <w:rsid w:val="00DD7675"/>
    <w:rsid w:val="00DE0AE2"/>
    <w:rsid w:val="00DE30AD"/>
    <w:rsid w:val="00DE3476"/>
    <w:rsid w:val="00DE405F"/>
    <w:rsid w:val="00DE481C"/>
    <w:rsid w:val="00DE5783"/>
    <w:rsid w:val="00DE66AE"/>
    <w:rsid w:val="00DE6B1A"/>
    <w:rsid w:val="00DF0516"/>
    <w:rsid w:val="00DF0E1E"/>
    <w:rsid w:val="00DF286C"/>
    <w:rsid w:val="00DF2AF4"/>
    <w:rsid w:val="00DF3704"/>
    <w:rsid w:val="00DF3B1F"/>
    <w:rsid w:val="00DF3E18"/>
    <w:rsid w:val="00DF4D35"/>
    <w:rsid w:val="00DF4F23"/>
    <w:rsid w:val="00DF50B8"/>
    <w:rsid w:val="00E00539"/>
    <w:rsid w:val="00E0189F"/>
    <w:rsid w:val="00E01E0A"/>
    <w:rsid w:val="00E023AC"/>
    <w:rsid w:val="00E03FF8"/>
    <w:rsid w:val="00E04BA4"/>
    <w:rsid w:val="00E04EA0"/>
    <w:rsid w:val="00E05B84"/>
    <w:rsid w:val="00E06014"/>
    <w:rsid w:val="00E06355"/>
    <w:rsid w:val="00E069D2"/>
    <w:rsid w:val="00E06EE6"/>
    <w:rsid w:val="00E100AB"/>
    <w:rsid w:val="00E1064D"/>
    <w:rsid w:val="00E10B02"/>
    <w:rsid w:val="00E10CBF"/>
    <w:rsid w:val="00E10FAE"/>
    <w:rsid w:val="00E10FD8"/>
    <w:rsid w:val="00E1105B"/>
    <w:rsid w:val="00E11068"/>
    <w:rsid w:val="00E12009"/>
    <w:rsid w:val="00E12BCA"/>
    <w:rsid w:val="00E12DD3"/>
    <w:rsid w:val="00E1336D"/>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9D0"/>
    <w:rsid w:val="00E31C94"/>
    <w:rsid w:val="00E325DD"/>
    <w:rsid w:val="00E32D5A"/>
    <w:rsid w:val="00E332B2"/>
    <w:rsid w:val="00E3393A"/>
    <w:rsid w:val="00E343C7"/>
    <w:rsid w:val="00E34679"/>
    <w:rsid w:val="00E34F30"/>
    <w:rsid w:val="00E35139"/>
    <w:rsid w:val="00E35A5A"/>
    <w:rsid w:val="00E35A61"/>
    <w:rsid w:val="00E3607F"/>
    <w:rsid w:val="00E361F2"/>
    <w:rsid w:val="00E36F3E"/>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3403"/>
    <w:rsid w:val="00E540B2"/>
    <w:rsid w:val="00E5467E"/>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5B07"/>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5B3A"/>
    <w:rsid w:val="00E960E2"/>
    <w:rsid w:val="00E973F8"/>
    <w:rsid w:val="00EA0F04"/>
    <w:rsid w:val="00EA1020"/>
    <w:rsid w:val="00EA10D7"/>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1F"/>
    <w:rsid w:val="00EB6F6C"/>
    <w:rsid w:val="00EB772F"/>
    <w:rsid w:val="00EB7859"/>
    <w:rsid w:val="00EB7FBB"/>
    <w:rsid w:val="00EC1280"/>
    <w:rsid w:val="00EC1B23"/>
    <w:rsid w:val="00EC206F"/>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5F10"/>
    <w:rsid w:val="00EE639C"/>
    <w:rsid w:val="00EF0491"/>
    <w:rsid w:val="00EF04AF"/>
    <w:rsid w:val="00EF1726"/>
    <w:rsid w:val="00EF1993"/>
    <w:rsid w:val="00EF3ABD"/>
    <w:rsid w:val="00EF3F5E"/>
    <w:rsid w:val="00EF4DF6"/>
    <w:rsid w:val="00EF4FE4"/>
    <w:rsid w:val="00EF60CC"/>
    <w:rsid w:val="00EF61C8"/>
    <w:rsid w:val="00EF70C8"/>
    <w:rsid w:val="00EF7842"/>
    <w:rsid w:val="00EF78BE"/>
    <w:rsid w:val="00F00271"/>
    <w:rsid w:val="00F011AF"/>
    <w:rsid w:val="00F01920"/>
    <w:rsid w:val="00F02737"/>
    <w:rsid w:val="00F047B4"/>
    <w:rsid w:val="00F0550C"/>
    <w:rsid w:val="00F07299"/>
    <w:rsid w:val="00F100FD"/>
    <w:rsid w:val="00F1031D"/>
    <w:rsid w:val="00F10EE9"/>
    <w:rsid w:val="00F115E6"/>
    <w:rsid w:val="00F117A8"/>
    <w:rsid w:val="00F12B6C"/>
    <w:rsid w:val="00F12BCB"/>
    <w:rsid w:val="00F130AF"/>
    <w:rsid w:val="00F133F8"/>
    <w:rsid w:val="00F1342D"/>
    <w:rsid w:val="00F14300"/>
    <w:rsid w:val="00F14410"/>
    <w:rsid w:val="00F1447F"/>
    <w:rsid w:val="00F156C0"/>
    <w:rsid w:val="00F15A7F"/>
    <w:rsid w:val="00F16956"/>
    <w:rsid w:val="00F16E48"/>
    <w:rsid w:val="00F20231"/>
    <w:rsid w:val="00F20825"/>
    <w:rsid w:val="00F20F8F"/>
    <w:rsid w:val="00F214CA"/>
    <w:rsid w:val="00F2152F"/>
    <w:rsid w:val="00F21CFE"/>
    <w:rsid w:val="00F22F62"/>
    <w:rsid w:val="00F23C3C"/>
    <w:rsid w:val="00F23E87"/>
    <w:rsid w:val="00F242A3"/>
    <w:rsid w:val="00F2459C"/>
    <w:rsid w:val="00F24841"/>
    <w:rsid w:val="00F25A71"/>
    <w:rsid w:val="00F25E72"/>
    <w:rsid w:val="00F26210"/>
    <w:rsid w:val="00F27634"/>
    <w:rsid w:val="00F3009E"/>
    <w:rsid w:val="00F30121"/>
    <w:rsid w:val="00F3055D"/>
    <w:rsid w:val="00F32AAF"/>
    <w:rsid w:val="00F32BBF"/>
    <w:rsid w:val="00F3349B"/>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2303"/>
    <w:rsid w:val="00F530CC"/>
    <w:rsid w:val="00F53878"/>
    <w:rsid w:val="00F53AFA"/>
    <w:rsid w:val="00F56174"/>
    <w:rsid w:val="00F56483"/>
    <w:rsid w:val="00F60D21"/>
    <w:rsid w:val="00F6240C"/>
    <w:rsid w:val="00F62748"/>
    <w:rsid w:val="00F628DE"/>
    <w:rsid w:val="00F6372D"/>
    <w:rsid w:val="00F642B3"/>
    <w:rsid w:val="00F64D6D"/>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2E44"/>
    <w:rsid w:val="00F846E7"/>
    <w:rsid w:val="00F8475F"/>
    <w:rsid w:val="00F84A28"/>
    <w:rsid w:val="00F84CF4"/>
    <w:rsid w:val="00F851C0"/>
    <w:rsid w:val="00F86F38"/>
    <w:rsid w:val="00F87A85"/>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4599"/>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2459C"/>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a">
    <w:name w:val="Table Grid"/>
    <w:basedOn w:val="Standardowy"/>
    <w:uiPriority w:val="39"/>
    <w:rsid w:val="00086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26F0-A7C7-4E1B-8F1B-C4FE5725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16247</TotalTime>
  <Pages>71</Pages>
  <Words>19385</Words>
  <Characters>116311</Characters>
  <Application>Microsoft Office Word</Application>
  <DocSecurity>0</DocSecurity>
  <Lines>969</Lines>
  <Paragraphs>270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3133</cp:revision>
  <cp:lastPrinted>2018-04-29T19:16:00Z</cp:lastPrinted>
  <dcterms:created xsi:type="dcterms:W3CDTF">2017-11-25T13:24:00Z</dcterms:created>
  <dcterms:modified xsi:type="dcterms:W3CDTF">2021-01-21T23:32:00Z</dcterms:modified>
</cp:coreProperties>
</file>