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1214626"/>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411A23" w:rsidRPr="00741060" w:rsidRDefault="00411A23"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411A23" w:rsidRPr="00741060" w:rsidRDefault="00411A23"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411A23" w:rsidRPr="00741060" w:rsidRDefault="00411A23"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411A23" w:rsidRPr="00741060" w:rsidRDefault="00411A23"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411A23" w:rsidRPr="00741060" w:rsidRDefault="00411A23"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411A23" w:rsidRPr="00741060" w:rsidRDefault="00411A23"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411A23" w:rsidRPr="00741060" w:rsidRDefault="00411A23" w:rsidP="00741060">
                            <w:pPr>
                              <w:rPr>
                                <w:rFonts w:cs="Times New Roman"/>
                                <w:szCs w:val="24"/>
                              </w:rPr>
                            </w:pPr>
                            <w:r w:rsidRPr="00741060">
                              <w:rPr>
                                <w:rFonts w:cs="Times New Roman"/>
                                <w:szCs w:val="24"/>
                              </w:rPr>
                              <w:t xml:space="preserve">pod kierunkiem naukowym </w:t>
                            </w:r>
                          </w:p>
                          <w:p w14:paraId="081B391D" w14:textId="3214305D" w:rsidR="00411A23" w:rsidRPr="00741060" w:rsidRDefault="00411A23"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411A23" w:rsidRPr="00741060" w:rsidRDefault="00411A23"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411A23" w:rsidRPr="00741060" w:rsidRDefault="00411A23"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411A23" w:rsidRPr="00741060" w:rsidRDefault="00411A23" w:rsidP="00741060">
                      <w:pPr>
                        <w:rPr>
                          <w:rFonts w:cs="Times New Roman"/>
                          <w:szCs w:val="24"/>
                        </w:rPr>
                      </w:pPr>
                      <w:r w:rsidRPr="00741060">
                        <w:rPr>
                          <w:rFonts w:cs="Times New Roman"/>
                          <w:szCs w:val="24"/>
                        </w:rPr>
                        <w:t xml:space="preserve">pod kierunkiem naukowym </w:t>
                      </w:r>
                    </w:p>
                    <w:p w14:paraId="081B391D" w14:textId="3214305D" w:rsidR="00411A23" w:rsidRPr="00741060" w:rsidRDefault="00411A23"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bookmarkStart w:id="2" w:name="_Toc61214627"/>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1BE40D54" w14:textId="62E1FCF5" w:rsidR="00CB0452"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214626" w:history="1">
            <w:r w:rsidR="00CB0452" w:rsidRPr="00933E47">
              <w:rPr>
                <w:rStyle w:val="Hipercze"/>
                <w:rFonts w:eastAsia="Times New Roman"/>
                <w:lang w:eastAsia="pl-PL"/>
              </w:rPr>
              <w:t>Studium Magisterskie</w:t>
            </w:r>
            <w:r w:rsidR="00CB0452">
              <w:rPr>
                <w:webHidden/>
              </w:rPr>
              <w:tab/>
            </w:r>
            <w:r w:rsidR="00CB0452">
              <w:rPr>
                <w:webHidden/>
              </w:rPr>
              <w:fldChar w:fldCharType="begin"/>
            </w:r>
            <w:r w:rsidR="00CB0452">
              <w:rPr>
                <w:webHidden/>
              </w:rPr>
              <w:instrText xml:space="preserve"> PAGEREF _Toc61214626 \h </w:instrText>
            </w:r>
            <w:r w:rsidR="00CB0452">
              <w:rPr>
                <w:webHidden/>
              </w:rPr>
            </w:r>
            <w:r w:rsidR="00CB0452">
              <w:rPr>
                <w:webHidden/>
              </w:rPr>
              <w:fldChar w:fldCharType="separate"/>
            </w:r>
            <w:r w:rsidR="00CB0452">
              <w:rPr>
                <w:webHidden/>
              </w:rPr>
              <w:t>- 1 -</w:t>
            </w:r>
            <w:r w:rsidR="00CB0452">
              <w:rPr>
                <w:webHidden/>
              </w:rPr>
              <w:fldChar w:fldCharType="end"/>
            </w:r>
          </w:hyperlink>
        </w:p>
        <w:p w14:paraId="16E0023F" w14:textId="6DADB354" w:rsidR="00CB0452" w:rsidRDefault="00CB0452">
          <w:pPr>
            <w:pStyle w:val="Spistreci1"/>
            <w:rPr>
              <w:rFonts w:asciiTheme="minorHAnsi" w:eastAsiaTheme="minorEastAsia" w:hAnsiTheme="minorHAnsi" w:cstheme="minorBidi"/>
              <w:b w:val="0"/>
              <w:sz w:val="22"/>
              <w:szCs w:val="22"/>
              <w:lang w:eastAsia="pl-PL"/>
            </w:rPr>
          </w:pPr>
          <w:hyperlink w:anchor="_Toc61214627" w:history="1">
            <w:r w:rsidRPr="00933E47">
              <w:rPr>
                <w:rStyle w:val="Hipercze"/>
                <w:rFonts w:eastAsia="Times New Roman"/>
                <w:lang w:eastAsia="pl-PL"/>
              </w:rPr>
              <w:t>Warszawa 2020</w:t>
            </w:r>
            <w:r>
              <w:rPr>
                <w:webHidden/>
              </w:rPr>
              <w:tab/>
            </w:r>
            <w:r>
              <w:rPr>
                <w:webHidden/>
              </w:rPr>
              <w:fldChar w:fldCharType="begin"/>
            </w:r>
            <w:r>
              <w:rPr>
                <w:webHidden/>
              </w:rPr>
              <w:instrText xml:space="preserve"> PAGEREF _Toc61214627 \h </w:instrText>
            </w:r>
            <w:r>
              <w:rPr>
                <w:webHidden/>
              </w:rPr>
            </w:r>
            <w:r>
              <w:rPr>
                <w:webHidden/>
              </w:rPr>
              <w:fldChar w:fldCharType="separate"/>
            </w:r>
            <w:r>
              <w:rPr>
                <w:webHidden/>
              </w:rPr>
              <w:t>- 1 -</w:t>
            </w:r>
            <w:r>
              <w:rPr>
                <w:webHidden/>
              </w:rPr>
              <w:fldChar w:fldCharType="end"/>
            </w:r>
          </w:hyperlink>
        </w:p>
        <w:p w14:paraId="2AC2DD3D" w14:textId="0323006F" w:rsidR="00CB0452" w:rsidRDefault="00CB0452">
          <w:pPr>
            <w:pStyle w:val="Spistreci1"/>
            <w:rPr>
              <w:rFonts w:asciiTheme="minorHAnsi" w:eastAsiaTheme="minorEastAsia" w:hAnsiTheme="minorHAnsi" w:cstheme="minorBidi"/>
              <w:b w:val="0"/>
              <w:sz w:val="22"/>
              <w:szCs w:val="22"/>
              <w:lang w:eastAsia="pl-PL"/>
            </w:rPr>
          </w:pPr>
          <w:hyperlink w:anchor="_Toc61214628" w:history="1">
            <w:r w:rsidRPr="00933E47">
              <w:rPr>
                <w:rStyle w:val="Hipercze"/>
                <w:shd w:val="clear" w:color="auto" w:fill="FFFFFF"/>
              </w:rPr>
              <w:t>Wstęp.</w:t>
            </w:r>
            <w:r>
              <w:rPr>
                <w:webHidden/>
              </w:rPr>
              <w:tab/>
            </w:r>
            <w:r>
              <w:rPr>
                <w:webHidden/>
              </w:rPr>
              <w:fldChar w:fldCharType="begin"/>
            </w:r>
            <w:r>
              <w:rPr>
                <w:webHidden/>
              </w:rPr>
              <w:instrText xml:space="preserve"> PAGEREF _Toc61214628 \h </w:instrText>
            </w:r>
            <w:r>
              <w:rPr>
                <w:webHidden/>
              </w:rPr>
            </w:r>
            <w:r>
              <w:rPr>
                <w:webHidden/>
              </w:rPr>
              <w:fldChar w:fldCharType="separate"/>
            </w:r>
            <w:r>
              <w:rPr>
                <w:webHidden/>
              </w:rPr>
              <w:t>- 5 -</w:t>
            </w:r>
            <w:r>
              <w:rPr>
                <w:webHidden/>
              </w:rPr>
              <w:fldChar w:fldCharType="end"/>
            </w:r>
          </w:hyperlink>
        </w:p>
        <w:p w14:paraId="10AE4966" w14:textId="1AA7E6E4" w:rsidR="00CB0452" w:rsidRDefault="00CB0452">
          <w:pPr>
            <w:pStyle w:val="Spistreci2"/>
            <w:tabs>
              <w:tab w:val="right" w:leader="dot" w:pos="9061"/>
            </w:tabs>
            <w:rPr>
              <w:rFonts w:asciiTheme="minorHAnsi" w:eastAsiaTheme="minorEastAsia" w:hAnsiTheme="minorHAnsi"/>
              <w:noProof/>
              <w:sz w:val="22"/>
              <w:lang w:eastAsia="pl-PL"/>
            </w:rPr>
          </w:pPr>
          <w:hyperlink w:anchor="_Toc61214629" w:history="1">
            <w:r w:rsidRPr="00933E47">
              <w:rPr>
                <w:rStyle w:val="Hipercze"/>
                <w:rFonts w:cs="Times New Roman"/>
                <w:noProof/>
              </w:rPr>
              <w:t>Uzasadnienie wyboru tematu</w:t>
            </w:r>
            <w:r>
              <w:rPr>
                <w:noProof/>
                <w:webHidden/>
              </w:rPr>
              <w:tab/>
            </w:r>
            <w:r>
              <w:rPr>
                <w:noProof/>
                <w:webHidden/>
              </w:rPr>
              <w:fldChar w:fldCharType="begin"/>
            </w:r>
            <w:r>
              <w:rPr>
                <w:noProof/>
                <w:webHidden/>
              </w:rPr>
              <w:instrText xml:space="preserve"> PAGEREF _Toc61214629 \h </w:instrText>
            </w:r>
            <w:r>
              <w:rPr>
                <w:noProof/>
                <w:webHidden/>
              </w:rPr>
            </w:r>
            <w:r>
              <w:rPr>
                <w:noProof/>
                <w:webHidden/>
              </w:rPr>
              <w:fldChar w:fldCharType="separate"/>
            </w:r>
            <w:r>
              <w:rPr>
                <w:noProof/>
                <w:webHidden/>
              </w:rPr>
              <w:t>- 5 -</w:t>
            </w:r>
            <w:r>
              <w:rPr>
                <w:noProof/>
                <w:webHidden/>
              </w:rPr>
              <w:fldChar w:fldCharType="end"/>
            </w:r>
          </w:hyperlink>
        </w:p>
        <w:p w14:paraId="09429889" w14:textId="741F31DC" w:rsidR="00CB0452" w:rsidRDefault="00CB0452">
          <w:pPr>
            <w:pStyle w:val="Spistreci2"/>
            <w:tabs>
              <w:tab w:val="right" w:leader="dot" w:pos="9061"/>
            </w:tabs>
            <w:rPr>
              <w:rFonts w:asciiTheme="minorHAnsi" w:eastAsiaTheme="minorEastAsia" w:hAnsiTheme="minorHAnsi"/>
              <w:noProof/>
              <w:sz w:val="22"/>
              <w:lang w:eastAsia="pl-PL"/>
            </w:rPr>
          </w:pPr>
          <w:hyperlink w:anchor="_Toc61214630" w:history="1">
            <w:r w:rsidRPr="00933E47">
              <w:rPr>
                <w:rStyle w:val="Hipercze"/>
                <w:rFonts w:cs="Times New Roman"/>
                <w:noProof/>
              </w:rPr>
              <w:t>Struktura pracy:</w:t>
            </w:r>
            <w:r>
              <w:rPr>
                <w:noProof/>
                <w:webHidden/>
              </w:rPr>
              <w:tab/>
            </w:r>
            <w:r>
              <w:rPr>
                <w:noProof/>
                <w:webHidden/>
              </w:rPr>
              <w:fldChar w:fldCharType="begin"/>
            </w:r>
            <w:r>
              <w:rPr>
                <w:noProof/>
                <w:webHidden/>
              </w:rPr>
              <w:instrText xml:space="preserve"> PAGEREF _Toc61214630 \h </w:instrText>
            </w:r>
            <w:r>
              <w:rPr>
                <w:noProof/>
                <w:webHidden/>
              </w:rPr>
            </w:r>
            <w:r>
              <w:rPr>
                <w:noProof/>
                <w:webHidden/>
              </w:rPr>
              <w:fldChar w:fldCharType="separate"/>
            </w:r>
            <w:r>
              <w:rPr>
                <w:noProof/>
                <w:webHidden/>
              </w:rPr>
              <w:t>- 7 -</w:t>
            </w:r>
            <w:r>
              <w:rPr>
                <w:noProof/>
                <w:webHidden/>
              </w:rPr>
              <w:fldChar w:fldCharType="end"/>
            </w:r>
          </w:hyperlink>
        </w:p>
        <w:p w14:paraId="5AE28860" w14:textId="68EB9F14" w:rsidR="00CB0452" w:rsidRDefault="00CB0452">
          <w:pPr>
            <w:pStyle w:val="Spistreci1"/>
            <w:rPr>
              <w:rFonts w:asciiTheme="minorHAnsi" w:eastAsiaTheme="minorEastAsia" w:hAnsiTheme="minorHAnsi" w:cstheme="minorBidi"/>
              <w:b w:val="0"/>
              <w:sz w:val="22"/>
              <w:szCs w:val="22"/>
              <w:lang w:eastAsia="pl-PL"/>
            </w:rPr>
          </w:pPr>
          <w:hyperlink w:anchor="_Toc61214631" w:history="1">
            <w:r w:rsidRPr="00933E47">
              <w:rPr>
                <w:rStyle w:val="Hipercze"/>
              </w:rPr>
              <w:t>I. Pojęcie ryzyka bankructwa przedsiębiorstwa i korzyści z jego predykcji</w:t>
            </w:r>
            <w:r>
              <w:rPr>
                <w:webHidden/>
              </w:rPr>
              <w:tab/>
            </w:r>
            <w:r>
              <w:rPr>
                <w:webHidden/>
              </w:rPr>
              <w:fldChar w:fldCharType="begin"/>
            </w:r>
            <w:r>
              <w:rPr>
                <w:webHidden/>
              </w:rPr>
              <w:instrText xml:space="preserve"> PAGEREF _Toc61214631 \h </w:instrText>
            </w:r>
            <w:r>
              <w:rPr>
                <w:webHidden/>
              </w:rPr>
            </w:r>
            <w:r>
              <w:rPr>
                <w:webHidden/>
              </w:rPr>
              <w:fldChar w:fldCharType="separate"/>
            </w:r>
            <w:r>
              <w:rPr>
                <w:webHidden/>
              </w:rPr>
              <w:t>- 9 -</w:t>
            </w:r>
            <w:r>
              <w:rPr>
                <w:webHidden/>
              </w:rPr>
              <w:fldChar w:fldCharType="end"/>
            </w:r>
          </w:hyperlink>
        </w:p>
        <w:p w14:paraId="3F96A517" w14:textId="4E0356AD" w:rsidR="00CB0452" w:rsidRDefault="00CB0452">
          <w:pPr>
            <w:pStyle w:val="Spistreci2"/>
            <w:tabs>
              <w:tab w:val="right" w:leader="dot" w:pos="9061"/>
            </w:tabs>
            <w:rPr>
              <w:rFonts w:asciiTheme="minorHAnsi" w:eastAsiaTheme="minorEastAsia" w:hAnsiTheme="minorHAnsi"/>
              <w:noProof/>
              <w:sz w:val="22"/>
              <w:lang w:eastAsia="pl-PL"/>
            </w:rPr>
          </w:pPr>
          <w:hyperlink w:anchor="_Toc61214632" w:history="1">
            <w:r w:rsidRPr="00933E47">
              <w:rPr>
                <w:rStyle w:val="Hipercze"/>
                <w:rFonts w:cs="Times New Roman"/>
                <w:noProof/>
              </w:rPr>
              <w:t>I.1 Pojęcie ryzyka w kontekście prowadzenia działalności gospodarczej.</w:t>
            </w:r>
            <w:r>
              <w:rPr>
                <w:noProof/>
                <w:webHidden/>
              </w:rPr>
              <w:tab/>
            </w:r>
            <w:r>
              <w:rPr>
                <w:noProof/>
                <w:webHidden/>
              </w:rPr>
              <w:fldChar w:fldCharType="begin"/>
            </w:r>
            <w:r>
              <w:rPr>
                <w:noProof/>
                <w:webHidden/>
              </w:rPr>
              <w:instrText xml:space="preserve"> PAGEREF _Toc61214632 \h </w:instrText>
            </w:r>
            <w:r>
              <w:rPr>
                <w:noProof/>
                <w:webHidden/>
              </w:rPr>
            </w:r>
            <w:r>
              <w:rPr>
                <w:noProof/>
                <w:webHidden/>
              </w:rPr>
              <w:fldChar w:fldCharType="separate"/>
            </w:r>
            <w:r>
              <w:rPr>
                <w:noProof/>
                <w:webHidden/>
              </w:rPr>
              <w:t>- 9 -</w:t>
            </w:r>
            <w:r>
              <w:rPr>
                <w:noProof/>
                <w:webHidden/>
              </w:rPr>
              <w:fldChar w:fldCharType="end"/>
            </w:r>
          </w:hyperlink>
        </w:p>
        <w:p w14:paraId="11483182" w14:textId="72A6B64D" w:rsidR="00CB0452" w:rsidRDefault="00CB0452">
          <w:pPr>
            <w:pStyle w:val="Spistreci2"/>
            <w:tabs>
              <w:tab w:val="right" w:leader="dot" w:pos="9061"/>
            </w:tabs>
            <w:rPr>
              <w:rFonts w:asciiTheme="minorHAnsi" w:eastAsiaTheme="minorEastAsia" w:hAnsiTheme="minorHAnsi"/>
              <w:noProof/>
              <w:sz w:val="22"/>
              <w:lang w:eastAsia="pl-PL"/>
            </w:rPr>
          </w:pPr>
          <w:hyperlink w:anchor="_Toc61214633" w:history="1">
            <w:r w:rsidRPr="00933E47">
              <w:rPr>
                <w:rStyle w:val="Hipercze"/>
                <w:rFonts w:cs="Times New Roman"/>
                <w:noProof/>
              </w:rPr>
              <w:t>I.2 Pojęcie upadłości i likwidacji przedsiębiorstwa.</w:t>
            </w:r>
            <w:r>
              <w:rPr>
                <w:noProof/>
                <w:webHidden/>
              </w:rPr>
              <w:tab/>
            </w:r>
            <w:r>
              <w:rPr>
                <w:noProof/>
                <w:webHidden/>
              </w:rPr>
              <w:fldChar w:fldCharType="begin"/>
            </w:r>
            <w:r>
              <w:rPr>
                <w:noProof/>
                <w:webHidden/>
              </w:rPr>
              <w:instrText xml:space="preserve"> PAGEREF _Toc61214633 \h </w:instrText>
            </w:r>
            <w:r>
              <w:rPr>
                <w:noProof/>
                <w:webHidden/>
              </w:rPr>
            </w:r>
            <w:r>
              <w:rPr>
                <w:noProof/>
                <w:webHidden/>
              </w:rPr>
              <w:fldChar w:fldCharType="separate"/>
            </w:r>
            <w:r>
              <w:rPr>
                <w:noProof/>
                <w:webHidden/>
              </w:rPr>
              <w:t>- 11 -</w:t>
            </w:r>
            <w:r>
              <w:rPr>
                <w:noProof/>
                <w:webHidden/>
              </w:rPr>
              <w:fldChar w:fldCharType="end"/>
            </w:r>
          </w:hyperlink>
        </w:p>
        <w:p w14:paraId="19A00D03" w14:textId="07EC1C51" w:rsidR="00CB0452" w:rsidRDefault="00CB0452">
          <w:pPr>
            <w:pStyle w:val="Spistreci2"/>
            <w:tabs>
              <w:tab w:val="right" w:leader="dot" w:pos="9061"/>
            </w:tabs>
            <w:rPr>
              <w:rFonts w:asciiTheme="minorHAnsi" w:eastAsiaTheme="minorEastAsia" w:hAnsiTheme="minorHAnsi"/>
              <w:noProof/>
              <w:sz w:val="22"/>
              <w:lang w:eastAsia="pl-PL"/>
            </w:rPr>
          </w:pPr>
          <w:hyperlink w:anchor="_Toc61214634" w:history="1">
            <w:r w:rsidRPr="00933E47">
              <w:rPr>
                <w:rStyle w:val="Hipercze"/>
                <w:rFonts w:cs="Times New Roman"/>
                <w:noProof/>
              </w:rPr>
              <w:t>I.3 Wymogi regulacyjne odnośnie weryfikacji kontrahentów w Polsce.</w:t>
            </w:r>
            <w:r>
              <w:rPr>
                <w:noProof/>
                <w:webHidden/>
              </w:rPr>
              <w:tab/>
            </w:r>
            <w:r>
              <w:rPr>
                <w:noProof/>
                <w:webHidden/>
              </w:rPr>
              <w:fldChar w:fldCharType="begin"/>
            </w:r>
            <w:r>
              <w:rPr>
                <w:noProof/>
                <w:webHidden/>
              </w:rPr>
              <w:instrText xml:space="preserve"> PAGEREF _Toc61214634 \h </w:instrText>
            </w:r>
            <w:r>
              <w:rPr>
                <w:noProof/>
                <w:webHidden/>
              </w:rPr>
            </w:r>
            <w:r>
              <w:rPr>
                <w:noProof/>
                <w:webHidden/>
              </w:rPr>
              <w:fldChar w:fldCharType="separate"/>
            </w:r>
            <w:r>
              <w:rPr>
                <w:noProof/>
                <w:webHidden/>
              </w:rPr>
              <w:t>- 14 -</w:t>
            </w:r>
            <w:r>
              <w:rPr>
                <w:noProof/>
                <w:webHidden/>
              </w:rPr>
              <w:fldChar w:fldCharType="end"/>
            </w:r>
          </w:hyperlink>
        </w:p>
        <w:p w14:paraId="2C1FFC31" w14:textId="7383E6A0" w:rsidR="00CB0452" w:rsidRDefault="00CB0452">
          <w:pPr>
            <w:pStyle w:val="Spistreci2"/>
            <w:tabs>
              <w:tab w:val="right" w:leader="dot" w:pos="9061"/>
            </w:tabs>
            <w:rPr>
              <w:rFonts w:asciiTheme="minorHAnsi" w:eastAsiaTheme="minorEastAsia" w:hAnsiTheme="minorHAnsi"/>
              <w:noProof/>
              <w:sz w:val="22"/>
              <w:lang w:eastAsia="pl-PL"/>
            </w:rPr>
          </w:pPr>
          <w:hyperlink w:anchor="_Toc61214635" w:history="1">
            <w:r w:rsidRPr="00933E47">
              <w:rPr>
                <w:rStyle w:val="Hipercze"/>
                <w:rFonts w:cs="Times New Roman"/>
                <w:noProof/>
              </w:rPr>
              <w:t>I.4 Korzyści z możliwości automatycznej predykcji bankructwa przedsiębiorstw.</w:t>
            </w:r>
            <w:r>
              <w:rPr>
                <w:noProof/>
                <w:webHidden/>
              </w:rPr>
              <w:tab/>
            </w:r>
            <w:r>
              <w:rPr>
                <w:noProof/>
                <w:webHidden/>
              </w:rPr>
              <w:fldChar w:fldCharType="begin"/>
            </w:r>
            <w:r>
              <w:rPr>
                <w:noProof/>
                <w:webHidden/>
              </w:rPr>
              <w:instrText xml:space="preserve"> PAGEREF _Toc61214635 \h </w:instrText>
            </w:r>
            <w:r>
              <w:rPr>
                <w:noProof/>
                <w:webHidden/>
              </w:rPr>
            </w:r>
            <w:r>
              <w:rPr>
                <w:noProof/>
                <w:webHidden/>
              </w:rPr>
              <w:fldChar w:fldCharType="separate"/>
            </w:r>
            <w:r>
              <w:rPr>
                <w:noProof/>
                <w:webHidden/>
              </w:rPr>
              <w:t>- 17 -</w:t>
            </w:r>
            <w:r>
              <w:rPr>
                <w:noProof/>
                <w:webHidden/>
              </w:rPr>
              <w:fldChar w:fldCharType="end"/>
            </w:r>
          </w:hyperlink>
        </w:p>
        <w:p w14:paraId="621A9DF2" w14:textId="415DBABA" w:rsidR="00CB0452" w:rsidRDefault="00CB0452">
          <w:pPr>
            <w:pStyle w:val="Spistreci1"/>
            <w:rPr>
              <w:rFonts w:asciiTheme="minorHAnsi" w:eastAsiaTheme="minorEastAsia" w:hAnsiTheme="minorHAnsi" w:cstheme="minorBidi"/>
              <w:b w:val="0"/>
              <w:sz w:val="22"/>
              <w:szCs w:val="22"/>
              <w:lang w:eastAsia="pl-PL"/>
            </w:rPr>
          </w:pPr>
          <w:hyperlink w:anchor="_Toc61214636" w:history="1">
            <w:r w:rsidRPr="00933E47">
              <w:rPr>
                <w:rStyle w:val="Hipercze"/>
              </w:rPr>
              <w:t>II. Omówienie danych wykorzystanych do przeprowadzenia analizy.</w:t>
            </w:r>
            <w:r>
              <w:rPr>
                <w:webHidden/>
              </w:rPr>
              <w:tab/>
            </w:r>
            <w:r>
              <w:rPr>
                <w:webHidden/>
              </w:rPr>
              <w:fldChar w:fldCharType="begin"/>
            </w:r>
            <w:r>
              <w:rPr>
                <w:webHidden/>
              </w:rPr>
              <w:instrText xml:space="preserve"> PAGEREF _Toc61214636 \h </w:instrText>
            </w:r>
            <w:r>
              <w:rPr>
                <w:webHidden/>
              </w:rPr>
            </w:r>
            <w:r>
              <w:rPr>
                <w:webHidden/>
              </w:rPr>
              <w:fldChar w:fldCharType="separate"/>
            </w:r>
            <w:r>
              <w:rPr>
                <w:webHidden/>
              </w:rPr>
              <w:t>- 22 -</w:t>
            </w:r>
            <w:r>
              <w:rPr>
                <w:webHidden/>
              </w:rPr>
              <w:fldChar w:fldCharType="end"/>
            </w:r>
          </w:hyperlink>
        </w:p>
        <w:p w14:paraId="322A24F5" w14:textId="329C889B" w:rsidR="00CB0452" w:rsidRDefault="00CB0452">
          <w:pPr>
            <w:pStyle w:val="Spistreci2"/>
            <w:tabs>
              <w:tab w:val="right" w:leader="dot" w:pos="9061"/>
            </w:tabs>
            <w:rPr>
              <w:rFonts w:asciiTheme="minorHAnsi" w:eastAsiaTheme="minorEastAsia" w:hAnsiTheme="minorHAnsi"/>
              <w:noProof/>
              <w:sz w:val="22"/>
              <w:lang w:eastAsia="pl-PL"/>
            </w:rPr>
          </w:pPr>
          <w:hyperlink w:anchor="_Toc61214637" w:history="1">
            <w:r w:rsidRPr="00933E47">
              <w:rPr>
                <w:rStyle w:val="Hipercze"/>
                <w:rFonts w:cs="Times New Roman"/>
                <w:noProof/>
              </w:rPr>
              <w:t>II.1 Źródła danych wykorzystane do przeprowadzenia analizy.</w:t>
            </w:r>
            <w:r>
              <w:rPr>
                <w:noProof/>
                <w:webHidden/>
              </w:rPr>
              <w:tab/>
            </w:r>
            <w:r>
              <w:rPr>
                <w:noProof/>
                <w:webHidden/>
              </w:rPr>
              <w:fldChar w:fldCharType="begin"/>
            </w:r>
            <w:r>
              <w:rPr>
                <w:noProof/>
                <w:webHidden/>
              </w:rPr>
              <w:instrText xml:space="preserve"> PAGEREF _Toc61214637 \h </w:instrText>
            </w:r>
            <w:r>
              <w:rPr>
                <w:noProof/>
                <w:webHidden/>
              </w:rPr>
            </w:r>
            <w:r>
              <w:rPr>
                <w:noProof/>
                <w:webHidden/>
              </w:rPr>
              <w:fldChar w:fldCharType="separate"/>
            </w:r>
            <w:r>
              <w:rPr>
                <w:noProof/>
                <w:webHidden/>
              </w:rPr>
              <w:t>- 22 -</w:t>
            </w:r>
            <w:r>
              <w:rPr>
                <w:noProof/>
                <w:webHidden/>
              </w:rPr>
              <w:fldChar w:fldCharType="end"/>
            </w:r>
          </w:hyperlink>
        </w:p>
        <w:p w14:paraId="15D88EE4" w14:textId="435A4688" w:rsidR="00CB0452" w:rsidRDefault="00CB0452">
          <w:pPr>
            <w:pStyle w:val="Spistreci2"/>
            <w:tabs>
              <w:tab w:val="right" w:leader="dot" w:pos="9061"/>
            </w:tabs>
            <w:rPr>
              <w:rFonts w:asciiTheme="minorHAnsi" w:eastAsiaTheme="minorEastAsia" w:hAnsiTheme="minorHAnsi"/>
              <w:noProof/>
              <w:sz w:val="22"/>
              <w:lang w:eastAsia="pl-PL"/>
            </w:rPr>
          </w:pPr>
          <w:hyperlink w:anchor="_Toc61214638" w:history="1">
            <w:r w:rsidRPr="00933E47">
              <w:rPr>
                <w:rStyle w:val="Hipercze"/>
                <w:rFonts w:cs="Times New Roman"/>
                <w:noProof/>
              </w:rPr>
              <w:t>II.2 Struktura i przekształcenia zebranych danych.</w:t>
            </w:r>
            <w:r>
              <w:rPr>
                <w:noProof/>
                <w:webHidden/>
              </w:rPr>
              <w:tab/>
            </w:r>
            <w:r>
              <w:rPr>
                <w:noProof/>
                <w:webHidden/>
              </w:rPr>
              <w:fldChar w:fldCharType="begin"/>
            </w:r>
            <w:r>
              <w:rPr>
                <w:noProof/>
                <w:webHidden/>
              </w:rPr>
              <w:instrText xml:space="preserve"> PAGEREF _Toc61214638 \h </w:instrText>
            </w:r>
            <w:r>
              <w:rPr>
                <w:noProof/>
                <w:webHidden/>
              </w:rPr>
            </w:r>
            <w:r>
              <w:rPr>
                <w:noProof/>
                <w:webHidden/>
              </w:rPr>
              <w:fldChar w:fldCharType="separate"/>
            </w:r>
            <w:r>
              <w:rPr>
                <w:noProof/>
                <w:webHidden/>
              </w:rPr>
              <w:t>- 25 -</w:t>
            </w:r>
            <w:r>
              <w:rPr>
                <w:noProof/>
                <w:webHidden/>
              </w:rPr>
              <w:fldChar w:fldCharType="end"/>
            </w:r>
          </w:hyperlink>
        </w:p>
        <w:p w14:paraId="2FEE8A09" w14:textId="615AED0D" w:rsidR="00CB0452" w:rsidRDefault="00CB0452">
          <w:pPr>
            <w:pStyle w:val="Spistreci2"/>
            <w:tabs>
              <w:tab w:val="right" w:leader="dot" w:pos="9061"/>
            </w:tabs>
            <w:rPr>
              <w:rFonts w:asciiTheme="minorHAnsi" w:eastAsiaTheme="minorEastAsia" w:hAnsiTheme="minorHAnsi"/>
              <w:noProof/>
              <w:sz w:val="22"/>
              <w:lang w:eastAsia="pl-PL"/>
            </w:rPr>
          </w:pPr>
          <w:hyperlink w:anchor="_Toc61214639" w:history="1">
            <w:r w:rsidRPr="00933E47">
              <w:rPr>
                <w:rStyle w:val="Hipercze"/>
                <w:rFonts w:cs="Times New Roman"/>
                <w:noProof/>
              </w:rPr>
              <w:t>II.3 Analiza eksploracyjna wykorzystanych danych.</w:t>
            </w:r>
            <w:r>
              <w:rPr>
                <w:noProof/>
                <w:webHidden/>
              </w:rPr>
              <w:tab/>
            </w:r>
            <w:r>
              <w:rPr>
                <w:noProof/>
                <w:webHidden/>
              </w:rPr>
              <w:fldChar w:fldCharType="begin"/>
            </w:r>
            <w:r>
              <w:rPr>
                <w:noProof/>
                <w:webHidden/>
              </w:rPr>
              <w:instrText xml:space="preserve"> PAGEREF _Toc61214639 \h </w:instrText>
            </w:r>
            <w:r>
              <w:rPr>
                <w:noProof/>
                <w:webHidden/>
              </w:rPr>
            </w:r>
            <w:r>
              <w:rPr>
                <w:noProof/>
                <w:webHidden/>
              </w:rPr>
              <w:fldChar w:fldCharType="separate"/>
            </w:r>
            <w:r>
              <w:rPr>
                <w:noProof/>
                <w:webHidden/>
              </w:rPr>
              <w:t>- 31 -</w:t>
            </w:r>
            <w:r>
              <w:rPr>
                <w:noProof/>
                <w:webHidden/>
              </w:rPr>
              <w:fldChar w:fldCharType="end"/>
            </w:r>
          </w:hyperlink>
        </w:p>
        <w:p w14:paraId="6D324080" w14:textId="66107169" w:rsidR="00CB0452" w:rsidRDefault="00CB0452">
          <w:pPr>
            <w:pStyle w:val="Spistreci2"/>
            <w:tabs>
              <w:tab w:val="right" w:leader="dot" w:pos="9061"/>
            </w:tabs>
            <w:rPr>
              <w:rFonts w:asciiTheme="minorHAnsi" w:eastAsiaTheme="minorEastAsia" w:hAnsiTheme="minorHAnsi"/>
              <w:noProof/>
              <w:sz w:val="22"/>
              <w:lang w:eastAsia="pl-PL"/>
            </w:rPr>
          </w:pPr>
          <w:hyperlink w:anchor="_Toc61214640" w:history="1">
            <w:r w:rsidRPr="00933E47">
              <w:rPr>
                <w:rStyle w:val="Hipercze"/>
                <w:rFonts w:cs="Times New Roman"/>
                <w:noProof/>
              </w:rPr>
              <w:t>II.4 Wybór zmiennych najlepiej wyjaśniających zjawisko zakończenia działalności gospodarczej.</w:t>
            </w:r>
            <w:r>
              <w:rPr>
                <w:noProof/>
                <w:webHidden/>
              </w:rPr>
              <w:tab/>
            </w:r>
            <w:r>
              <w:rPr>
                <w:noProof/>
                <w:webHidden/>
              </w:rPr>
              <w:fldChar w:fldCharType="begin"/>
            </w:r>
            <w:r>
              <w:rPr>
                <w:noProof/>
                <w:webHidden/>
              </w:rPr>
              <w:instrText xml:space="preserve"> PAGEREF _Toc61214640 \h </w:instrText>
            </w:r>
            <w:r>
              <w:rPr>
                <w:noProof/>
                <w:webHidden/>
              </w:rPr>
            </w:r>
            <w:r>
              <w:rPr>
                <w:noProof/>
                <w:webHidden/>
              </w:rPr>
              <w:fldChar w:fldCharType="separate"/>
            </w:r>
            <w:r>
              <w:rPr>
                <w:noProof/>
                <w:webHidden/>
              </w:rPr>
              <w:t>- 43 -</w:t>
            </w:r>
            <w:r>
              <w:rPr>
                <w:noProof/>
                <w:webHidden/>
              </w:rPr>
              <w:fldChar w:fldCharType="end"/>
            </w:r>
          </w:hyperlink>
        </w:p>
        <w:p w14:paraId="3BE16869" w14:textId="2BA26273" w:rsidR="00CB0452" w:rsidRDefault="00CB0452">
          <w:pPr>
            <w:pStyle w:val="Spistreci1"/>
            <w:rPr>
              <w:rFonts w:asciiTheme="minorHAnsi" w:eastAsiaTheme="minorEastAsia" w:hAnsiTheme="minorHAnsi" w:cstheme="minorBidi"/>
              <w:b w:val="0"/>
              <w:sz w:val="22"/>
              <w:szCs w:val="22"/>
              <w:lang w:eastAsia="pl-PL"/>
            </w:rPr>
          </w:pPr>
          <w:hyperlink w:anchor="_Toc61214641" w:history="1">
            <w:r w:rsidRPr="00933E47">
              <w:rPr>
                <w:rStyle w:val="Hipercze"/>
              </w:rPr>
              <w:t>III. Analiza właściwa. Budowa i ocena jakości modeli klasyfikacyjnych.</w:t>
            </w:r>
            <w:r>
              <w:rPr>
                <w:webHidden/>
              </w:rPr>
              <w:tab/>
            </w:r>
            <w:r>
              <w:rPr>
                <w:webHidden/>
              </w:rPr>
              <w:fldChar w:fldCharType="begin"/>
            </w:r>
            <w:r>
              <w:rPr>
                <w:webHidden/>
              </w:rPr>
              <w:instrText xml:space="preserve"> PAGEREF _Toc61214641 \h </w:instrText>
            </w:r>
            <w:r>
              <w:rPr>
                <w:webHidden/>
              </w:rPr>
            </w:r>
            <w:r>
              <w:rPr>
                <w:webHidden/>
              </w:rPr>
              <w:fldChar w:fldCharType="separate"/>
            </w:r>
            <w:r>
              <w:rPr>
                <w:webHidden/>
              </w:rPr>
              <w:t>- 45 -</w:t>
            </w:r>
            <w:r>
              <w:rPr>
                <w:webHidden/>
              </w:rPr>
              <w:fldChar w:fldCharType="end"/>
            </w:r>
          </w:hyperlink>
        </w:p>
        <w:p w14:paraId="516F4C00" w14:textId="0B637090" w:rsidR="00CB0452" w:rsidRDefault="00CB0452">
          <w:pPr>
            <w:pStyle w:val="Spistreci2"/>
            <w:tabs>
              <w:tab w:val="right" w:leader="dot" w:pos="9061"/>
            </w:tabs>
            <w:rPr>
              <w:rFonts w:asciiTheme="minorHAnsi" w:eastAsiaTheme="minorEastAsia" w:hAnsiTheme="minorHAnsi"/>
              <w:noProof/>
              <w:sz w:val="22"/>
              <w:lang w:eastAsia="pl-PL"/>
            </w:rPr>
          </w:pPr>
          <w:hyperlink w:anchor="_Toc61214642" w:history="1">
            <w:r w:rsidRPr="00933E47">
              <w:rPr>
                <w:rStyle w:val="Hipercze"/>
                <w:rFonts w:cs="Times New Roman"/>
                <w:noProof/>
              </w:rPr>
              <w:t>III.1 Model klasyfikacyjny zbudowany na podstawie algorytmu Gradient Boosted Machine.</w:t>
            </w:r>
            <w:r>
              <w:rPr>
                <w:noProof/>
                <w:webHidden/>
              </w:rPr>
              <w:tab/>
            </w:r>
            <w:r>
              <w:rPr>
                <w:noProof/>
                <w:webHidden/>
              </w:rPr>
              <w:fldChar w:fldCharType="begin"/>
            </w:r>
            <w:r>
              <w:rPr>
                <w:noProof/>
                <w:webHidden/>
              </w:rPr>
              <w:instrText xml:space="preserve"> PAGEREF _Toc61214642 \h </w:instrText>
            </w:r>
            <w:r>
              <w:rPr>
                <w:noProof/>
                <w:webHidden/>
              </w:rPr>
            </w:r>
            <w:r>
              <w:rPr>
                <w:noProof/>
                <w:webHidden/>
              </w:rPr>
              <w:fldChar w:fldCharType="separate"/>
            </w:r>
            <w:r>
              <w:rPr>
                <w:noProof/>
                <w:webHidden/>
              </w:rPr>
              <w:t>- 45 -</w:t>
            </w:r>
            <w:r>
              <w:rPr>
                <w:noProof/>
                <w:webHidden/>
              </w:rPr>
              <w:fldChar w:fldCharType="end"/>
            </w:r>
          </w:hyperlink>
        </w:p>
        <w:p w14:paraId="35C37D42" w14:textId="65877483" w:rsidR="00CB0452" w:rsidRDefault="00CB0452">
          <w:pPr>
            <w:pStyle w:val="Spistreci2"/>
            <w:tabs>
              <w:tab w:val="right" w:leader="dot" w:pos="9061"/>
            </w:tabs>
            <w:rPr>
              <w:rFonts w:asciiTheme="minorHAnsi" w:eastAsiaTheme="minorEastAsia" w:hAnsiTheme="minorHAnsi"/>
              <w:noProof/>
              <w:sz w:val="22"/>
              <w:lang w:eastAsia="pl-PL"/>
            </w:rPr>
          </w:pPr>
          <w:hyperlink w:anchor="_Toc61214643" w:history="1">
            <w:r w:rsidRPr="00933E47">
              <w:rPr>
                <w:rStyle w:val="Hipercze"/>
                <w:rFonts w:cs="Times New Roman"/>
                <w:noProof/>
              </w:rPr>
              <w:t>III.2 Model klasyfikacyjny zbudowany na podstawie algorytmu lasów losowych.</w:t>
            </w:r>
            <w:r>
              <w:rPr>
                <w:noProof/>
                <w:webHidden/>
              </w:rPr>
              <w:tab/>
            </w:r>
            <w:r>
              <w:rPr>
                <w:noProof/>
                <w:webHidden/>
              </w:rPr>
              <w:fldChar w:fldCharType="begin"/>
            </w:r>
            <w:r>
              <w:rPr>
                <w:noProof/>
                <w:webHidden/>
              </w:rPr>
              <w:instrText xml:space="preserve"> PAGEREF _Toc61214643 \h </w:instrText>
            </w:r>
            <w:r>
              <w:rPr>
                <w:noProof/>
                <w:webHidden/>
              </w:rPr>
            </w:r>
            <w:r>
              <w:rPr>
                <w:noProof/>
                <w:webHidden/>
              </w:rPr>
              <w:fldChar w:fldCharType="separate"/>
            </w:r>
            <w:r>
              <w:rPr>
                <w:noProof/>
                <w:webHidden/>
              </w:rPr>
              <w:t>- 46 -</w:t>
            </w:r>
            <w:r>
              <w:rPr>
                <w:noProof/>
                <w:webHidden/>
              </w:rPr>
              <w:fldChar w:fldCharType="end"/>
            </w:r>
          </w:hyperlink>
        </w:p>
        <w:p w14:paraId="27A91DFA" w14:textId="6E079657" w:rsidR="00CB0452" w:rsidRDefault="00CB0452">
          <w:pPr>
            <w:pStyle w:val="Spistreci2"/>
            <w:tabs>
              <w:tab w:val="right" w:leader="dot" w:pos="9061"/>
            </w:tabs>
            <w:rPr>
              <w:rFonts w:asciiTheme="minorHAnsi" w:eastAsiaTheme="minorEastAsia" w:hAnsiTheme="minorHAnsi"/>
              <w:noProof/>
              <w:sz w:val="22"/>
              <w:lang w:eastAsia="pl-PL"/>
            </w:rPr>
          </w:pPr>
          <w:hyperlink w:anchor="_Toc61214644" w:history="1">
            <w:r w:rsidRPr="00933E47">
              <w:rPr>
                <w:rStyle w:val="Hipercze"/>
                <w:noProof/>
              </w:rPr>
              <w:t xml:space="preserve">III.3 </w:t>
            </w:r>
            <w:r w:rsidRPr="00933E47">
              <w:rPr>
                <w:rStyle w:val="Hipercze"/>
                <w:rFonts w:cs="Times New Roman"/>
                <w:noProof/>
              </w:rPr>
              <w:t>Model klasyfikacyjny zbudowany na podstawie algorytmu sieci neuronowych</w:t>
            </w:r>
            <w:r w:rsidRPr="00933E47">
              <w:rPr>
                <w:rStyle w:val="Hipercze"/>
                <w:noProof/>
              </w:rPr>
              <w:t>.</w:t>
            </w:r>
            <w:r>
              <w:rPr>
                <w:noProof/>
                <w:webHidden/>
              </w:rPr>
              <w:tab/>
            </w:r>
            <w:r>
              <w:rPr>
                <w:noProof/>
                <w:webHidden/>
              </w:rPr>
              <w:fldChar w:fldCharType="begin"/>
            </w:r>
            <w:r>
              <w:rPr>
                <w:noProof/>
                <w:webHidden/>
              </w:rPr>
              <w:instrText xml:space="preserve"> PAGEREF _Toc61214644 \h </w:instrText>
            </w:r>
            <w:r>
              <w:rPr>
                <w:noProof/>
                <w:webHidden/>
              </w:rPr>
            </w:r>
            <w:r>
              <w:rPr>
                <w:noProof/>
                <w:webHidden/>
              </w:rPr>
              <w:fldChar w:fldCharType="separate"/>
            </w:r>
            <w:r>
              <w:rPr>
                <w:noProof/>
                <w:webHidden/>
              </w:rPr>
              <w:t>- 47 -</w:t>
            </w:r>
            <w:r>
              <w:rPr>
                <w:noProof/>
                <w:webHidden/>
              </w:rPr>
              <w:fldChar w:fldCharType="end"/>
            </w:r>
          </w:hyperlink>
        </w:p>
        <w:p w14:paraId="1DEFC0DC" w14:textId="1FD8A904" w:rsidR="00CB0452" w:rsidRDefault="00CB0452">
          <w:pPr>
            <w:pStyle w:val="Spistreci2"/>
            <w:tabs>
              <w:tab w:val="right" w:leader="dot" w:pos="9061"/>
            </w:tabs>
            <w:rPr>
              <w:rFonts w:asciiTheme="minorHAnsi" w:eastAsiaTheme="minorEastAsia" w:hAnsiTheme="minorHAnsi"/>
              <w:noProof/>
              <w:sz w:val="22"/>
              <w:lang w:eastAsia="pl-PL"/>
            </w:rPr>
          </w:pPr>
          <w:hyperlink w:anchor="_Toc61214645" w:history="1">
            <w:r w:rsidRPr="00933E47">
              <w:rPr>
                <w:rStyle w:val="Hipercze"/>
                <w:noProof/>
              </w:rPr>
              <w:t>III.4 Porównanie i ocena jakości zbudowanych modeli klasyfikacyjnych</w:t>
            </w:r>
            <w:r>
              <w:rPr>
                <w:noProof/>
                <w:webHidden/>
              </w:rPr>
              <w:tab/>
            </w:r>
            <w:r>
              <w:rPr>
                <w:noProof/>
                <w:webHidden/>
              </w:rPr>
              <w:fldChar w:fldCharType="begin"/>
            </w:r>
            <w:r>
              <w:rPr>
                <w:noProof/>
                <w:webHidden/>
              </w:rPr>
              <w:instrText xml:space="preserve"> PAGEREF _Toc61214645 \h </w:instrText>
            </w:r>
            <w:r>
              <w:rPr>
                <w:noProof/>
                <w:webHidden/>
              </w:rPr>
            </w:r>
            <w:r>
              <w:rPr>
                <w:noProof/>
                <w:webHidden/>
              </w:rPr>
              <w:fldChar w:fldCharType="separate"/>
            </w:r>
            <w:r>
              <w:rPr>
                <w:noProof/>
                <w:webHidden/>
              </w:rPr>
              <w:t>- 47 -</w:t>
            </w:r>
            <w:r>
              <w:rPr>
                <w:noProof/>
                <w:webHidden/>
              </w:rPr>
              <w:fldChar w:fldCharType="end"/>
            </w:r>
          </w:hyperlink>
        </w:p>
        <w:p w14:paraId="11C684E0" w14:textId="6B9F9F91" w:rsidR="00CB0452" w:rsidRDefault="00CB0452">
          <w:pPr>
            <w:pStyle w:val="Spistreci2"/>
            <w:tabs>
              <w:tab w:val="right" w:leader="dot" w:pos="9061"/>
            </w:tabs>
            <w:rPr>
              <w:rFonts w:asciiTheme="minorHAnsi" w:eastAsiaTheme="minorEastAsia" w:hAnsiTheme="minorHAnsi"/>
              <w:noProof/>
              <w:sz w:val="22"/>
              <w:lang w:eastAsia="pl-PL"/>
            </w:rPr>
          </w:pPr>
          <w:hyperlink w:anchor="_Toc61214646" w:history="1">
            <w:r w:rsidRPr="00933E47">
              <w:rPr>
                <w:rStyle w:val="Hipercze"/>
                <w:noProof/>
              </w:rPr>
              <w:t>III.5 Interpretacja uzyskanych wyników i wyciągnięcie wniosków.</w:t>
            </w:r>
            <w:r>
              <w:rPr>
                <w:noProof/>
                <w:webHidden/>
              </w:rPr>
              <w:tab/>
            </w:r>
            <w:r>
              <w:rPr>
                <w:noProof/>
                <w:webHidden/>
              </w:rPr>
              <w:fldChar w:fldCharType="begin"/>
            </w:r>
            <w:r>
              <w:rPr>
                <w:noProof/>
                <w:webHidden/>
              </w:rPr>
              <w:instrText xml:space="preserve"> PAGEREF _Toc61214646 \h </w:instrText>
            </w:r>
            <w:r>
              <w:rPr>
                <w:noProof/>
                <w:webHidden/>
              </w:rPr>
            </w:r>
            <w:r>
              <w:rPr>
                <w:noProof/>
                <w:webHidden/>
              </w:rPr>
              <w:fldChar w:fldCharType="separate"/>
            </w:r>
            <w:r>
              <w:rPr>
                <w:noProof/>
                <w:webHidden/>
              </w:rPr>
              <w:t>- 47 -</w:t>
            </w:r>
            <w:r>
              <w:rPr>
                <w:noProof/>
                <w:webHidden/>
              </w:rPr>
              <w:fldChar w:fldCharType="end"/>
            </w:r>
          </w:hyperlink>
        </w:p>
        <w:p w14:paraId="07E44DC2" w14:textId="59A8CC73" w:rsidR="00CB0452" w:rsidRDefault="00CB0452">
          <w:pPr>
            <w:pStyle w:val="Spistreci1"/>
            <w:rPr>
              <w:rFonts w:asciiTheme="minorHAnsi" w:eastAsiaTheme="minorEastAsia" w:hAnsiTheme="minorHAnsi" w:cstheme="minorBidi"/>
              <w:b w:val="0"/>
              <w:sz w:val="22"/>
              <w:szCs w:val="22"/>
              <w:lang w:eastAsia="pl-PL"/>
            </w:rPr>
          </w:pPr>
          <w:hyperlink w:anchor="_Toc61214647" w:history="1">
            <w:r w:rsidRPr="00933E47">
              <w:rPr>
                <w:rStyle w:val="Hipercze"/>
              </w:rPr>
              <w:t>IV. Propozycje rozwiązania problemu zadłużenia gospodarstw domowych w walutach obcych w Polsce.</w:t>
            </w:r>
            <w:r>
              <w:rPr>
                <w:webHidden/>
              </w:rPr>
              <w:tab/>
            </w:r>
            <w:r>
              <w:rPr>
                <w:webHidden/>
              </w:rPr>
              <w:fldChar w:fldCharType="begin"/>
            </w:r>
            <w:r>
              <w:rPr>
                <w:webHidden/>
              </w:rPr>
              <w:instrText xml:space="preserve"> PAGEREF _Toc61214647 \h </w:instrText>
            </w:r>
            <w:r>
              <w:rPr>
                <w:webHidden/>
              </w:rPr>
            </w:r>
            <w:r>
              <w:rPr>
                <w:webHidden/>
              </w:rPr>
              <w:fldChar w:fldCharType="separate"/>
            </w:r>
            <w:r>
              <w:rPr>
                <w:webHidden/>
              </w:rPr>
              <w:t>- 48 -</w:t>
            </w:r>
            <w:r>
              <w:rPr>
                <w:webHidden/>
              </w:rPr>
              <w:fldChar w:fldCharType="end"/>
            </w:r>
          </w:hyperlink>
        </w:p>
        <w:p w14:paraId="5C87D0C9" w14:textId="2777E94B" w:rsidR="00CB0452" w:rsidRDefault="00CB0452">
          <w:pPr>
            <w:pStyle w:val="Spistreci2"/>
            <w:tabs>
              <w:tab w:val="right" w:leader="dot" w:pos="9061"/>
            </w:tabs>
            <w:rPr>
              <w:rFonts w:asciiTheme="minorHAnsi" w:eastAsiaTheme="minorEastAsia" w:hAnsiTheme="minorHAnsi"/>
              <w:noProof/>
              <w:sz w:val="22"/>
              <w:lang w:eastAsia="pl-PL"/>
            </w:rPr>
          </w:pPr>
          <w:hyperlink w:anchor="_Toc61214648" w:history="1">
            <w:r w:rsidRPr="00933E47">
              <w:rPr>
                <w:rStyle w:val="Hipercze"/>
                <w:noProof/>
              </w:rPr>
              <w:t>IV.1 Przewalutowanie kredytów walutowych na PLN według kursu z dnia udzielenia kredytu.</w:t>
            </w:r>
            <w:r>
              <w:rPr>
                <w:noProof/>
                <w:webHidden/>
              </w:rPr>
              <w:tab/>
            </w:r>
            <w:r>
              <w:rPr>
                <w:noProof/>
                <w:webHidden/>
              </w:rPr>
              <w:fldChar w:fldCharType="begin"/>
            </w:r>
            <w:r>
              <w:rPr>
                <w:noProof/>
                <w:webHidden/>
              </w:rPr>
              <w:instrText xml:space="preserve"> PAGEREF _Toc61214648 \h </w:instrText>
            </w:r>
            <w:r>
              <w:rPr>
                <w:noProof/>
                <w:webHidden/>
              </w:rPr>
            </w:r>
            <w:r>
              <w:rPr>
                <w:noProof/>
                <w:webHidden/>
              </w:rPr>
              <w:fldChar w:fldCharType="separate"/>
            </w:r>
            <w:r>
              <w:rPr>
                <w:noProof/>
                <w:webHidden/>
              </w:rPr>
              <w:t>- 48 -</w:t>
            </w:r>
            <w:r>
              <w:rPr>
                <w:noProof/>
                <w:webHidden/>
              </w:rPr>
              <w:fldChar w:fldCharType="end"/>
            </w:r>
          </w:hyperlink>
        </w:p>
        <w:p w14:paraId="61618988" w14:textId="4C906827" w:rsidR="00CB0452" w:rsidRDefault="00CB0452">
          <w:pPr>
            <w:pStyle w:val="Spistreci2"/>
            <w:tabs>
              <w:tab w:val="right" w:leader="dot" w:pos="9061"/>
            </w:tabs>
            <w:rPr>
              <w:rFonts w:asciiTheme="minorHAnsi" w:eastAsiaTheme="minorEastAsia" w:hAnsiTheme="minorHAnsi"/>
              <w:noProof/>
              <w:sz w:val="22"/>
              <w:lang w:eastAsia="pl-PL"/>
            </w:rPr>
          </w:pPr>
          <w:hyperlink w:anchor="_Toc61214649" w:history="1">
            <w:r w:rsidRPr="00933E47">
              <w:rPr>
                <w:rStyle w:val="Hipercze"/>
                <w:noProof/>
              </w:rPr>
              <w:t>IV.2 Przewalutowanie kredytów walutowych na PLN według średniego kursu NBP z dnia przewalutowania.</w:t>
            </w:r>
            <w:r>
              <w:rPr>
                <w:noProof/>
                <w:webHidden/>
              </w:rPr>
              <w:tab/>
            </w:r>
            <w:r>
              <w:rPr>
                <w:noProof/>
                <w:webHidden/>
              </w:rPr>
              <w:fldChar w:fldCharType="begin"/>
            </w:r>
            <w:r>
              <w:rPr>
                <w:noProof/>
                <w:webHidden/>
              </w:rPr>
              <w:instrText xml:space="preserve"> PAGEREF _Toc61214649 \h </w:instrText>
            </w:r>
            <w:r>
              <w:rPr>
                <w:noProof/>
                <w:webHidden/>
              </w:rPr>
            </w:r>
            <w:r>
              <w:rPr>
                <w:noProof/>
                <w:webHidden/>
              </w:rPr>
              <w:fldChar w:fldCharType="separate"/>
            </w:r>
            <w:r>
              <w:rPr>
                <w:noProof/>
                <w:webHidden/>
              </w:rPr>
              <w:t>- 49 -</w:t>
            </w:r>
            <w:r>
              <w:rPr>
                <w:noProof/>
                <w:webHidden/>
              </w:rPr>
              <w:fldChar w:fldCharType="end"/>
            </w:r>
          </w:hyperlink>
        </w:p>
        <w:p w14:paraId="75E6106D" w14:textId="44550D95" w:rsidR="00CB0452" w:rsidRDefault="00CB0452">
          <w:pPr>
            <w:pStyle w:val="Spistreci2"/>
            <w:tabs>
              <w:tab w:val="right" w:leader="dot" w:pos="9061"/>
            </w:tabs>
            <w:rPr>
              <w:rFonts w:asciiTheme="minorHAnsi" w:eastAsiaTheme="minorEastAsia" w:hAnsiTheme="minorHAnsi"/>
              <w:noProof/>
              <w:sz w:val="22"/>
              <w:lang w:eastAsia="pl-PL"/>
            </w:rPr>
          </w:pPr>
          <w:hyperlink w:anchor="_Toc61214650" w:history="1">
            <w:r w:rsidRPr="00933E47">
              <w:rPr>
                <w:rStyle w:val="Hipercze"/>
                <w:noProof/>
              </w:rPr>
              <w:t>IV.3 Propozycja Związku Banków Polskich.</w:t>
            </w:r>
            <w:r>
              <w:rPr>
                <w:noProof/>
                <w:webHidden/>
              </w:rPr>
              <w:tab/>
            </w:r>
            <w:r>
              <w:rPr>
                <w:noProof/>
                <w:webHidden/>
              </w:rPr>
              <w:fldChar w:fldCharType="begin"/>
            </w:r>
            <w:r>
              <w:rPr>
                <w:noProof/>
                <w:webHidden/>
              </w:rPr>
              <w:instrText xml:space="preserve"> PAGEREF _Toc61214650 \h </w:instrText>
            </w:r>
            <w:r>
              <w:rPr>
                <w:noProof/>
                <w:webHidden/>
              </w:rPr>
            </w:r>
            <w:r>
              <w:rPr>
                <w:noProof/>
                <w:webHidden/>
              </w:rPr>
              <w:fldChar w:fldCharType="separate"/>
            </w:r>
            <w:r>
              <w:rPr>
                <w:noProof/>
                <w:webHidden/>
              </w:rPr>
              <w:t>- 49 -</w:t>
            </w:r>
            <w:r>
              <w:rPr>
                <w:noProof/>
                <w:webHidden/>
              </w:rPr>
              <w:fldChar w:fldCharType="end"/>
            </w:r>
          </w:hyperlink>
        </w:p>
        <w:p w14:paraId="161126A1" w14:textId="627151AB" w:rsidR="00CB0452" w:rsidRDefault="00CB0452">
          <w:pPr>
            <w:pStyle w:val="Spistreci2"/>
            <w:tabs>
              <w:tab w:val="right" w:leader="dot" w:pos="9061"/>
            </w:tabs>
            <w:rPr>
              <w:rFonts w:asciiTheme="minorHAnsi" w:eastAsiaTheme="minorEastAsia" w:hAnsiTheme="minorHAnsi"/>
              <w:noProof/>
              <w:sz w:val="22"/>
              <w:lang w:eastAsia="pl-PL"/>
            </w:rPr>
          </w:pPr>
          <w:hyperlink w:anchor="_Toc61214651" w:history="1">
            <w:r w:rsidRPr="00933E47">
              <w:rPr>
                <w:rStyle w:val="Hipercze"/>
                <w:noProof/>
              </w:rPr>
              <w:t>IV.4 Propozycja Ministerstwa Gospodarki.</w:t>
            </w:r>
            <w:r>
              <w:rPr>
                <w:noProof/>
                <w:webHidden/>
              </w:rPr>
              <w:tab/>
            </w:r>
            <w:r>
              <w:rPr>
                <w:noProof/>
                <w:webHidden/>
              </w:rPr>
              <w:fldChar w:fldCharType="begin"/>
            </w:r>
            <w:r>
              <w:rPr>
                <w:noProof/>
                <w:webHidden/>
              </w:rPr>
              <w:instrText xml:space="preserve"> PAGEREF _Toc61214651 \h </w:instrText>
            </w:r>
            <w:r>
              <w:rPr>
                <w:noProof/>
                <w:webHidden/>
              </w:rPr>
            </w:r>
            <w:r>
              <w:rPr>
                <w:noProof/>
                <w:webHidden/>
              </w:rPr>
              <w:fldChar w:fldCharType="separate"/>
            </w:r>
            <w:r>
              <w:rPr>
                <w:noProof/>
                <w:webHidden/>
              </w:rPr>
              <w:t>- 49 -</w:t>
            </w:r>
            <w:r>
              <w:rPr>
                <w:noProof/>
                <w:webHidden/>
              </w:rPr>
              <w:fldChar w:fldCharType="end"/>
            </w:r>
          </w:hyperlink>
        </w:p>
        <w:p w14:paraId="2B0399E0" w14:textId="1C09A72D" w:rsidR="00CB0452" w:rsidRDefault="00CB0452">
          <w:pPr>
            <w:pStyle w:val="Spistreci2"/>
            <w:tabs>
              <w:tab w:val="right" w:leader="dot" w:pos="9061"/>
            </w:tabs>
            <w:rPr>
              <w:rFonts w:asciiTheme="minorHAnsi" w:eastAsiaTheme="minorEastAsia" w:hAnsiTheme="minorHAnsi"/>
              <w:noProof/>
              <w:sz w:val="22"/>
              <w:lang w:eastAsia="pl-PL"/>
            </w:rPr>
          </w:pPr>
          <w:hyperlink w:anchor="_Toc61214652" w:history="1">
            <w:r w:rsidRPr="00933E47">
              <w:rPr>
                <w:rStyle w:val="Hipercze"/>
                <w:noProof/>
              </w:rPr>
              <w:t>IV.5 Projekt ustawy o zasadach zwrotu niektórych należności wynikających z umów kredytu i pożyczki.</w:t>
            </w:r>
            <w:r>
              <w:rPr>
                <w:noProof/>
                <w:webHidden/>
              </w:rPr>
              <w:tab/>
            </w:r>
            <w:r>
              <w:rPr>
                <w:noProof/>
                <w:webHidden/>
              </w:rPr>
              <w:fldChar w:fldCharType="begin"/>
            </w:r>
            <w:r>
              <w:rPr>
                <w:noProof/>
                <w:webHidden/>
              </w:rPr>
              <w:instrText xml:space="preserve"> PAGEREF _Toc61214652 \h </w:instrText>
            </w:r>
            <w:r>
              <w:rPr>
                <w:noProof/>
                <w:webHidden/>
              </w:rPr>
            </w:r>
            <w:r>
              <w:rPr>
                <w:noProof/>
                <w:webHidden/>
              </w:rPr>
              <w:fldChar w:fldCharType="separate"/>
            </w:r>
            <w:r>
              <w:rPr>
                <w:noProof/>
                <w:webHidden/>
              </w:rPr>
              <w:t>- 51 -</w:t>
            </w:r>
            <w:r>
              <w:rPr>
                <w:noProof/>
                <w:webHidden/>
              </w:rPr>
              <w:fldChar w:fldCharType="end"/>
            </w:r>
          </w:hyperlink>
        </w:p>
        <w:p w14:paraId="4432E05F" w14:textId="0936E992" w:rsidR="00CB0452" w:rsidRDefault="00CB0452">
          <w:pPr>
            <w:pStyle w:val="Spistreci2"/>
            <w:tabs>
              <w:tab w:val="right" w:leader="dot" w:pos="9061"/>
            </w:tabs>
            <w:rPr>
              <w:rFonts w:asciiTheme="minorHAnsi" w:eastAsiaTheme="minorEastAsia" w:hAnsiTheme="minorHAnsi"/>
              <w:noProof/>
              <w:sz w:val="22"/>
              <w:lang w:eastAsia="pl-PL"/>
            </w:rPr>
          </w:pPr>
          <w:hyperlink w:anchor="_Toc61214653" w:history="1">
            <w:r w:rsidRPr="00933E47">
              <w:rPr>
                <w:rStyle w:val="Hipercze"/>
                <w:noProof/>
              </w:rPr>
              <w:t>IV.6 Możliwość zastosowania rozwiązań wprowadzonych w innych krajach Unii Europejskiej w Polsce.</w:t>
            </w:r>
            <w:r>
              <w:rPr>
                <w:noProof/>
                <w:webHidden/>
              </w:rPr>
              <w:tab/>
            </w:r>
            <w:r>
              <w:rPr>
                <w:noProof/>
                <w:webHidden/>
              </w:rPr>
              <w:fldChar w:fldCharType="begin"/>
            </w:r>
            <w:r>
              <w:rPr>
                <w:noProof/>
                <w:webHidden/>
              </w:rPr>
              <w:instrText xml:space="preserve"> PAGEREF _Toc61214653 \h </w:instrText>
            </w:r>
            <w:r>
              <w:rPr>
                <w:noProof/>
                <w:webHidden/>
              </w:rPr>
            </w:r>
            <w:r>
              <w:rPr>
                <w:noProof/>
                <w:webHidden/>
              </w:rPr>
              <w:fldChar w:fldCharType="separate"/>
            </w:r>
            <w:r>
              <w:rPr>
                <w:noProof/>
                <w:webHidden/>
              </w:rPr>
              <w:t>- 51 -</w:t>
            </w:r>
            <w:r>
              <w:rPr>
                <w:noProof/>
                <w:webHidden/>
              </w:rPr>
              <w:fldChar w:fldCharType="end"/>
            </w:r>
          </w:hyperlink>
        </w:p>
        <w:p w14:paraId="6ED6669D" w14:textId="002EFE01" w:rsidR="00CB0452" w:rsidRDefault="00CB0452">
          <w:pPr>
            <w:pStyle w:val="Spistreci1"/>
            <w:rPr>
              <w:rFonts w:asciiTheme="minorHAnsi" w:eastAsiaTheme="minorEastAsia" w:hAnsiTheme="minorHAnsi" w:cstheme="minorBidi"/>
              <w:b w:val="0"/>
              <w:sz w:val="22"/>
              <w:szCs w:val="22"/>
              <w:lang w:eastAsia="pl-PL"/>
            </w:rPr>
          </w:pPr>
          <w:hyperlink w:anchor="_Toc61214654" w:history="1">
            <w:r w:rsidRPr="00933E47">
              <w:rPr>
                <w:rStyle w:val="Hipercze"/>
              </w:rPr>
              <w:t>Zakończenie.</w:t>
            </w:r>
            <w:r>
              <w:rPr>
                <w:webHidden/>
              </w:rPr>
              <w:tab/>
            </w:r>
            <w:r>
              <w:rPr>
                <w:webHidden/>
              </w:rPr>
              <w:fldChar w:fldCharType="begin"/>
            </w:r>
            <w:r>
              <w:rPr>
                <w:webHidden/>
              </w:rPr>
              <w:instrText xml:space="preserve"> PAGEREF _Toc61214654 \h </w:instrText>
            </w:r>
            <w:r>
              <w:rPr>
                <w:webHidden/>
              </w:rPr>
            </w:r>
            <w:r>
              <w:rPr>
                <w:webHidden/>
              </w:rPr>
              <w:fldChar w:fldCharType="separate"/>
            </w:r>
            <w:r>
              <w:rPr>
                <w:webHidden/>
              </w:rPr>
              <w:t>- 52 -</w:t>
            </w:r>
            <w:r>
              <w:rPr>
                <w:webHidden/>
              </w:rPr>
              <w:fldChar w:fldCharType="end"/>
            </w:r>
          </w:hyperlink>
        </w:p>
        <w:p w14:paraId="322B8787" w14:textId="2C3C3045" w:rsidR="00CB0452" w:rsidRDefault="00CB0452">
          <w:pPr>
            <w:pStyle w:val="Spistreci1"/>
            <w:rPr>
              <w:rFonts w:asciiTheme="minorHAnsi" w:eastAsiaTheme="minorEastAsia" w:hAnsiTheme="minorHAnsi" w:cstheme="minorBidi"/>
              <w:b w:val="0"/>
              <w:sz w:val="22"/>
              <w:szCs w:val="22"/>
              <w:lang w:eastAsia="pl-PL"/>
            </w:rPr>
          </w:pPr>
          <w:hyperlink w:anchor="_Toc61214655" w:history="1">
            <w:r w:rsidRPr="00933E47">
              <w:rPr>
                <w:rStyle w:val="Hipercze"/>
              </w:rPr>
              <w:t>Bibliografia.</w:t>
            </w:r>
            <w:r>
              <w:rPr>
                <w:webHidden/>
              </w:rPr>
              <w:tab/>
            </w:r>
            <w:r>
              <w:rPr>
                <w:webHidden/>
              </w:rPr>
              <w:fldChar w:fldCharType="begin"/>
            </w:r>
            <w:r>
              <w:rPr>
                <w:webHidden/>
              </w:rPr>
              <w:instrText xml:space="preserve"> PAGEREF _Toc61214655 \h </w:instrText>
            </w:r>
            <w:r>
              <w:rPr>
                <w:webHidden/>
              </w:rPr>
            </w:r>
            <w:r>
              <w:rPr>
                <w:webHidden/>
              </w:rPr>
              <w:fldChar w:fldCharType="separate"/>
            </w:r>
            <w:r>
              <w:rPr>
                <w:webHidden/>
              </w:rPr>
              <w:t>- 54 -</w:t>
            </w:r>
            <w:r>
              <w:rPr>
                <w:webHidden/>
              </w:rPr>
              <w:fldChar w:fldCharType="end"/>
            </w:r>
          </w:hyperlink>
        </w:p>
        <w:p w14:paraId="4AFB0E80" w14:textId="719E4C27" w:rsidR="00CB0452" w:rsidRDefault="00CB0452">
          <w:pPr>
            <w:pStyle w:val="Spistreci2"/>
            <w:tabs>
              <w:tab w:val="right" w:leader="dot" w:pos="9061"/>
            </w:tabs>
            <w:rPr>
              <w:rFonts w:asciiTheme="minorHAnsi" w:eastAsiaTheme="minorEastAsia" w:hAnsiTheme="minorHAnsi"/>
              <w:noProof/>
              <w:sz w:val="22"/>
              <w:lang w:eastAsia="pl-PL"/>
            </w:rPr>
          </w:pPr>
          <w:hyperlink w:anchor="_Toc61214656" w:history="1">
            <w:r w:rsidRPr="00933E47">
              <w:rPr>
                <w:rStyle w:val="Hipercze"/>
                <w:noProof/>
              </w:rPr>
              <w:t>I. Wydawnictwa zwarte.</w:t>
            </w:r>
            <w:r>
              <w:rPr>
                <w:noProof/>
                <w:webHidden/>
              </w:rPr>
              <w:tab/>
            </w:r>
            <w:r>
              <w:rPr>
                <w:noProof/>
                <w:webHidden/>
              </w:rPr>
              <w:fldChar w:fldCharType="begin"/>
            </w:r>
            <w:r>
              <w:rPr>
                <w:noProof/>
                <w:webHidden/>
              </w:rPr>
              <w:instrText xml:space="preserve"> PAGEREF _Toc61214656 \h </w:instrText>
            </w:r>
            <w:r>
              <w:rPr>
                <w:noProof/>
                <w:webHidden/>
              </w:rPr>
            </w:r>
            <w:r>
              <w:rPr>
                <w:noProof/>
                <w:webHidden/>
              </w:rPr>
              <w:fldChar w:fldCharType="separate"/>
            </w:r>
            <w:r>
              <w:rPr>
                <w:noProof/>
                <w:webHidden/>
              </w:rPr>
              <w:t>- 54 -</w:t>
            </w:r>
            <w:r>
              <w:rPr>
                <w:noProof/>
                <w:webHidden/>
              </w:rPr>
              <w:fldChar w:fldCharType="end"/>
            </w:r>
          </w:hyperlink>
        </w:p>
        <w:p w14:paraId="1C6810C8" w14:textId="48A1B401" w:rsidR="00CB0452" w:rsidRDefault="00CB0452">
          <w:pPr>
            <w:pStyle w:val="Spistreci2"/>
            <w:tabs>
              <w:tab w:val="right" w:leader="dot" w:pos="9061"/>
            </w:tabs>
            <w:rPr>
              <w:rFonts w:asciiTheme="minorHAnsi" w:eastAsiaTheme="minorEastAsia" w:hAnsiTheme="minorHAnsi"/>
              <w:noProof/>
              <w:sz w:val="22"/>
              <w:lang w:eastAsia="pl-PL"/>
            </w:rPr>
          </w:pPr>
          <w:hyperlink w:anchor="_Toc61214657" w:history="1">
            <w:r w:rsidRPr="00933E47">
              <w:rPr>
                <w:rStyle w:val="Hipercze"/>
                <w:noProof/>
              </w:rPr>
              <w:t>II. Artykuły.</w:t>
            </w:r>
            <w:r>
              <w:rPr>
                <w:noProof/>
                <w:webHidden/>
              </w:rPr>
              <w:tab/>
            </w:r>
            <w:r>
              <w:rPr>
                <w:noProof/>
                <w:webHidden/>
              </w:rPr>
              <w:fldChar w:fldCharType="begin"/>
            </w:r>
            <w:r>
              <w:rPr>
                <w:noProof/>
                <w:webHidden/>
              </w:rPr>
              <w:instrText xml:space="preserve"> PAGEREF _Toc61214657 \h </w:instrText>
            </w:r>
            <w:r>
              <w:rPr>
                <w:noProof/>
                <w:webHidden/>
              </w:rPr>
            </w:r>
            <w:r>
              <w:rPr>
                <w:noProof/>
                <w:webHidden/>
              </w:rPr>
              <w:fldChar w:fldCharType="separate"/>
            </w:r>
            <w:r>
              <w:rPr>
                <w:noProof/>
                <w:webHidden/>
              </w:rPr>
              <w:t>- 54 -</w:t>
            </w:r>
            <w:r>
              <w:rPr>
                <w:noProof/>
                <w:webHidden/>
              </w:rPr>
              <w:fldChar w:fldCharType="end"/>
            </w:r>
          </w:hyperlink>
        </w:p>
        <w:p w14:paraId="5F5878AF" w14:textId="6FD1B8EE" w:rsidR="00CB0452" w:rsidRDefault="00CB0452">
          <w:pPr>
            <w:pStyle w:val="Spistreci2"/>
            <w:tabs>
              <w:tab w:val="right" w:leader="dot" w:pos="9061"/>
            </w:tabs>
            <w:rPr>
              <w:rFonts w:asciiTheme="minorHAnsi" w:eastAsiaTheme="minorEastAsia" w:hAnsiTheme="minorHAnsi"/>
              <w:noProof/>
              <w:sz w:val="22"/>
              <w:lang w:eastAsia="pl-PL"/>
            </w:rPr>
          </w:pPr>
          <w:hyperlink w:anchor="_Toc61214658" w:history="1">
            <w:r w:rsidRPr="00933E47">
              <w:rPr>
                <w:rStyle w:val="Hipercze"/>
                <w:noProof/>
              </w:rPr>
              <w:t>III. Akty prawne.</w:t>
            </w:r>
            <w:r>
              <w:rPr>
                <w:noProof/>
                <w:webHidden/>
              </w:rPr>
              <w:tab/>
            </w:r>
            <w:r>
              <w:rPr>
                <w:noProof/>
                <w:webHidden/>
              </w:rPr>
              <w:fldChar w:fldCharType="begin"/>
            </w:r>
            <w:r>
              <w:rPr>
                <w:noProof/>
                <w:webHidden/>
              </w:rPr>
              <w:instrText xml:space="preserve"> PAGEREF _Toc61214658 \h </w:instrText>
            </w:r>
            <w:r>
              <w:rPr>
                <w:noProof/>
                <w:webHidden/>
              </w:rPr>
            </w:r>
            <w:r>
              <w:rPr>
                <w:noProof/>
                <w:webHidden/>
              </w:rPr>
              <w:fldChar w:fldCharType="separate"/>
            </w:r>
            <w:r>
              <w:rPr>
                <w:noProof/>
                <w:webHidden/>
              </w:rPr>
              <w:t>- 54 -</w:t>
            </w:r>
            <w:r>
              <w:rPr>
                <w:noProof/>
                <w:webHidden/>
              </w:rPr>
              <w:fldChar w:fldCharType="end"/>
            </w:r>
          </w:hyperlink>
        </w:p>
        <w:p w14:paraId="601ABBF9" w14:textId="4F3FE58D" w:rsidR="00CB0452" w:rsidRDefault="00CB0452">
          <w:pPr>
            <w:pStyle w:val="Spistreci2"/>
            <w:tabs>
              <w:tab w:val="right" w:leader="dot" w:pos="9061"/>
            </w:tabs>
            <w:rPr>
              <w:rFonts w:asciiTheme="minorHAnsi" w:eastAsiaTheme="minorEastAsia" w:hAnsiTheme="minorHAnsi"/>
              <w:noProof/>
              <w:sz w:val="22"/>
              <w:lang w:eastAsia="pl-PL"/>
            </w:rPr>
          </w:pPr>
          <w:hyperlink w:anchor="_Toc61214659" w:history="1">
            <w:r w:rsidRPr="00933E47">
              <w:rPr>
                <w:rStyle w:val="Hipercze"/>
                <w:noProof/>
              </w:rPr>
              <w:t>IV. Strony internetowe.</w:t>
            </w:r>
            <w:r>
              <w:rPr>
                <w:noProof/>
                <w:webHidden/>
              </w:rPr>
              <w:tab/>
            </w:r>
            <w:r>
              <w:rPr>
                <w:noProof/>
                <w:webHidden/>
              </w:rPr>
              <w:fldChar w:fldCharType="begin"/>
            </w:r>
            <w:r>
              <w:rPr>
                <w:noProof/>
                <w:webHidden/>
              </w:rPr>
              <w:instrText xml:space="preserve"> PAGEREF _Toc61214659 \h </w:instrText>
            </w:r>
            <w:r>
              <w:rPr>
                <w:noProof/>
                <w:webHidden/>
              </w:rPr>
            </w:r>
            <w:r>
              <w:rPr>
                <w:noProof/>
                <w:webHidden/>
              </w:rPr>
              <w:fldChar w:fldCharType="separate"/>
            </w:r>
            <w:r>
              <w:rPr>
                <w:noProof/>
                <w:webHidden/>
              </w:rPr>
              <w:t>- 54 -</w:t>
            </w:r>
            <w:r>
              <w:rPr>
                <w:noProof/>
                <w:webHidden/>
              </w:rPr>
              <w:fldChar w:fldCharType="end"/>
            </w:r>
          </w:hyperlink>
        </w:p>
        <w:p w14:paraId="7CAA1698" w14:textId="2BD3B797" w:rsidR="00CB0452" w:rsidRDefault="00CB0452">
          <w:pPr>
            <w:pStyle w:val="Spistreci2"/>
            <w:tabs>
              <w:tab w:val="right" w:leader="dot" w:pos="9061"/>
            </w:tabs>
            <w:rPr>
              <w:rFonts w:asciiTheme="minorHAnsi" w:eastAsiaTheme="minorEastAsia" w:hAnsiTheme="minorHAnsi"/>
              <w:noProof/>
              <w:sz w:val="22"/>
              <w:lang w:eastAsia="pl-PL"/>
            </w:rPr>
          </w:pPr>
          <w:hyperlink w:anchor="_Toc61214660" w:history="1">
            <w:r w:rsidRPr="00933E47">
              <w:rPr>
                <w:rStyle w:val="Hipercze"/>
                <w:noProof/>
              </w:rPr>
              <w:t>V. Inne źródła.</w:t>
            </w:r>
            <w:r>
              <w:rPr>
                <w:noProof/>
                <w:webHidden/>
              </w:rPr>
              <w:tab/>
            </w:r>
            <w:r>
              <w:rPr>
                <w:noProof/>
                <w:webHidden/>
              </w:rPr>
              <w:fldChar w:fldCharType="begin"/>
            </w:r>
            <w:r>
              <w:rPr>
                <w:noProof/>
                <w:webHidden/>
              </w:rPr>
              <w:instrText xml:space="preserve"> PAGEREF _Toc61214660 \h </w:instrText>
            </w:r>
            <w:r>
              <w:rPr>
                <w:noProof/>
                <w:webHidden/>
              </w:rPr>
            </w:r>
            <w:r>
              <w:rPr>
                <w:noProof/>
                <w:webHidden/>
              </w:rPr>
              <w:fldChar w:fldCharType="separate"/>
            </w:r>
            <w:r>
              <w:rPr>
                <w:noProof/>
                <w:webHidden/>
              </w:rPr>
              <w:t>- 54 -</w:t>
            </w:r>
            <w:r>
              <w:rPr>
                <w:noProof/>
                <w:webHidden/>
              </w:rPr>
              <w:fldChar w:fldCharType="end"/>
            </w:r>
          </w:hyperlink>
        </w:p>
        <w:p w14:paraId="2431CEF0" w14:textId="43A39335" w:rsidR="00CB0452" w:rsidRDefault="00CB0452">
          <w:pPr>
            <w:pStyle w:val="Spistreci1"/>
            <w:rPr>
              <w:rFonts w:asciiTheme="minorHAnsi" w:eastAsiaTheme="minorEastAsia" w:hAnsiTheme="minorHAnsi" w:cstheme="minorBidi"/>
              <w:b w:val="0"/>
              <w:sz w:val="22"/>
              <w:szCs w:val="22"/>
              <w:lang w:eastAsia="pl-PL"/>
            </w:rPr>
          </w:pPr>
          <w:hyperlink w:anchor="_Toc61214661" w:history="1">
            <w:r w:rsidRPr="00933E47">
              <w:rPr>
                <w:rStyle w:val="Hipercze"/>
              </w:rPr>
              <w:t>Spis wykresów.</w:t>
            </w:r>
            <w:r>
              <w:rPr>
                <w:webHidden/>
              </w:rPr>
              <w:tab/>
            </w:r>
            <w:r>
              <w:rPr>
                <w:webHidden/>
              </w:rPr>
              <w:fldChar w:fldCharType="begin"/>
            </w:r>
            <w:r>
              <w:rPr>
                <w:webHidden/>
              </w:rPr>
              <w:instrText xml:space="preserve"> PAGEREF _Toc61214661 \h </w:instrText>
            </w:r>
            <w:r>
              <w:rPr>
                <w:webHidden/>
              </w:rPr>
            </w:r>
            <w:r>
              <w:rPr>
                <w:webHidden/>
              </w:rPr>
              <w:fldChar w:fldCharType="separate"/>
            </w:r>
            <w:r>
              <w:rPr>
                <w:webHidden/>
              </w:rPr>
              <w:t>- 56 -</w:t>
            </w:r>
            <w:r>
              <w:rPr>
                <w:webHidden/>
              </w:rPr>
              <w:fldChar w:fldCharType="end"/>
            </w:r>
          </w:hyperlink>
        </w:p>
        <w:p w14:paraId="25DCA1A2" w14:textId="47DFA278" w:rsidR="00CB0452" w:rsidRDefault="00CB0452">
          <w:pPr>
            <w:pStyle w:val="Spistreci1"/>
            <w:rPr>
              <w:rFonts w:asciiTheme="minorHAnsi" w:eastAsiaTheme="minorEastAsia" w:hAnsiTheme="minorHAnsi" w:cstheme="minorBidi"/>
              <w:b w:val="0"/>
              <w:sz w:val="22"/>
              <w:szCs w:val="22"/>
              <w:lang w:eastAsia="pl-PL"/>
            </w:rPr>
          </w:pPr>
          <w:hyperlink w:anchor="_Toc61214662" w:history="1">
            <w:r w:rsidRPr="00933E47">
              <w:rPr>
                <w:rStyle w:val="Hipercze"/>
              </w:rPr>
              <w:t>Streszczenie.</w:t>
            </w:r>
            <w:r>
              <w:rPr>
                <w:webHidden/>
              </w:rPr>
              <w:tab/>
            </w:r>
            <w:r>
              <w:rPr>
                <w:webHidden/>
              </w:rPr>
              <w:fldChar w:fldCharType="begin"/>
            </w:r>
            <w:r>
              <w:rPr>
                <w:webHidden/>
              </w:rPr>
              <w:instrText xml:space="preserve"> PAGEREF _Toc61214662 \h </w:instrText>
            </w:r>
            <w:r>
              <w:rPr>
                <w:webHidden/>
              </w:rPr>
            </w:r>
            <w:r>
              <w:rPr>
                <w:webHidden/>
              </w:rPr>
              <w:fldChar w:fldCharType="separate"/>
            </w:r>
            <w:r>
              <w:rPr>
                <w:webHidden/>
              </w:rPr>
              <w:t>- 57 -</w:t>
            </w:r>
            <w:r>
              <w:rPr>
                <w:webHidden/>
              </w:rPr>
              <w:fldChar w:fldCharType="end"/>
            </w:r>
          </w:hyperlink>
        </w:p>
        <w:p w14:paraId="648F79F3" w14:textId="1C319287"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3" w:name="_Toc61214628"/>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2A7E9136" w:rsidR="00F24841" w:rsidRPr="00983F85" w:rsidRDefault="00764ACB" w:rsidP="00566FBB">
      <w:pPr>
        <w:pStyle w:val="Nagwek2"/>
        <w:spacing w:line="360" w:lineRule="auto"/>
        <w:jc w:val="both"/>
        <w:rPr>
          <w:rFonts w:cs="Times New Roman"/>
          <w:szCs w:val="24"/>
        </w:rPr>
      </w:pPr>
      <w:bookmarkStart w:id="4" w:name="_Toc61214629"/>
      <w:r w:rsidRPr="00983F85">
        <w:rPr>
          <w:rFonts w:cs="Times New Roman"/>
          <w:szCs w:val="24"/>
        </w:rPr>
        <w:t>Uzasadnienie wyboru tematu</w:t>
      </w:r>
      <w:bookmarkEnd w:id="4"/>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lastRenderedPageBreak/>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 xml:space="preserve">W opinii autora skonstruowanie podobnego narzędzia jest potrzebne i powinno dostarczyć wartość dodaną </w:t>
      </w:r>
      <w:r w:rsidR="00D730EC" w:rsidRPr="00983F85">
        <w:rPr>
          <w:rFonts w:cs="Times New Roman"/>
          <w:szCs w:val="24"/>
        </w:rPr>
        <w:lastRenderedPageBreak/>
        <w:t>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 xml:space="preserve">w pewnym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1214630"/>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 xml:space="preserve">budowa modeli w oparciu o algorytmy uczenia maszynowego. Przeprowadzona zostanie walidacja modeli i ocena skuteczności prognozy oraz </w:t>
      </w:r>
      <w:r w:rsidR="009A1A83" w:rsidRPr="00983F85">
        <w:rPr>
          <w:rFonts w:cs="Times New Roman"/>
          <w:szCs w:val="24"/>
        </w:rPr>
        <w:lastRenderedPageBreak/>
        <w:t>stabilność wyników. Wybranie zostanie najlepszy model, który będzie wykorzystany do przeprowadzania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6" w:name="_Toc61214631"/>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1214632"/>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1214633"/>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187E935" w:rsidR="007F7573" w:rsidRPr="00983F85" w:rsidRDefault="007F7573" w:rsidP="00983F85">
      <w:pPr>
        <w:pStyle w:val="Legenda"/>
        <w:keepNext/>
        <w:spacing w:line="360" w:lineRule="auto"/>
        <w:jc w:val="both"/>
        <w:rPr>
          <w:rFonts w:cs="Times New Roman"/>
          <w:i w:val="0"/>
          <w:color w:val="auto"/>
          <w:sz w:val="24"/>
          <w:szCs w:val="24"/>
        </w:rPr>
      </w:pPr>
      <w:bookmarkStart w:id="9" w:name="_Toc61194494"/>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0BAED533">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1214634"/>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1214635"/>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1214636"/>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1214637"/>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4" w:name="_Toc61214638"/>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216512DF"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72F38A96" w14:textId="50DF8D85"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 xml:space="preserve">została zaprojektowana w ten sposób, żeby maksymalizować ogólną skuteczność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w:t>
      </w:r>
      <w:r w:rsidR="001877BD">
        <w:rPr>
          <w:rFonts w:ascii="Times New Roman" w:hAnsi="Times New Roman" w:cs="Times New Roman"/>
          <w:bCs/>
        </w:rPr>
        <w:lastRenderedPageBreak/>
        <w:t>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5"/>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6"/>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lastRenderedPageBreak/>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7"/>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Kolejnym krokiem poprzedzającym przeprowadzanie analizy eksploracyjnej było zidentyfikowanie wartości odstających w zbiorze danych. Celem takiego zabiegu było wykrycie 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w:t>
      </w:r>
      <w:r w:rsidRPr="00834BE0">
        <w:rPr>
          <w:rFonts w:ascii="Times New Roman" w:hAnsi="Times New Roman" w:cs="Times New Roman"/>
          <w:bCs/>
        </w:rPr>
        <w:lastRenderedPageBreak/>
        <w:t>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8"/>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 xml:space="preserve">nawet w </w:t>
      </w:r>
      <w:r w:rsidR="00DF50B8" w:rsidRPr="00DF50B8">
        <w:rPr>
          <w:rFonts w:ascii="Times New Roman" w:hAnsi="Times New Roman" w:cs="Times New Roman"/>
          <w:bCs/>
        </w:rPr>
        <w:lastRenderedPageBreak/>
        <w:t>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19"/>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0"/>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5" w:name="_Toc61214639"/>
      <w:r w:rsidRPr="00983F85">
        <w:rPr>
          <w:rFonts w:cs="Times New Roman"/>
          <w:szCs w:val="24"/>
        </w:rPr>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5"/>
    </w:p>
    <w:p w14:paraId="6ED7A5F0" w14:textId="77777777" w:rsidR="000D7664" w:rsidRDefault="00AA39BE" w:rsidP="009E391F">
      <w:pPr>
        <w:spacing w:line="360" w:lineRule="auto"/>
        <w:ind w:firstLine="708"/>
        <w:jc w:val="both"/>
      </w:pPr>
      <w:r>
        <w:t>Ostatecznie do analizy wykorzystano 52 190 obserwacji oraz 7</w:t>
      </w:r>
      <w:r w:rsidR="00472310">
        <w:t>6</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w:t>
      </w:r>
      <w:proofErr w:type="spellStart"/>
      <w:r>
        <w:t>Label</w:t>
      </w:r>
      <w:proofErr w:type="spellEnd"/>
      <w:r>
        <w:t>”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lastRenderedPageBreak/>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1735D961" w:rsidR="00DC0446" w:rsidRPr="00DC0446" w:rsidRDefault="00DC0446" w:rsidP="00DC0446">
      <w:pPr>
        <w:pStyle w:val="Legenda"/>
        <w:keepNext/>
        <w:rPr>
          <w:i w:val="0"/>
          <w:iCs w:val="0"/>
          <w:color w:val="auto"/>
          <w:sz w:val="24"/>
          <w:szCs w:val="24"/>
        </w:rPr>
      </w:pPr>
      <w:bookmarkStart w:id="16" w:name="_Toc61194495"/>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433642">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6"/>
    </w:p>
    <w:p w14:paraId="6712D721" w14:textId="70E469FA" w:rsidR="005F74A0" w:rsidRDefault="005F74A0" w:rsidP="005F74A0">
      <w:pPr>
        <w:spacing w:line="360" w:lineRule="auto"/>
        <w:ind w:firstLine="708"/>
        <w:jc w:val="center"/>
      </w:pPr>
      <w:r>
        <w:rPr>
          <w:noProof/>
        </w:rPr>
        <w:drawing>
          <wp:inline distT="0" distB="0" distL="0" distR="0" wp14:anchorId="05C28938" wp14:editId="506D04B7">
            <wp:extent cx="4800600" cy="3076575"/>
            <wp:effectExtent l="0" t="0" r="0" b="9525"/>
            <wp:docPr id="9" name="Wykres 9">
              <a:extLst xmlns:a="http://schemas.openxmlformats.org/drawingml/2006/main">
                <a:ext uri="{FF2B5EF4-FFF2-40B4-BE49-F238E27FC236}">
                  <a16:creationId xmlns:a16="http://schemas.microsoft.com/office/drawing/2014/main" id="{F5095086-16F6-4E51-BC8C-8DC57FE6F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1CB79E09"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472310">
        <w:t>6</w:t>
      </w:r>
      <w:r w:rsidR="00AA39BE">
        <w:t xml:space="preserve"> dostępnych zmiennych przeprowadzono proces wyboru najbardziej odpowiednich zmiennych do przeprowadzenia analizy.</w:t>
      </w:r>
      <w:r w:rsidR="004253ED">
        <w:t xml:space="preserve"> Do analizy wykorzystano 54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w:t>
      </w:r>
      <w:r w:rsidR="00516767">
        <w:rPr>
          <w:rFonts w:cs="Times New Roman"/>
          <w:bCs/>
        </w:rPr>
        <w:lastRenderedPageBreak/>
        <w:t>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sidR="00042F31">
              <w:rPr>
                <w:rFonts w:eastAsia="Times New Roman"/>
                <w:b/>
                <w:szCs w:val="32"/>
              </w:rPr>
              <w:t>nominalne</w:t>
            </w:r>
            <w:proofErr w:type="spellEnd"/>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Voivodeship</w:t>
            </w:r>
            <w:proofErr w:type="spellEnd"/>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EMISLegalForm</w:t>
            </w:r>
            <w:proofErr w:type="spellEnd"/>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GUSLegalForm</w:t>
            </w:r>
            <w:proofErr w:type="spellEnd"/>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GUS według 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D9EAD9E" w:rsidR="00472310" w:rsidRPr="001B0541" w:rsidRDefault="00472310"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GUSLegalForm</w:t>
            </w:r>
            <w:proofErr w:type="spellEnd"/>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GUS</w:t>
            </w:r>
            <w:r w:rsidR="00FC7879">
              <w:rPr>
                <w:rFonts w:eastAsia="Times New Roman"/>
                <w:sz w:val="20"/>
                <w:szCs w:val="20"/>
                <w:lang w:val="pl-PL"/>
              </w:rPr>
              <w:t>OwnershipForm</w:t>
            </w:r>
            <w:proofErr w:type="spellEnd"/>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MainPKD</w:t>
            </w:r>
            <w:proofErr w:type="spellEnd"/>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MainNAICSCodes</w:t>
            </w:r>
            <w:proofErr w:type="spellEnd"/>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proofErr w:type="spellStart"/>
            <w:r w:rsidRPr="00786E4F">
              <w:rPr>
                <w:rFonts w:eastAsia="Times New Roman"/>
                <w:sz w:val="20"/>
                <w:szCs w:val="20"/>
                <w:lang w:val="pl-PL"/>
              </w:rPr>
              <w:t>North</w:t>
            </w:r>
            <w:proofErr w:type="spellEnd"/>
            <w:r w:rsidRPr="00786E4F">
              <w:rPr>
                <w:rFonts w:eastAsia="Times New Roman"/>
                <w:sz w:val="20"/>
                <w:szCs w:val="20"/>
                <w:lang w:val="pl-PL"/>
              </w:rPr>
              <w:t xml:space="preserve"> American </w:t>
            </w:r>
            <w:proofErr w:type="spellStart"/>
            <w:r w:rsidRPr="00786E4F">
              <w:rPr>
                <w:rFonts w:eastAsia="Times New Roman"/>
                <w:sz w:val="20"/>
                <w:szCs w:val="20"/>
                <w:lang w:val="pl-PL"/>
              </w:rPr>
              <w:t>Industry</w:t>
            </w:r>
            <w:proofErr w:type="spellEnd"/>
            <w:r w:rsidRPr="00786E4F">
              <w:rPr>
                <w:rFonts w:eastAsia="Times New Roman"/>
                <w:sz w:val="20"/>
                <w:szCs w:val="20"/>
                <w:lang w:val="pl-PL"/>
              </w:rPr>
              <w:t xml:space="preserve"> </w:t>
            </w:r>
            <w:proofErr w:type="spellStart"/>
            <w:r w:rsidRPr="00786E4F">
              <w:rPr>
                <w:rFonts w:eastAsia="Times New Roman"/>
                <w:sz w:val="20"/>
                <w:szCs w:val="20"/>
                <w:lang w:val="pl-PL"/>
              </w:rPr>
              <w:t>Classification</w:t>
            </w:r>
            <w:proofErr w:type="spellEnd"/>
            <w:r w:rsidRPr="00786E4F">
              <w:rPr>
                <w:rFonts w:eastAsia="Times New Roman"/>
                <w:sz w:val="20"/>
                <w:szCs w:val="20"/>
                <w:lang w:val="pl-PL"/>
              </w:rPr>
              <w:t xml:space="preserve">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RiskyMainPKD</w:t>
            </w:r>
            <w:proofErr w:type="spellEnd"/>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RiskySecondaryPKDs</w:t>
            </w:r>
            <w:proofErr w:type="spellEnd"/>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w:t>
            </w:r>
            <w:r w:rsidRPr="00FD4804">
              <w:rPr>
                <w:rFonts w:eastAsia="Times New Roman"/>
                <w:sz w:val="20"/>
                <w:szCs w:val="20"/>
                <w:lang w:val="pl-PL"/>
              </w:rPr>
              <w:lastRenderedPageBreak/>
              <w:t>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NoWebsite</w:t>
            </w:r>
            <w:proofErr w:type="spellEnd"/>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PublicMail</w:t>
            </w:r>
            <w:proofErr w:type="spellEnd"/>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NoMail</w:t>
            </w:r>
            <w:proofErr w:type="spellEnd"/>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NoFax</w:t>
            </w:r>
            <w:proofErr w:type="spellEnd"/>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NoPhone</w:t>
            </w:r>
            <w:proofErr w:type="spellEnd"/>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NoDescription</w:t>
            </w:r>
            <w:proofErr w:type="spellEnd"/>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AdresVirtualOffice</w:t>
            </w:r>
            <w:proofErr w:type="spellEnd"/>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06F554E"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AdresLocal</w:t>
            </w:r>
            <w:proofErr w:type="spellEnd"/>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CAACImport</w:t>
            </w:r>
            <w:proofErr w:type="spellEnd"/>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CAACExport</w:t>
            </w:r>
            <w:proofErr w:type="spellEnd"/>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EntityListedInVATRe</w:t>
            </w:r>
            <w:r w:rsidRPr="001B0541">
              <w:rPr>
                <w:rFonts w:eastAsia="Times New Roman"/>
                <w:sz w:val="20"/>
                <w:szCs w:val="20"/>
                <w:lang w:val="pl-PL"/>
              </w:rPr>
              <w:lastRenderedPageBreak/>
              <w:t>gistry</w:t>
            </w:r>
            <w:proofErr w:type="spellEnd"/>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lastRenderedPageBreak/>
              <w:t>Zmienna wskazująca, czy przedsiębiorstwo jes</w:t>
            </w:r>
            <w:r>
              <w:rPr>
                <w:rFonts w:eastAsia="Times New Roman"/>
                <w:sz w:val="20"/>
                <w:szCs w:val="20"/>
                <w:lang w:val="pl-PL"/>
              </w:rPr>
              <w:t xml:space="preserve">t zarejestrowane w rejestrze </w:t>
            </w:r>
            <w:r>
              <w:rPr>
                <w:rFonts w:eastAsia="Times New Roman"/>
                <w:sz w:val="20"/>
                <w:szCs w:val="20"/>
                <w:lang w:val="pl-PL"/>
              </w:rPr>
              <w:lastRenderedPageBreak/>
              <w:t>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VirtualAccountsPresence</w:t>
            </w:r>
            <w:proofErr w:type="spellEnd"/>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RiskyRemovalBasis</w:t>
            </w:r>
            <w:proofErr w:type="spellEnd"/>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w:t>
      </w:r>
      <w:proofErr w:type="spellStart"/>
      <w:r w:rsidR="009171EE">
        <w:rPr>
          <w:rFonts w:cs="Times New Roman"/>
          <w:bCs/>
        </w:rPr>
        <w:t>score</w:t>
      </w:r>
      <w:proofErr w:type="spellEnd"/>
      <w:r w:rsidR="009171EE">
        <w:rPr>
          <w:rFonts w:cs="Times New Roman"/>
          <w:bCs/>
        </w:rPr>
        <w:t>.</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Pr>
                <w:rFonts w:eastAsia="Times New Roman"/>
                <w:b/>
                <w:szCs w:val="32"/>
              </w:rPr>
              <w:t>ciągłe</w:t>
            </w:r>
            <w:proofErr w:type="spellEnd"/>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AgeDays</w:t>
            </w:r>
            <w:proofErr w:type="spellEnd"/>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LocalBranches</w:t>
            </w:r>
            <w:proofErr w:type="spellEnd"/>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SecondaryPKDCount</w:t>
            </w:r>
            <w:proofErr w:type="spellEnd"/>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ActiveLicenses</w:t>
            </w:r>
            <w:proofErr w:type="spellEnd"/>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RevertedLicenses</w:t>
            </w:r>
            <w:proofErr w:type="spellEnd"/>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ExpiredLicenses</w:t>
            </w:r>
            <w:proofErr w:type="spellEnd"/>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DeclaredAc</w:t>
            </w:r>
            <w:r w:rsidRPr="00432DEB">
              <w:rPr>
                <w:rFonts w:eastAsia="Times New Roman"/>
                <w:sz w:val="20"/>
                <w:szCs w:val="20"/>
                <w:lang w:val="pl-PL"/>
              </w:rPr>
              <w:lastRenderedPageBreak/>
              <w:t>countsCount</w:t>
            </w:r>
            <w:proofErr w:type="spellEnd"/>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lastRenderedPageBreak/>
              <w:t>Liczba rachunków bankowych zadeklarowanych p</w:t>
            </w:r>
            <w:r>
              <w:rPr>
                <w:rFonts w:eastAsia="Times New Roman"/>
                <w:sz w:val="20"/>
                <w:szCs w:val="20"/>
                <w:lang w:val="pl-PL"/>
              </w:rPr>
              <w:t xml:space="preserve">rzez przedsiębiorstwo w rejestrze podatników </w:t>
            </w:r>
            <w:r>
              <w:rPr>
                <w:rFonts w:eastAsia="Times New Roman"/>
                <w:sz w:val="20"/>
                <w:szCs w:val="20"/>
                <w:lang w:val="pl-PL"/>
              </w:rPr>
              <w:lastRenderedPageBreak/>
              <w:t>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w:t>
            </w:r>
            <w:r w:rsidRPr="00D308A7">
              <w:rPr>
                <w:rFonts w:eastAsia="Times New Roman"/>
                <w:sz w:val="20"/>
                <w:szCs w:val="20"/>
                <w:lang w:val="pl-PL"/>
              </w:rPr>
              <w:lastRenderedPageBreak/>
              <w:t>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RepresentationCount</w:t>
            </w:r>
            <w:proofErr w:type="spellEnd"/>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NumberOfEmployees</w:t>
            </w:r>
            <w:proofErr w:type="spellEnd"/>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ExecutivesCount</w:t>
            </w:r>
            <w:proofErr w:type="spellEnd"/>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OwnersCount</w:t>
            </w:r>
            <w:proofErr w:type="spellEnd"/>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AffiliatesCount</w:t>
            </w:r>
            <w:proofErr w:type="spellEnd"/>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ExternalIdsOthers</w:t>
            </w:r>
            <w:proofErr w:type="spellEnd"/>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RegisteredCapitalValue</w:t>
            </w:r>
            <w:proofErr w:type="spellEnd"/>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AuditDaysAgo</w:t>
            </w:r>
            <w:proofErr w:type="spellEnd"/>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PreviousNamesCount</w:t>
            </w:r>
            <w:proofErr w:type="spellEnd"/>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PreviousNameChangeYearsAgo</w:t>
            </w:r>
            <w:proofErr w:type="spellEnd"/>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LatestMarketCapitalization</w:t>
            </w:r>
            <w:proofErr w:type="spellEnd"/>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DividendSum</w:t>
            </w:r>
            <w:proofErr w:type="spellEnd"/>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NetSalesRevenue</w:t>
            </w:r>
            <w:proofErr w:type="spellEnd"/>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OperatingProfitEBIT</w:t>
            </w:r>
            <w:proofErr w:type="spellEnd"/>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w:t>
            </w:r>
            <w:r w:rsidR="00F95432">
              <w:rPr>
                <w:rFonts w:eastAsia="Times New Roman"/>
                <w:sz w:val="20"/>
                <w:szCs w:val="20"/>
                <w:lang w:val="pl-PL"/>
              </w:rPr>
              <w:lastRenderedPageBreak/>
              <w:t>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EmployeeBenefitExpense</w:t>
            </w:r>
            <w:proofErr w:type="spellEnd"/>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TotalAssets</w:t>
            </w:r>
            <w:proofErr w:type="spellEnd"/>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NetProfitLossForThePeriod</w:t>
            </w:r>
            <w:proofErr w:type="spellEnd"/>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PropertyPlantAndEquipment</w:t>
            </w:r>
            <w:proofErr w:type="spellEnd"/>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CashandCashEquivalents</w:t>
            </w:r>
            <w:proofErr w:type="spellEnd"/>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TotalEquity</w:t>
            </w:r>
            <w:proofErr w:type="spellEnd"/>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IssuedCapital</w:t>
            </w:r>
            <w:proofErr w:type="spellEnd"/>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WorkingCapital</w:t>
            </w:r>
            <w:proofErr w:type="spellEnd"/>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RetainedEarnings</w:t>
            </w:r>
            <w:proofErr w:type="spellEnd"/>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TotalLiabilities</w:t>
            </w:r>
            <w:proofErr w:type="spellEnd"/>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t>
            </w:r>
            <w:r>
              <w:rPr>
                <w:rFonts w:eastAsia="Times New Roman"/>
                <w:sz w:val="20"/>
                <w:szCs w:val="20"/>
                <w:lang w:val="pl-PL"/>
              </w:rPr>
              <w:lastRenderedPageBreak/>
              <w:t>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 xml:space="preserve">Średnia: 13608,12; mediana: 575,98; odchylenie standardowe: </w:t>
            </w:r>
            <w:r w:rsidRPr="00D308A7">
              <w:rPr>
                <w:rFonts w:eastAsia="Times New Roman"/>
                <w:sz w:val="20"/>
                <w:szCs w:val="20"/>
                <w:lang w:val="pl-PL"/>
              </w:rPr>
              <w:lastRenderedPageBreak/>
              <w:t>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CurrentLiabilities</w:t>
            </w:r>
            <w:proofErr w:type="spellEnd"/>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NonCurrentLiabilities</w:t>
            </w:r>
            <w:proofErr w:type="spellEnd"/>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ProfitBeforeIncomeTax</w:t>
            </w:r>
            <w:proofErr w:type="spellEnd"/>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IncomeTax</w:t>
            </w:r>
            <w:proofErr w:type="spellEnd"/>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DepreciationImpairment</w:t>
            </w:r>
            <w:proofErr w:type="spellEnd"/>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DepreciationAmortization</w:t>
            </w:r>
            <w:proofErr w:type="spellEnd"/>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CurrentAssets</w:t>
            </w:r>
            <w:proofErr w:type="spellEnd"/>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8101E1" w:rsidRPr="007A70E2" w14:paraId="4C268BF8" w14:textId="77777777" w:rsidTr="00984E49">
        <w:trPr>
          <w:trHeight w:val="680"/>
        </w:trPr>
        <w:tc>
          <w:tcPr>
            <w:tcW w:w="1526" w:type="dxa"/>
            <w:vAlign w:val="center"/>
          </w:tcPr>
          <w:p w14:paraId="4145C90F" w14:textId="45B7C873"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075C5597" w:rsidR="008101E1" w:rsidRPr="00432DEB" w:rsidRDefault="00FE58C6"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WorkingCapital</w:t>
            </w:r>
            <w:proofErr w:type="spellEnd"/>
            <w:r>
              <w:rPr>
                <w:rFonts w:eastAsia="Times New Roman"/>
                <w:sz w:val="20"/>
                <w:szCs w:val="20"/>
                <w:lang w:val="pl-PL"/>
              </w:rPr>
              <w:t xml:space="preserve"> / Total </w:t>
            </w:r>
            <w:proofErr w:type="spellStart"/>
            <w:r>
              <w:rPr>
                <w:rFonts w:eastAsia="Times New Roman"/>
                <w:sz w:val="20"/>
                <w:szCs w:val="20"/>
                <w:lang w:val="pl-PL"/>
              </w:rPr>
              <w:t>Assets</w:t>
            </w:r>
            <w:proofErr w:type="spellEnd"/>
          </w:p>
        </w:tc>
        <w:tc>
          <w:tcPr>
            <w:tcW w:w="3260" w:type="dxa"/>
            <w:vAlign w:val="center"/>
          </w:tcPr>
          <w:p w14:paraId="6751E762" w14:textId="508D1BD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8101E1" w:rsidRPr="007A70E2" w14:paraId="60618AE6" w14:textId="77777777" w:rsidTr="00984E49">
        <w:trPr>
          <w:trHeight w:val="680"/>
        </w:trPr>
        <w:tc>
          <w:tcPr>
            <w:tcW w:w="1526" w:type="dxa"/>
            <w:vAlign w:val="center"/>
          </w:tcPr>
          <w:p w14:paraId="447DDFB0" w14:textId="6BA9722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4621B065" w:rsidR="008101E1" w:rsidRPr="00432DEB" w:rsidRDefault="00FE58C6" w:rsidP="00432DEB">
            <w:pPr>
              <w:spacing w:line="360" w:lineRule="auto"/>
              <w:ind w:right="140"/>
              <w:jc w:val="both"/>
              <w:rPr>
                <w:rFonts w:eastAsia="Times New Roman"/>
                <w:sz w:val="20"/>
                <w:szCs w:val="20"/>
                <w:lang w:val="pl-PL"/>
              </w:rPr>
            </w:pPr>
            <w:proofErr w:type="spellStart"/>
            <w:r w:rsidRPr="00FE58C6">
              <w:rPr>
                <w:rFonts w:eastAsia="Times New Roman"/>
                <w:sz w:val="20"/>
                <w:szCs w:val="20"/>
                <w:lang w:val="pl-PL"/>
              </w:rPr>
              <w:t>RetainedEarnings</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TotalAssets</w:t>
            </w:r>
            <w:proofErr w:type="spellEnd"/>
          </w:p>
        </w:tc>
        <w:tc>
          <w:tcPr>
            <w:tcW w:w="3260" w:type="dxa"/>
            <w:vAlign w:val="center"/>
          </w:tcPr>
          <w:p w14:paraId="5FA537FB" w14:textId="3D9FFC6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8101E1" w:rsidRPr="007A70E2" w14:paraId="2578641D" w14:textId="77777777" w:rsidTr="00984E49">
        <w:trPr>
          <w:trHeight w:val="680"/>
        </w:trPr>
        <w:tc>
          <w:tcPr>
            <w:tcW w:w="1526" w:type="dxa"/>
            <w:vAlign w:val="center"/>
          </w:tcPr>
          <w:p w14:paraId="711A1E1A" w14:textId="7D4BF68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A3</w:t>
            </w:r>
          </w:p>
        </w:tc>
        <w:tc>
          <w:tcPr>
            <w:tcW w:w="4394" w:type="dxa"/>
            <w:vAlign w:val="center"/>
          </w:tcPr>
          <w:p w14:paraId="1201B180" w14:textId="03CC3921"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OperatingProfitEBIT</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TotalAssets</w:t>
            </w:r>
            <w:proofErr w:type="spellEnd"/>
          </w:p>
        </w:tc>
        <w:tc>
          <w:tcPr>
            <w:tcW w:w="3260" w:type="dxa"/>
            <w:vAlign w:val="center"/>
          </w:tcPr>
          <w:p w14:paraId="66033E42" w14:textId="7AAE414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8101E1" w:rsidRPr="00B15E31" w14:paraId="4A9F5E68" w14:textId="77777777" w:rsidTr="00984E49">
        <w:trPr>
          <w:trHeight w:val="680"/>
        </w:trPr>
        <w:tc>
          <w:tcPr>
            <w:tcW w:w="1526" w:type="dxa"/>
            <w:vAlign w:val="center"/>
          </w:tcPr>
          <w:p w14:paraId="3E375B5D" w14:textId="05680F9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777BEC31"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TotalEquity</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p>
        </w:tc>
        <w:tc>
          <w:tcPr>
            <w:tcW w:w="3260" w:type="dxa"/>
            <w:vAlign w:val="center"/>
          </w:tcPr>
          <w:p w14:paraId="0B2FFA3B" w14:textId="4E2686A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8101E1" w:rsidRPr="00B15E31" w14:paraId="4968360E" w14:textId="77777777" w:rsidTr="00984E49">
        <w:trPr>
          <w:trHeight w:val="680"/>
        </w:trPr>
        <w:tc>
          <w:tcPr>
            <w:tcW w:w="1526" w:type="dxa"/>
            <w:vAlign w:val="center"/>
          </w:tcPr>
          <w:p w14:paraId="1901BB4E" w14:textId="23268A9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24D8BD3"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NetSalesRevenue</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p>
        </w:tc>
        <w:tc>
          <w:tcPr>
            <w:tcW w:w="3260" w:type="dxa"/>
            <w:vAlign w:val="center"/>
          </w:tcPr>
          <w:p w14:paraId="7F8C6E16" w14:textId="3508135B"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8101E1" w:rsidRPr="00B15E31" w14:paraId="7EA12FE6" w14:textId="77777777" w:rsidTr="00984E49">
        <w:trPr>
          <w:trHeight w:val="680"/>
        </w:trPr>
        <w:tc>
          <w:tcPr>
            <w:tcW w:w="1526" w:type="dxa"/>
            <w:vAlign w:val="center"/>
          </w:tcPr>
          <w:p w14:paraId="61D87DF1" w14:textId="6B9F80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075C2B68" w:rsidR="008101E1" w:rsidRPr="00432DEB" w:rsidRDefault="00FE58C6" w:rsidP="00432DEB">
            <w:pPr>
              <w:spacing w:line="360" w:lineRule="auto"/>
              <w:ind w:right="140"/>
              <w:jc w:val="both"/>
              <w:rPr>
                <w:rFonts w:eastAsia="Times New Roman"/>
                <w:sz w:val="20"/>
                <w:szCs w:val="20"/>
                <w:lang w:val="pl-PL"/>
              </w:rPr>
            </w:pPr>
            <w:r w:rsidRPr="00FE58C6">
              <w:rPr>
                <w:rFonts w:eastAsia="Times New Roman"/>
                <w:sz w:val="20"/>
                <w:szCs w:val="20"/>
                <w:lang w:val="pl-PL"/>
              </w:rPr>
              <w:t>(</w:t>
            </w:r>
            <w:proofErr w:type="spellStart"/>
            <w:r w:rsidRPr="00FE58C6">
              <w:rPr>
                <w:rFonts w:eastAsia="Times New Roman"/>
                <w:sz w:val="20"/>
                <w:szCs w:val="20"/>
                <w:lang w:val="pl-PL"/>
              </w:rPr>
              <w:t>NetSalesRevenue</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DepreciationImpairment</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TotalLiabilities</w:t>
            </w:r>
            <w:proofErr w:type="spellEnd"/>
          </w:p>
        </w:tc>
        <w:tc>
          <w:tcPr>
            <w:tcW w:w="3260" w:type="dxa"/>
            <w:vAlign w:val="center"/>
          </w:tcPr>
          <w:p w14:paraId="2E0E88C1" w14:textId="4ADC6DC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8101E1" w:rsidRPr="00B15E31" w14:paraId="100417B3" w14:textId="77777777" w:rsidTr="00984E49">
        <w:trPr>
          <w:trHeight w:val="680"/>
        </w:trPr>
        <w:tc>
          <w:tcPr>
            <w:tcW w:w="1526" w:type="dxa"/>
            <w:vAlign w:val="center"/>
          </w:tcPr>
          <w:p w14:paraId="203DDE80" w14:textId="04D91D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6CDBD1AE"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CurrentLiabilities</w:t>
            </w:r>
            <w:proofErr w:type="spellEnd"/>
          </w:p>
        </w:tc>
        <w:tc>
          <w:tcPr>
            <w:tcW w:w="3260" w:type="dxa"/>
            <w:vAlign w:val="center"/>
          </w:tcPr>
          <w:p w14:paraId="507E154D" w14:textId="76F889F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8101E1" w:rsidRPr="00B15E31" w14:paraId="1295D2E0" w14:textId="77777777" w:rsidTr="00984E49">
        <w:trPr>
          <w:trHeight w:val="680"/>
        </w:trPr>
        <w:tc>
          <w:tcPr>
            <w:tcW w:w="1526" w:type="dxa"/>
            <w:vAlign w:val="center"/>
          </w:tcPr>
          <w:p w14:paraId="527BDC85" w14:textId="2458A6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1B90F291"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CurrentLiabilities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p>
        </w:tc>
        <w:tc>
          <w:tcPr>
            <w:tcW w:w="3260" w:type="dxa"/>
            <w:vAlign w:val="center"/>
          </w:tcPr>
          <w:p w14:paraId="2DBBA42B" w14:textId="4D5B181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8101E1" w:rsidRPr="00B15E31" w14:paraId="7EED30D1" w14:textId="77777777" w:rsidTr="00984E49">
        <w:trPr>
          <w:trHeight w:val="680"/>
        </w:trPr>
        <w:tc>
          <w:tcPr>
            <w:tcW w:w="1526" w:type="dxa"/>
            <w:vAlign w:val="center"/>
          </w:tcPr>
          <w:p w14:paraId="79CAE20A" w14:textId="6044D41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734F6802"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CurrentLiabilities</w:t>
            </w:r>
            <w:proofErr w:type="spellEnd"/>
          </w:p>
        </w:tc>
        <w:tc>
          <w:tcPr>
            <w:tcW w:w="3260" w:type="dxa"/>
            <w:vAlign w:val="center"/>
          </w:tcPr>
          <w:p w14:paraId="1CB5A0F9" w14:textId="2292180B"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8101E1" w:rsidRPr="00B15E31" w14:paraId="35F06CF8" w14:textId="77777777" w:rsidTr="00984E49">
        <w:trPr>
          <w:trHeight w:val="680"/>
        </w:trPr>
        <w:tc>
          <w:tcPr>
            <w:tcW w:w="1526" w:type="dxa"/>
            <w:vAlign w:val="center"/>
          </w:tcPr>
          <w:p w14:paraId="576434F0" w14:textId="733140A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0D2B9905"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p>
        </w:tc>
        <w:tc>
          <w:tcPr>
            <w:tcW w:w="3260" w:type="dxa"/>
            <w:vAlign w:val="center"/>
          </w:tcPr>
          <w:p w14:paraId="1FD7D418" w14:textId="61D4992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96,26; mediana: 1,89; odchylenie standardowe: 1154,24</w:t>
            </w:r>
          </w:p>
        </w:tc>
      </w:tr>
      <w:tr w:rsidR="008101E1" w:rsidRPr="00B15E31" w14:paraId="21E991FB" w14:textId="77777777" w:rsidTr="00984E49">
        <w:trPr>
          <w:trHeight w:val="680"/>
        </w:trPr>
        <w:tc>
          <w:tcPr>
            <w:tcW w:w="1526" w:type="dxa"/>
            <w:vAlign w:val="center"/>
          </w:tcPr>
          <w:p w14:paraId="1A4CF337" w14:textId="4255EB53"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0DB3DB41"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NetSalesRevenue</w:t>
            </w:r>
            <w:proofErr w:type="spellEnd"/>
          </w:p>
        </w:tc>
        <w:tc>
          <w:tcPr>
            <w:tcW w:w="3260" w:type="dxa"/>
            <w:vAlign w:val="center"/>
          </w:tcPr>
          <w:p w14:paraId="528DB870" w14:textId="71113C7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8101E1" w:rsidRPr="00B15E31" w14:paraId="57915069" w14:textId="77777777" w:rsidTr="00984E49">
        <w:trPr>
          <w:trHeight w:val="680"/>
        </w:trPr>
        <w:tc>
          <w:tcPr>
            <w:tcW w:w="1526" w:type="dxa"/>
            <w:vAlign w:val="center"/>
          </w:tcPr>
          <w:p w14:paraId="1744FA69" w14:textId="16F18CC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6F1A2830" w:rsidR="008101E1" w:rsidRPr="00432DEB" w:rsidRDefault="00897B3B" w:rsidP="00432DEB">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p>
        </w:tc>
        <w:tc>
          <w:tcPr>
            <w:tcW w:w="3260" w:type="dxa"/>
            <w:vAlign w:val="center"/>
          </w:tcPr>
          <w:p w14:paraId="67AF9FC6" w14:textId="1D296CE3"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r w:rsidR="008101E1" w:rsidRPr="00B15E31" w14:paraId="3FFBFE4B" w14:textId="77777777" w:rsidTr="00984E49">
        <w:trPr>
          <w:trHeight w:val="680"/>
        </w:trPr>
        <w:tc>
          <w:tcPr>
            <w:tcW w:w="1526" w:type="dxa"/>
            <w:vAlign w:val="center"/>
          </w:tcPr>
          <w:p w14:paraId="2970AA1D" w14:textId="2AD103D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BruttoMargin</w:t>
            </w:r>
            <w:proofErr w:type="spellEnd"/>
          </w:p>
        </w:tc>
        <w:tc>
          <w:tcPr>
            <w:tcW w:w="4394" w:type="dxa"/>
            <w:vAlign w:val="center"/>
          </w:tcPr>
          <w:p w14:paraId="623AF19A" w14:textId="3EA471BD" w:rsidR="008101E1" w:rsidRPr="00432DEB" w:rsidRDefault="00AB2FF4" w:rsidP="00432DEB">
            <w:pPr>
              <w:spacing w:line="360" w:lineRule="auto"/>
              <w:ind w:right="140"/>
              <w:jc w:val="both"/>
              <w:rPr>
                <w:rFonts w:eastAsia="Times New Roman"/>
                <w:sz w:val="20"/>
                <w:szCs w:val="20"/>
                <w:lang w:val="pl-PL"/>
              </w:rPr>
            </w:pPr>
            <w:r>
              <w:rPr>
                <w:rFonts w:eastAsia="Times New Roman"/>
                <w:sz w:val="20"/>
                <w:szCs w:val="20"/>
                <w:lang w:val="pl-PL"/>
              </w:rPr>
              <w:t>Marża brutto ze sprzedaży</w:t>
            </w:r>
            <w:r w:rsidR="004A065A">
              <w:rPr>
                <w:rFonts w:eastAsia="Times New Roman"/>
                <w:sz w:val="20"/>
                <w:szCs w:val="20"/>
                <w:lang w:val="pl-PL"/>
              </w:rPr>
              <w:t xml:space="preserve"> w roku finansowym poprzedzającym likwidację działalności lub pobranie danych według złożonego sprawozdania finansowego</w:t>
            </w:r>
            <w:r w:rsidR="00885F46">
              <w:rPr>
                <w:rFonts w:eastAsia="Times New Roman"/>
                <w:sz w:val="20"/>
                <w:szCs w:val="20"/>
                <w:lang w:val="pl-PL"/>
              </w:rPr>
              <w:t xml:space="preserve"> (</w:t>
            </w:r>
            <w:proofErr w:type="spellStart"/>
            <w:r w:rsidR="00885F46" w:rsidRPr="00885F46">
              <w:rPr>
                <w:rFonts w:eastAsia="Times New Roman"/>
                <w:sz w:val="20"/>
                <w:szCs w:val="20"/>
                <w:lang w:val="pl-PL"/>
              </w:rPr>
              <w:t>OperatingProfitEBIT</w:t>
            </w:r>
            <w:proofErr w:type="spellEnd"/>
            <w:r w:rsidR="00885F46">
              <w:rPr>
                <w:rFonts w:eastAsia="Times New Roman"/>
                <w:sz w:val="20"/>
                <w:szCs w:val="20"/>
                <w:lang w:val="pl-PL"/>
              </w:rPr>
              <w:t xml:space="preserve"> / </w:t>
            </w:r>
            <w:proofErr w:type="spellStart"/>
            <w:r w:rsidR="00885F46" w:rsidRPr="00885F46">
              <w:rPr>
                <w:rFonts w:eastAsia="Times New Roman"/>
                <w:sz w:val="20"/>
                <w:szCs w:val="20"/>
                <w:lang w:val="pl-PL"/>
              </w:rPr>
              <w:t>TotalAssets</w:t>
            </w:r>
            <w:proofErr w:type="spellEnd"/>
            <w:r w:rsidR="00885F46">
              <w:rPr>
                <w:rFonts w:eastAsia="Times New Roman"/>
                <w:sz w:val="20"/>
                <w:szCs w:val="20"/>
                <w:lang w:val="pl-PL"/>
              </w:rPr>
              <w:t>)</w:t>
            </w:r>
          </w:p>
        </w:tc>
        <w:tc>
          <w:tcPr>
            <w:tcW w:w="3260" w:type="dxa"/>
            <w:vAlign w:val="center"/>
          </w:tcPr>
          <w:p w14:paraId="0A537D56" w14:textId="0B59838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-29,81; mediana: 0,0; odchylenie standardowe: 427,1</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5A6BEDC2" w14:textId="33FEAA20" w:rsidR="009A7F07" w:rsidRDefault="009A7F07" w:rsidP="00AA187E">
      <w:pPr>
        <w:pStyle w:val="Default"/>
        <w:spacing w:line="360" w:lineRule="auto"/>
        <w:jc w:val="both"/>
        <w:rPr>
          <w:rFonts w:ascii="Times New Roman" w:hAnsi="Times New Roman" w:cs="Times New Roman"/>
          <w:bCs/>
        </w:rPr>
      </w:pPr>
      <w:r>
        <w:rPr>
          <w:rFonts w:ascii="Times New Roman" w:hAnsi="Times New Roman" w:cs="Times New Roman"/>
          <w:bCs/>
        </w:rPr>
        <w:tab/>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t>
      </w:r>
      <w:r>
        <w:rPr>
          <w:rFonts w:ascii="Times New Roman" w:hAnsi="Times New Roman" w:cs="Times New Roman"/>
          <w:bCs/>
        </w:rPr>
        <w:lastRenderedPageBreak/>
        <w:t xml:space="preserve">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5813E899" w:rsidR="00333D72" w:rsidRPr="00333D72" w:rsidRDefault="00333D72" w:rsidP="00457789">
      <w:pPr>
        <w:pStyle w:val="Legenda"/>
        <w:keepNext/>
        <w:spacing w:line="360" w:lineRule="auto"/>
        <w:jc w:val="both"/>
        <w:rPr>
          <w:i w:val="0"/>
          <w:iCs w:val="0"/>
          <w:color w:val="auto"/>
          <w:sz w:val="24"/>
          <w:szCs w:val="24"/>
        </w:rPr>
      </w:pPr>
      <w:bookmarkStart w:id="17" w:name="_Toc61194496"/>
      <w:r w:rsidRPr="00333D72">
        <w:rPr>
          <w:i w:val="0"/>
          <w:iCs w:val="0"/>
          <w:color w:val="auto"/>
          <w:sz w:val="24"/>
          <w:szCs w:val="24"/>
        </w:rPr>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433642">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7E9D6580" w:rsidR="00734953" w:rsidRPr="00734953" w:rsidRDefault="00734953" w:rsidP="00734953">
      <w:pPr>
        <w:pStyle w:val="Legenda"/>
        <w:keepNext/>
        <w:spacing w:line="360" w:lineRule="auto"/>
        <w:jc w:val="both"/>
        <w:rPr>
          <w:i w:val="0"/>
          <w:iCs w:val="0"/>
          <w:color w:val="auto"/>
          <w:sz w:val="24"/>
          <w:szCs w:val="24"/>
        </w:rPr>
      </w:pPr>
      <w:bookmarkStart w:id="18" w:name="_Toc61194497"/>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433642">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w:t>
      </w:r>
      <w:r w:rsidR="00433642">
        <w:rPr>
          <w:rFonts w:cs="Times New Roman"/>
          <w:szCs w:val="24"/>
        </w:rPr>
        <w:t>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Analogiczną analizę przeprowadzono dla pozostałych zmiennych numerycznych.</w:t>
      </w:r>
      <w:r w:rsidR="00433642">
        <w:rPr>
          <w:rFonts w:cs="Times New Roman"/>
          <w:szCs w:val="24"/>
        </w:rPr>
        <w:t xml:space="preserve"> </w:t>
      </w:r>
    </w:p>
    <w:p w14:paraId="51D40375" w14:textId="09A9FA1C" w:rsidR="00433642" w:rsidRPr="00433642" w:rsidRDefault="00433642" w:rsidP="00433642">
      <w:pPr>
        <w:pStyle w:val="Legenda"/>
        <w:keepNext/>
        <w:spacing w:line="360" w:lineRule="auto"/>
        <w:jc w:val="both"/>
        <w:rPr>
          <w:i w:val="0"/>
          <w:iCs w:val="0"/>
          <w:color w:val="auto"/>
          <w:sz w:val="24"/>
          <w:szCs w:val="24"/>
        </w:rPr>
      </w:pPr>
      <w:bookmarkStart w:id="19" w:name="_Toc61194498"/>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Pr="00433642">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214640"/>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1"/>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0715CDDF"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54FA8">
        <w:rPr>
          <w:rStyle w:val="Odwoanieprzypisudolnego"/>
          <w:rFonts w:ascii="Times New Roman" w:hAnsi="Times New Roman" w:cs="Times New Roman"/>
        </w:rPr>
        <w:footnoteReference w:id="22"/>
      </w:r>
      <w:r w:rsidR="009348C5">
        <w:rPr>
          <w:rFonts w:ascii="Times New Roman" w:hAnsi="Times New Roman" w:cs="Times New Roman"/>
        </w:rPr>
        <w:t>.</w:t>
      </w:r>
    </w:p>
    <w:p w14:paraId="46B602D8" w14:textId="28E22D94" w:rsidR="00F76046" w:rsidRDefault="00325A67" w:rsidP="00325A67">
      <w:pPr>
        <w:pStyle w:val="Default"/>
        <w:spacing w:line="360" w:lineRule="auto"/>
        <w:jc w:val="both"/>
        <w:rPr>
          <w:rFonts w:ascii="Times New Roman" w:hAnsi="Times New Roman" w:cs="Times New Roman"/>
        </w:rPr>
      </w:pPr>
      <w:r>
        <w:rPr>
          <w:rFonts w:ascii="Times New Roman" w:hAnsi="Times New Roman" w:cs="Times New Roman"/>
        </w:rPr>
        <w:tab/>
      </w:r>
      <w:r w:rsidRPr="000151DE">
        <w:rPr>
          <w:rFonts w:ascii="Times New Roman" w:hAnsi="Times New Roman" w:cs="Times New Roman"/>
          <w:highlight w:val="yellow"/>
        </w:rPr>
        <w:t>Po wykonaniu przeprowadzeniu analizy eksploracyjnej i transformacji zebranych danych kolejnym wykonanym krokiem było zweryfikowanie istotności i jakości zmiennych</w:t>
      </w:r>
      <w:r w:rsidR="009A2305" w:rsidRPr="000151DE">
        <w:rPr>
          <w:rFonts w:ascii="Times New Roman" w:hAnsi="Times New Roman" w:cs="Times New Roman"/>
          <w:highlight w:val="yellow"/>
        </w:rPr>
        <w:t xml:space="preserve"> z perspektywy budowy modelu.</w:t>
      </w:r>
      <w:r w:rsidR="00CB0452" w:rsidRPr="000151DE">
        <w:rPr>
          <w:rFonts w:ascii="Times New Roman" w:hAnsi="Times New Roman" w:cs="Times New Roman"/>
          <w:highlight w:val="yellow"/>
        </w:rPr>
        <w:t xml:space="preserve"> W tym celu zastosowano oddzielny model oparty o algorytm Boruta, który robi to i to.</w:t>
      </w:r>
      <w:r w:rsidR="00C60621">
        <w:rPr>
          <w:rFonts w:ascii="Times New Roman" w:hAnsi="Times New Roman" w:cs="Times New Roman"/>
        </w:rPr>
        <w:t xml:space="preserve"> Dodaj, że jest efektywne i sprawdza się do wyboru zmiennych do modeli klasyfikacyjnych ale czas obliczeń jest skandalicznie długi.</w:t>
      </w:r>
    </w:p>
    <w:p w14:paraId="478A2D6C" w14:textId="77777777" w:rsidR="0036063C" w:rsidRDefault="00F76046" w:rsidP="00325A67">
      <w:pPr>
        <w:pStyle w:val="Default"/>
        <w:spacing w:line="360" w:lineRule="auto"/>
        <w:jc w:val="both"/>
        <w:rPr>
          <w:rFonts w:ascii="Times New Roman" w:hAnsi="Times New Roman" w:cs="Times New Roman"/>
        </w:rPr>
      </w:pPr>
      <w:r>
        <w:rPr>
          <w:rFonts w:ascii="Times New Roman" w:hAnsi="Times New Roman" w:cs="Times New Roman"/>
        </w:rPr>
        <w:tab/>
      </w:r>
    </w:p>
    <w:p w14:paraId="07DBAB3B" w14:textId="77777777" w:rsidR="0036063C" w:rsidRDefault="0036063C">
      <w:pPr>
        <w:spacing w:after="160"/>
        <w:rPr>
          <w:rFonts w:cs="Times New Roman"/>
          <w:color w:val="000000"/>
          <w:szCs w:val="24"/>
        </w:rPr>
      </w:pPr>
      <w:r>
        <w:rPr>
          <w:rFonts w:cs="Times New Roman"/>
        </w:rPr>
        <w:br w:type="page"/>
      </w:r>
    </w:p>
    <w:p w14:paraId="481AAC47" w14:textId="1AFD70C3" w:rsidR="00C60621" w:rsidRDefault="00F76046"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Dla każdej zmiennej zostało wyliczone jej min max i </w:t>
      </w:r>
      <w:proofErr w:type="spellStart"/>
      <w:r>
        <w:rPr>
          <w:rFonts w:ascii="Times New Roman" w:hAnsi="Times New Roman" w:cs="Times New Roman"/>
        </w:rPr>
        <w:t>mean</w:t>
      </w:r>
      <w:proofErr w:type="spellEnd"/>
      <w:r>
        <w:rPr>
          <w:rFonts w:ascii="Times New Roman" w:hAnsi="Times New Roman" w:cs="Times New Roman"/>
        </w:rPr>
        <w:t xml:space="preserve"> </w:t>
      </w:r>
      <w:proofErr w:type="spellStart"/>
      <w:r>
        <w:rPr>
          <w:rFonts w:ascii="Times New Roman" w:hAnsi="Times New Roman" w:cs="Times New Roman"/>
        </w:rPr>
        <w:t>importance</w:t>
      </w:r>
      <w:proofErr w:type="spellEnd"/>
      <w:r>
        <w:rPr>
          <w:rFonts w:ascii="Times New Roman" w:hAnsi="Times New Roman" w:cs="Times New Roman"/>
        </w:rPr>
        <w:t>.</w:t>
      </w:r>
      <w:r w:rsidR="00C60621">
        <w:rPr>
          <w:rFonts w:ascii="Times New Roman" w:hAnsi="Times New Roman" w:cs="Times New Roman"/>
        </w:rPr>
        <w:t xml:space="preserve"> Zmienne uszeregowano po </w:t>
      </w:r>
      <w:proofErr w:type="spellStart"/>
      <w:r w:rsidR="00C60621">
        <w:rPr>
          <w:rFonts w:ascii="Times New Roman" w:hAnsi="Times New Roman" w:cs="Times New Roman"/>
        </w:rPr>
        <w:t>meanImportance</w:t>
      </w:r>
      <w:proofErr w:type="spellEnd"/>
      <w:r w:rsidR="00C60621">
        <w:rPr>
          <w:rFonts w:ascii="Times New Roman" w:hAnsi="Times New Roman" w:cs="Times New Roman"/>
        </w:rPr>
        <w:t>.</w:t>
      </w:r>
      <w:r>
        <w:rPr>
          <w:rFonts w:ascii="Times New Roman" w:hAnsi="Times New Roman" w:cs="Times New Roman"/>
        </w:rPr>
        <w:t xml:space="preserve"> Na podstawie </w:t>
      </w:r>
      <w:proofErr w:type="spellStart"/>
      <w:r>
        <w:rPr>
          <w:rFonts w:ascii="Times New Roman" w:hAnsi="Times New Roman" w:cs="Times New Roman"/>
        </w:rPr>
        <w:t>cut</w:t>
      </w:r>
      <w:proofErr w:type="spellEnd"/>
      <w:r>
        <w:rPr>
          <w:rFonts w:ascii="Times New Roman" w:hAnsi="Times New Roman" w:cs="Times New Roman"/>
        </w:rPr>
        <w:t xml:space="preserve"> </w:t>
      </w:r>
      <w:proofErr w:type="spellStart"/>
      <w:r>
        <w:rPr>
          <w:rFonts w:ascii="Times New Roman" w:hAnsi="Times New Roman" w:cs="Times New Roman"/>
        </w:rPr>
        <w:t>offfu</w:t>
      </w:r>
      <w:proofErr w:type="spellEnd"/>
      <w:r>
        <w:rPr>
          <w:rFonts w:ascii="Times New Roman" w:hAnsi="Times New Roman" w:cs="Times New Roman"/>
        </w:rPr>
        <w:t xml:space="preserve"> wyznaczonego przez model </w:t>
      </w:r>
      <w:r w:rsidR="00C60621">
        <w:rPr>
          <w:rFonts w:ascii="Times New Roman" w:hAnsi="Times New Roman" w:cs="Times New Roman"/>
        </w:rPr>
        <w:t>zmienne o niskiej wartości predykcyjnej zostały odrzucone. Na tej podstawie do modelu zaakceptowanych zostało X zmiennych, które zostały wylistowane w tabeli poniżej.</w:t>
      </w:r>
    </w:p>
    <w:p w14:paraId="13FCECF0" w14:textId="49B32B21" w:rsidR="00C60621" w:rsidRDefault="0036063C" w:rsidP="00325A67">
      <w:pPr>
        <w:pStyle w:val="Default"/>
        <w:spacing w:line="360" w:lineRule="auto"/>
        <w:jc w:val="both"/>
        <w:rPr>
          <w:rFonts w:ascii="Times New Roman" w:hAnsi="Times New Roman" w:cs="Times New Roman"/>
        </w:rPr>
      </w:pPr>
      <w:r>
        <w:rPr>
          <w:rFonts w:ascii="Times New Roman" w:hAnsi="Times New Roman" w:cs="Times New Roman"/>
        </w:rPr>
        <w:t>Tabela2</w:t>
      </w:r>
    </w:p>
    <w:p w14:paraId="426C2423" w14:textId="77777777" w:rsidR="0036063C" w:rsidRDefault="0036063C" w:rsidP="00325A67">
      <w:pPr>
        <w:pStyle w:val="Default"/>
        <w:spacing w:line="360" w:lineRule="auto"/>
        <w:jc w:val="both"/>
        <w:rPr>
          <w:rFonts w:ascii="Times New Roman" w:hAnsi="Times New Roman" w:cs="Times New Roman"/>
        </w:rPr>
      </w:pPr>
    </w:p>
    <w:p w14:paraId="547B0A0B" w14:textId="3225DAC9" w:rsidR="00C60621"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Modelowanie:</w:t>
      </w:r>
    </w:p>
    <w:p w14:paraId="71472B3B" w14:textId="6139E09E" w:rsidR="00C60621"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046B0882" w14:textId="447E6564" w:rsidR="00C60621"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inputowanie</w:t>
      </w:r>
      <w:proofErr w:type="spellEnd"/>
      <w:r>
        <w:rPr>
          <w:rFonts w:ascii="Times New Roman" w:hAnsi="Times New Roman" w:cs="Times New Roman"/>
        </w:rPr>
        <w:t xml:space="preserve">? </w:t>
      </w:r>
    </w:p>
    <w:p w14:paraId="40048C43" w14:textId="0134255B" w:rsidR="00C60621"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 xml:space="preserve">Najpierw </w:t>
      </w:r>
      <w:proofErr w:type="spellStart"/>
      <w:r>
        <w:rPr>
          <w:rFonts w:ascii="Times New Roman" w:hAnsi="Times New Roman" w:cs="Times New Roman"/>
        </w:rPr>
        <w:t>pusczono</w:t>
      </w:r>
      <w:proofErr w:type="spellEnd"/>
      <w:r>
        <w:rPr>
          <w:rFonts w:ascii="Times New Roman" w:hAnsi="Times New Roman" w:cs="Times New Roman"/>
        </w:rPr>
        <w:t xml:space="preserve"> GBM i CRF z racji krótkiego czasu obliczeń. Po otrzymaniu wstępnych wyników skupiono się na NN i optymalizacji parametrów modelu. Z doświadczenia autora przy rozwiązywaniu problemów klasyfikacyjnych o naturze NN dają najlepsze wyniki przy dużej liczbie zmiennych i obserwacji mimo długiego czasu obliczeń.</w:t>
      </w:r>
    </w:p>
    <w:p w14:paraId="50068C1A" w14:textId="77777777" w:rsidR="00C60621"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CRF – manipulacja parametrami,</w:t>
      </w:r>
    </w:p>
    <w:p w14:paraId="21F266CE" w14:textId="77777777" w:rsidR="00C60621"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 xml:space="preserve">GBM – </w:t>
      </w:r>
      <w:proofErr w:type="spellStart"/>
      <w:r>
        <w:rPr>
          <w:rFonts w:ascii="Times New Roman" w:hAnsi="Times New Roman" w:cs="Times New Roman"/>
        </w:rPr>
        <w:t>grid</w:t>
      </w:r>
      <w:proofErr w:type="spellEnd"/>
      <w:r>
        <w:rPr>
          <w:rFonts w:ascii="Times New Roman" w:hAnsi="Times New Roman" w:cs="Times New Roman"/>
        </w:rPr>
        <w:t xml:space="preserve"> </w:t>
      </w:r>
      <w:proofErr w:type="spellStart"/>
      <w:r>
        <w:rPr>
          <w:rFonts w:ascii="Times New Roman" w:hAnsi="Times New Roman" w:cs="Times New Roman"/>
        </w:rPr>
        <w:t>search</w:t>
      </w:r>
      <w:proofErr w:type="spellEnd"/>
    </w:p>
    <w:p w14:paraId="179A6ADA" w14:textId="2F800CCA" w:rsidR="00CF6912" w:rsidRDefault="00C60621" w:rsidP="00325A67">
      <w:pPr>
        <w:pStyle w:val="Default"/>
        <w:spacing w:line="360" w:lineRule="auto"/>
        <w:jc w:val="both"/>
        <w:rPr>
          <w:rFonts w:ascii="Times New Roman" w:hAnsi="Times New Roman" w:cs="Times New Roman"/>
        </w:rPr>
      </w:pPr>
      <w:r>
        <w:rPr>
          <w:rFonts w:ascii="Times New Roman" w:hAnsi="Times New Roman" w:cs="Times New Roman"/>
        </w:rPr>
        <w:t xml:space="preserve">NN – dodatkowo wykonano drop </w:t>
      </w:r>
      <w:bookmarkStart w:id="21" w:name="_GoBack"/>
      <w:bookmarkEnd w:id="21"/>
      <w:proofErr w:type="spellStart"/>
      <w:r>
        <w:rPr>
          <w:rFonts w:ascii="Times New Roman" w:hAnsi="Times New Roman" w:cs="Times New Roman"/>
        </w:rPr>
        <w:t>searcha</w:t>
      </w:r>
      <w:proofErr w:type="spellEnd"/>
      <w:r>
        <w:rPr>
          <w:rFonts w:ascii="Times New Roman" w:hAnsi="Times New Roman" w:cs="Times New Roman"/>
        </w:rPr>
        <w:t xml:space="preserve"> poprzez odrzucanie po kolei zmiennych z całego zbioru danych  </w:t>
      </w:r>
      <w:r w:rsidR="0036063C">
        <w:rPr>
          <w:rFonts w:ascii="Times New Roman" w:hAnsi="Times New Roman" w:cs="Times New Roman"/>
        </w:rPr>
        <w:t xml:space="preserve">aż do zmiennych </w:t>
      </w:r>
      <w:r>
        <w:rPr>
          <w:rFonts w:ascii="Times New Roman" w:hAnsi="Times New Roman" w:cs="Times New Roman"/>
        </w:rPr>
        <w:t xml:space="preserve">ale na mniejszej liczbie iteracji </w:t>
      </w:r>
      <w:r w:rsidR="0036063C">
        <w:rPr>
          <w:rFonts w:ascii="Times New Roman" w:hAnsi="Times New Roman" w:cs="Times New Roman"/>
        </w:rPr>
        <w:t>bo moc obliczeniowa nie ta</w:t>
      </w:r>
    </w:p>
    <w:p w14:paraId="77CF4739" w14:textId="6E64A1F9" w:rsidR="00360A2C" w:rsidRPr="00325A67" w:rsidRDefault="00CF6912" w:rsidP="00325A67">
      <w:pPr>
        <w:pStyle w:val="Default"/>
        <w:spacing w:line="360" w:lineRule="auto"/>
        <w:jc w:val="both"/>
        <w:rPr>
          <w:rFonts w:ascii="Times New Roman" w:hAnsi="Times New Roman" w:cs="Times New Roman"/>
        </w:rPr>
      </w:pPr>
      <w:r>
        <w:rPr>
          <w:noProof/>
        </w:rPr>
        <w:drawing>
          <wp:inline distT="0" distB="0" distL="0" distR="0" wp14:anchorId="25A6B024" wp14:editId="3F79F3CD">
            <wp:extent cx="5760085" cy="3006090"/>
            <wp:effectExtent l="0" t="0" r="12065" b="3810"/>
            <wp:docPr id="12" name="Wykres 12">
              <a:extLst xmlns:a="http://schemas.openxmlformats.org/drawingml/2006/main">
                <a:ext uri="{FF2B5EF4-FFF2-40B4-BE49-F238E27FC236}">
                  <a16:creationId xmlns:a16="http://schemas.microsoft.com/office/drawing/2014/main" id="{6A22792F-3DE9-464A-960A-CAA4EDB29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60A2C" w:rsidRPr="00983F85">
        <w:rPr>
          <w:rFonts w:cs="Times New Roman"/>
        </w:rPr>
        <w:br w:type="page"/>
      </w:r>
    </w:p>
    <w:p w14:paraId="65EC3D1B" w14:textId="38EAD98A" w:rsidR="00360A2C" w:rsidRPr="00983F85" w:rsidRDefault="00360A2C" w:rsidP="00983F85">
      <w:pPr>
        <w:pStyle w:val="Nagwek1"/>
        <w:spacing w:line="360" w:lineRule="auto"/>
        <w:jc w:val="both"/>
        <w:rPr>
          <w:rFonts w:cs="Times New Roman"/>
          <w:szCs w:val="24"/>
        </w:rPr>
      </w:pPr>
      <w:bookmarkStart w:id="22" w:name="_Toc61214641"/>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45D8BBB8" w:rsidR="00360A2C" w:rsidRPr="00983F85" w:rsidRDefault="00360A2C" w:rsidP="00983F85">
      <w:pPr>
        <w:pStyle w:val="Nagwek2"/>
        <w:spacing w:line="360" w:lineRule="auto"/>
        <w:jc w:val="both"/>
        <w:rPr>
          <w:rFonts w:cs="Times New Roman"/>
          <w:szCs w:val="24"/>
        </w:rPr>
      </w:pPr>
      <w:bookmarkStart w:id="23" w:name="_Toc61214642"/>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w:t>
      </w:r>
      <w:proofErr w:type="spellStart"/>
      <w:r w:rsidR="003D0CC0">
        <w:rPr>
          <w:rFonts w:cs="Times New Roman"/>
          <w:szCs w:val="24"/>
        </w:rPr>
        <w:t>Boosted</w:t>
      </w:r>
      <w:proofErr w:type="spellEnd"/>
      <w:r w:rsidR="003D0CC0">
        <w:rPr>
          <w:rFonts w:cs="Times New Roman"/>
          <w:szCs w:val="24"/>
        </w:rPr>
        <w:t xml:space="preserve"> Machine</w:t>
      </w:r>
      <w:r w:rsidR="00A24377" w:rsidRPr="00983F85">
        <w:rPr>
          <w:rFonts w:cs="Times New Roman"/>
          <w:szCs w:val="24"/>
        </w:rPr>
        <w:t>.</w:t>
      </w:r>
      <w:bookmarkEnd w:id="23"/>
    </w:p>
    <w:p w14:paraId="6DD16140" w14:textId="180FF013" w:rsidR="00EB06D0" w:rsidRPr="00983F85" w:rsidRDefault="00EB06D0" w:rsidP="00983F85">
      <w:pPr>
        <w:pStyle w:val="Legenda"/>
        <w:keepNext/>
        <w:spacing w:line="360" w:lineRule="auto"/>
        <w:jc w:val="both"/>
        <w:rPr>
          <w:rFonts w:cs="Times New Roman"/>
          <w:i w:val="0"/>
          <w:color w:val="auto"/>
          <w:sz w:val="24"/>
          <w:szCs w:val="24"/>
        </w:rPr>
      </w:pPr>
      <w:bookmarkStart w:id="24" w:name="_Toc6119449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6</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4"/>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23"/>
      </w:r>
      <w:r w:rsidRPr="00983F85">
        <w:rPr>
          <w:rFonts w:ascii="Times New Roman" w:hAnsi="Times New Roman" w:cs="Times New Roman"/>
        </w:rPr>
        <w:t>.</w:t>
      </w:r>
    </w:p>
    <w:p w14:paraId="1CBB9D7C" w14:textId="34E6151A" w:rsidR="00E756BE" w:rsidRPr="00983F85" w:rsidRDefault="00CD20C8" w:rsidP="00471F9C">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4"/>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001E215B" w14:textId="74FD7A90" w:rsidR="00C046DB" w:rsidRPr="00983F85" w:rsidRDefault="00C046DB" w:rsidP="00983F85">
      <w:pPr>
        <w:pStyle w:val="Legenda"/>
        <w:keepNext/>
        <w:spacing w:line="360" w:lineRule="auto"/>
        <w:jc w:val="both"/>
        <w:rPr>
          <w:rFonts w:cs="Times New Roman"/>
          <w:i w:val="0"/>
          <w:color w:val="auto"/>
          <w:sz w:val="24"/>
          <w:szCs w:val="24"/>
        </w:rPr>
      </w:pPr>
      <w:bookmarkStart w:id="25" w:name="_Toc61194500"/>
      <w:r w:rsidRPr="00983F85">
        <w:rPr>
          <w:rFonts w:cs="Times New Roman"/>
          <w:i w:val="0"/>
          <w:color w:val="auto"/>
          <w:sz w:val="24"/>
          <w:szCs w:val="24"/>
        </w:rPr>
        <w:lastRenderedPageBreak/>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7</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5"/>
      </w:r>
      <w:r w:rsidRPr="00983F85">
        <w:rPr>
          <w:rFonts w:cs="Times New Roman"/>
          <w:i w:val="0"/>
          <w:color w:val="auto"/>
          <w:sz w:val="24"/>
          <w:szCs w:val="24"/>
        </w:rPr>
        <w:t>.</w:t>
      </w:r>
      <w:bookmarkEnd w:id="25"/>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6"/>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7E72EAB4" w:rsidR="003352CE" w:rsidRPr="00983F85" w:rsidRDefault="003352CE" w:rsidP="00983F85">
      <w:pPr>
        <w:pStyle w:val="Nagwek2"/>
        <w:spacing w:line="360" w:lineRule="auto"/>
        <w:jc w:val="both"/>
        <w:rPr>
          <w:rFonts w:cs="Times New Roman"/>
          <w:szCs w:val="24"/>
        </w:rPr>
      </w:pPr>
      <w:bookmarkStart w:id="26" w:name="_Toc61214643"/>
      <w:r w:rsidRPr="00983F85">
        <w:rPr>
          <w:rFonts w:cs="Times New Roman"/>
          <w:szCs w:val="24"/>
        </w:rPr>
        <w:lastRenderedPageBreak/>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6"/>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7"/>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7" w:name="_Toc61214644"/>
      <w:r w:rsidRPr="00F60D21">
        <w:t>III.</w:t>
      </w:r>
      <w:r w:rsidR="007C04D7">
        <w:t>3</w:t>
      </w:r>
      <w:r w:rsidRPr="00F60D21">
        <w:t xml:space="preserve"> </w:t>
      </w:r>
      <w:r w:rsidR="008D739E">
        <w:rPr>
          <w:rFonts w:cs="Times New Roman"/>
          <w:szCs w:val="24"/>
        </w:rPr>
        <w:t xml:space="preserve">Model klasyfikacyjny zbudowany na podstawie algorytmu </w:t>
      </w:r>
      <w:r w:rsidR="008D739E">
        <w:rPr>
          <w:rFonts w:cs="Times New Roman"/>
          <w:szCs w:val="24"/>
        </w:rPr>
        <w:t>sieci neuronowych</w:t>
      </w:r>
      <w:r w:rsidR="00A24377">
        <w:t>.</w:t>
      </w:r>
      <w:bookmarkEnd w:id="27"/>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571963A2" w:rsidR="00182F2A" w:rsidRPr="00182F2A" w:rsidRDefault="00182F2A" w:rsidP="00983F85">
      <w:pPr>
        <w:pStyle w:val="Nagwek2"/>
        <w:spacing w:line="360" w:lineRule="auto"/>
        <w:jc w:val="both"/>
      </w:pPr>
      <w:bookmarkStart w:id="28" w:name="_Toc61214645"/>
      <w:r w:rsidRPr="00182F2A">
        <w:t>III.</w:t>
      </w:r>
      <w:r w:rsidR="00E44969">
        <w:t>4</w:t>
      </w:r>
      <w:r w:rsidRPr="00182F2A">
        <w:t xml:space="preserve"> </w:t>
      </w:r>
      <w:r w:rsidR="003473B7">
        <w:t>Porównanie i ocena jakości zbudowanych modeli klasyfikacyjnych</w:t>
      </w:r>
      <w:bookmarkEnd w:id="28"/>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28"/>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0144A567" w14:textId="1748D08D" w:rsidR="00513CA9" w:rsidRDefault="00513CA9" w:rsidP="00983F85">
      <w:pPr>
        <w:pStyle w:val="Nagwek2"/>
        <w:spacing w:line="360" w:lineRule="auto"/>
        <w:jc w:val="both"/>
      </w:pPr>
      <w:bookmarkStart w:id="29" w:name="_Toc61214646"/>
      <w:r w:rsidRPr="00513CA9">
        <w:lastRenderedPageBreak/>
        <w:t>III.</w:t>
      </w:r>
      <w:r w:rsidR="00413E52">
        <w:t>5</w:t>
      </w:r>
      <w:r w:rsidRPr="00513CA9">
        <w:t xml:space="preserve"> </w:t>
      </w:r>
      <w:r w:rsidR="003473B7">
        <w:t>Interpretacja uzyskanych wyników i wyciągnięcie wniosków</w:t>
      </w:r>
      <w:r w:rsidR="00A24377">
        <w:t>.</w:t>
      </w:r>
      <w:bookmarkEnd w:id="29"/>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29"/>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30" w:name="_Toc61214647"/>
      <w:r w:rsidRPr="00CF2507">
        <w:t>IV. Propozycje rozwiązania problemu zadłużenia gospodarstw domowych w walutach obcych w Polsce</w:t>
      </w:r>
      <w:r>
        <w:t>.</w:t>
      </w:r>
      <w:bookmarkEnd w:id="30"/>
    </w:p>
    <w:p w14:paraId="777FAFF8" w14:textId="40151E78" w:rsidR="00A24377" w:rsidRDefault="00A24377" w:rsidP="00983F85">
      <w:pPr>
        <w:pStyle w:val="Nagwek2"/>
        <w:spacing w:line="360" w:lineRule="auto"/>
        <w:jc w:val="both"/>
      </w:pPr>
      <w:bookmarkStart w:id="31" w:name="_Toc61214648"/>
      <w:r w:rsidRPr="00DA6BCC">
        <w:t>IV.1 Przewalutowanie kredytów walutowych na PLN według kursu z dnia udzielenia kredytu</w:t>
      </w:r>
      <w:r>
        <w:t>.</w:t>
      </w:r>
      <w:bookmarkEnd w:id="31"/>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30"/>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w:t>
      </w:r>
      <w:r>
        <w:rPr>
          <w:rFonts w:ascii="Times New Roman" w:hAnsi="Times New Roman" w:cs="Times New Roman"/>
        </w:rPr>
        <w:lastRenderedPageBreak/>
        <w:t>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32" w:name="_Toc61214649"/>
      <w:r w:rsidRPr="00693A9C">
        <w:t>IV.2 Przewalutowanie kredytów walutowych na PLN według średniego kursu NBP z dnia przewalutowania</w:t>
      </w:r>
      <w:r>
        <w:t>.</w:t>
      </w:r>
      <w:bookmarkEnd w:id="32"/>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31"/>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33" w:name="_Toc61214650"/>
      <w:r w:rsidRPr="00323CA5">
        <w:t>IV.3 Propozycja Związku Banków Polskich</w:t>
      </w:r>
      <w:r>
        <w:t>.</w:t>
      </w:r>
      <w:bookmarkEnd w:id="33"/>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2"/>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4" w:name="_Toc61214651"/>
      <w:r w:rsidRPr="00FA1130">
        <w:t>IV.4 Propozycja Ministerstwa Gospodarki.</w:t>
      </w:r>
      <w:bookmarkEnd w:id="34"/>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3"/>
      </w:r>
      <w:r>
        <w:rPr>
          <w:rFonts w:ascii="Times New Roman" w:hAnsi="Times New Roman" w:cs="Times New Roman"/>
        </w:rPr>
        <w:t>. Rozwiązanie miało załagodzić skutki drastycznej aprecjacji CHF po uwolnieniu jego kursu 15.01.2015 r. przez Szwajcarski Bank Narodowy. Propozycja została opublikowana 28.01.2015 r. Zaproponowane rozwiązanie doty</w:t>
      </w:r>
      <w:r>
        <w:rPr>
          <w:rFonts w:ascii="Times New Roman" w:hAnsi="Times New Roman" w:cs="Times New Roman"/>
        </w:rPr>
        <w:lastRenderedPageBreak/>
        <w:t xml:space="preserve">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5" w:name="_Toc61214652"/>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5"/>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6" w:name="_Toc61214653"/>
      <w:r w:rsidRPr="00FA1130">
        <w:t>IV.6 Możliwość zastosowania rozwiązań wprowadzonych w innych krajach Unii Europejskiej w Polsce</w:t>
      </w:r>
      <w:r w:rsidR="000656B8">
        <w:t>.</w:t>
      </w:r>
      <w:bookmarkEnd w:id="36"/>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7" w:name="_Toc61214654"/>
      <w:r w:rsidRPr="00CF2507">
        <w:lastRenderedPageBreak/>
        <w:t>Zakończenie</w:t>
      </w:r>
      <w:r w:rsidR="000656B8">
        <w:t>.</w:t>
      </w:r>
      <w:bookmarkEnd w:id="37"/>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4"/>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5"/>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36"/>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8" w:name="_Toc61214655"/>
      <w:r w:rsidRPr="00A574C7">
        <w:lastRenderedPageBreak/>
        <w:t>Bibliografia</w:t>
      </w:r>
      <w:r w:rsidR="00363B56">
        <w:t>.</w:t>
      </w:r>
      <w:bookmarkEnd w:id="38"/>
    </w:p>
    <w:p w14:paraId="2DAEEF3B" w14:textId="76687FA2" w:rsidR="000656B8" w:rsidRDefault="00CC60BA" w:rsidP="00983F85">
      <w:pPr>
        <w:pStyle w:val="Nagwek2"/>
        <w:spacing w:line="360" w:lineRule="auto"/>
        <w:jc w:val="both"/>
      </w:pPr>
      <w:bookmarkStart w:id="39" w:name="_Toc61214656"/>
      <w:r>
        <w:t>I</w:t>
      </w:r>
      <w:r w:rsidR="000656B8">
        <w:t xml:space="preserve">. </w:t>
      </w:r>
      <w:r>
        <w:t>Wydawnictwa zwarte.</w:t>
      </w:r>
      <w:bookmarkEnd w:id="39"/>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40" w:name="_Toc61214657"/>
      <w:r>
        <w:t>II</w:t>
      </w:r>
      <w:r w:rsidR="000656B8">
        <w:t>. Artykuły.</w:t>
      </w:r>
      <w:bookmarkEnd w:id="40"/>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41" w:name="_Toc61214658"/>
      <w:r>
        <w:t>III</w:t>
      </w:r>
      <w:r w:rsidR="000656B8">
        <w:t xml:space="preserve">. </w:t>
      </w:r>
      <w:r>
        <w:t>Akty prawne.</w:t>
      </w:r>
      <w:bookmarkEnd w:id="41"/>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42" w:name="_Toc61214659"/>
      <w:r>
        <w:t>IV</w:t>
      </w:r>
      <w:r w:rsidR="000656B8">
        <w:t xml:space="preserve">. </w:t>
      </w:r>
      <w:r>
        <w:t>Strony internetowe.</w:t>
      </w:r>
      <w:bookmarkEnd w:id="42"/>
    </w:p>
    <w:p w14:paraId="0552F8D8" w14:textId="4E8DED5F" w:rsidR="006048F7" w:rsidRPr="00785474" w:rsidRDefault="00411A23"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411A23"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43" w:name="_Toc61214660"/>
      <w:r>
        <w:t>V. Inne źródła.</w:t>
      </w:r>
      <w:bookmarkEnd w:id="43"/>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 xml:space="preserve">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4" w:name="_Toc61214661"/>
      <w:r>
        <w:lastRenderedPageBreak/>
        <w:t>Spis wykresów</w:t>
      </w:r>
      <w:r w:rsidR="00363B56">
        <w:t>.</w:t>
      </w:r>
      <w:bookmarkEnd w:id="44"/>
    </w:p>
    <w:p w14:paraId="217411C7" w14:textId="1DAE708D" w:rsidR="003D0CC0" w:rsidRDefault="00014F40">
      <w:pPr>
        <w:pStyle w:val="Spisilustracji"/>
        <w:tabs>
          <w:tab w:val="right" w:leader="dot" w:pos="9061"/>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194494" w:history="1">
        <w:r w:rsidR="003D0CC0" w:rsidRPr="001C3E7A">
          <w:rPr>
            <w:rStyle w:val="Hipercze"/>
            <w:rFonts w:cs="Times New Roman"/>
            <w:noProof/>
          </w:rPr>
          <w:t>Wykres 1. Liczba upadłości i likwidacji firm w latach 2000-2019.</w:t>
        </w:r>
        <w:r w:rsidR="003D0CC0">
          <w:rPr>
            <w:noProof/>
            <w:webHidden/>
          </w:rPr>
          <w:tab/>
        </w:r>
        <w:r w:rsidR="003D0CC0">
          <w:rPr>
            <w:noProof/>
            <w:webHidden/>
          </w:rPr>
          <w:fldChar w:fldCharType="begin"/>
        </w:r>
        <w:r w:rsidR="003D0CC0">
          <w:rPr>
            <w:noProof/>
            <w:webHidden/>
          </w:rPr>
          <w:instrText xml:space="preserve"> PAGEREF _Toc61194494 \h </w:instrText>
        </w:r>
        <w:r w:rsidR="003D0CC0">
          <w:rPr>
            <w:noProof/>
            <w:webHidden/>
          </w:rPr>
        </w:r>
        <w:r w:rsidR="003D0CC0">
          <w:rPr>
            <w:noProof/>
            <w:webHidden/>
          </w:rPr>
          <w:fldChar w:fldCharType="separate"/>
        </w:r>
        <w:r w:rsidR="003D0CC0">
          <w:rPr>
            <w:noProof/>
            <w:webHidden/>
          </w:rPr>
          <w:t>- 13 -</w:t>
        </w:r>
        <w:r w:rsidR="003D0CC0">
          <w:rPr>
            <w:noProof/>
            <w:webHidden/>
          </w:rPr>
          <w:fldChar w:fldCharType="end"/>
        </w:r>
      </w:hyperlink>
    </w:p>
    <w:p w14:paraId="7CDACF17" w14:textId="30C3A299"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5" w:history="1">
        <w:r w:rsidRPr="001C3E7A">
          <w:rPr>
            <w:rStyle w:val="Hipercze"/>
            <w:noProof/>
          </w:rPr>
          <w:t>Wykres 2. Liczba i udział firm aktywnych i zamkniętych w badanej populacji</w:t>
        </w:r>
        <w:r>
          <w:rPr>
            <w:noProof/>
            <w:webHidden/>
          </w:rPr>
          <w:tab/>
        </w:r>
        <w:r>
          <w:rPr>
            <w:noProof/>
            <w:webHidden/>
          </w:rPr>
          <w:fldChar w:fldCharType="begin"/>
        </w:r>
        <w:r>
          <w:rPr>
            <w:noProof/>
            <w:webHidden/>
          </w:rPr>
          <w:instrText xml:space="preserve"> PAGEREF _Toc61194495 \h </w:instrText>
        </w:r>
        <w:r>
          <w:rPr>
            <w:noProof/>
            <w:webHidden/>
          </w:rPr>
        </w:r>
        <w:r>
          <w:rPr>
            <w:noProof/>
            <w:webHidden/>
          </w:rPr>
          <w:fldChar w:fldCharType="separate"/>
        </w:r>
        <w:r>
          <w:rPr>
            <w:noProof/>
            <w:webHidden/>
          </w:rPr>
          <w:t>- 32 -</w:t>
        </w:r>
        <w:r>
          <w:rPr>
            <w:noProof/>
            <w:webHidden/>
          </w:rPr>
          <w:fldChar w:fldCharType="end"/>
        </w:r>
      </w:hyperlink>
    </w:p>
    <w:p w14:paraId="7147905A" w14:textId="15A0B800"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6" w:history="1">
        <w:r w:rsidRPr="001C3E7A">
          <w:rPr>
            <w:rStyle w:val="Hipercze"/>
            <w:noProof/>
          </w:rPr>
          <w:t>Wykres 3. Liczba firm według województw zgrupowane według klas zmiennej celu – przykładowy histogram dla zmiennych nominalnych</w:t>
        </w:r>
        <w:r>
          <w:rPr>
            <w:noProof/>
            <w:webHidden/>
          </w:rPr>
          <w:tab/>
        </w:r>
        <w:r>
          <w:rPr>
            <w:noProof/>
            <w:webHidden/>
          </w:rPr>
          <w:fldChar w:fldCharType="begin"/>
        </w:r>
        <w:r>
          <w:rPr>
            <w:noProof/>
            <w:webHidden/>
          </w:rPr>
          <w:instrText xml:space="preserve"> PAGEREF _Toc61194496 \h </w:instrText>
        </w:r>
        <w:r>
          <w:rPr>
            <w:noProof/>
            <w:webHidden/>
          </w:rPr>
        </w:r>
        <w:r>
          <w:rPr>
            <w:noProof/>
            <w:webHidden/>
          </w:rPr>
          <w:fldChar w:fldCharType="separate"/>
        </w:r>
        <w:r>
          <w:rPr>
            <w:noProof/>
            <w:webHidden/>
          </w:rPr>
          <w:t>- 41 -</w:t>
        </w:r>
        <w:r>
          <w:rPr>
            <w:noProof/>
            <w:webHidden/>
          </w:rPr>
          <w:fldChar w:fldCharType="end"/>
        </w:r>
      </w:hyperlink>
    </w:p>
    <w:p w14:paraId="6179B538" w14:textId="4B4BA900"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7" w:history="1">
        <w:r w:rsidRPr="001C3E7A">
          <w:rPr>
            <w:rStyle w:val="Hipercze"/>
            <w:noProof/>
          </w:rPr>
          <w:t>Wykres 4. Rozkłady wieku firm zgrupowane według klas zmiennej celu - przykładowy wykres pudełkowy dla zmiennych numerycznych.</w:t>
        </w:r>
        <w:r>
          <w:rPr>
            <w:noProof/>
            <w:webHidden/>
          </w:rPr>
          <w:tab/>
        </w:r>
        <w:r>
          <w:rPr>
            <w:noProof/>
            <w:webHidden/>
          </w:rPr>
          <w:fldChar w:fldCharType="begin"/>
        </w:r>
        <w:r>
          <w:rPr>
            <w:noProof/>
            <w:webHidden/>
          </w:rPr>
          <w:instrText xml:space="preserve"> PAGEREF _Toc61194497 \h </w:instrText>
        </w:r>
        <w:r>
          <w:rPr>
            <w:noProof/>
            <w:webHidden/>
          </w:rPr>
        </w:r>
        <w:r>
          <w:rPr>
            <w:noProof/>
            <w:webHidden/>
          </w:rPr>
          <w:fldChar w:fldCharType="separate"/>
        </w:r>
        <w:r>
          <w:rPr>
            <w:noProof/>
            <w:webHidden/>
          </w:rPr>
          <w:t>- 42 -</w:t>
        </w:r>
        <w:r>
          <w:rPr>
            <w:noProof/>
            <w:webHidden/>
          </w:rPr>
          <w:fldChar w:fldCharType="end"/>
        </w:r>
      </w:hyperlink>
    </w:p>
    <w:p w14:paraId="152A0E2C" w14:textId="271A0909"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8" w:history="1">
        <w:r w:rsidRPr="001C3E7A">
          <w:rPr>
            <w:rStyle w:val="Hipercze"/>
            <w:noProof/>
          </w:rPr>
          <w:t>Wykres 5. Rozkłady wieku firm zgrupowane według klas zmiennej celu - przykładowy wykres gęstości dla zmiennych numerycznych.</w:t>
        </w:r>
        <w:r>
          <w:rPr>
            <w:noProof/>
            <w:webHidden/>
          </w:rPr>
          <w:tab/>
        </w:r>
        <w:r>
          <w:rPr>
            <w:noProof/>
            <w:webHidden/>
          </w:rPr>
          <w:fldChar w:fldCharType="begin"/>
        </w:r>
        <w:r>
          <w:rPr>
            <w:noProof/>
            <w:webHidden/>
          </w:rPr>
          <w:instrText xml:space="preserve"> PAGEREF _Toc61194498 \h </w:instrText>
        </w:r>
        <w:r>
          <w:rPr>
            <w:noProof/>
            <w:webHidden/>
          </w:rPr>
        </w:r>
        <w:r>
          <w:rPr>
            <w:noProof/>
            <w:webHidden/>
          </w:rPr>
          <w:fldChar w:fldCharType="separate"/>
        </w:r>
        <w:r>
          <w:rPr>
            <w:noProof/>
            <w:webHidden/>
          </w:rPr>
          <w:t>- 43 -</w:t>
        </w:r>
        <w:r>
          <w:rPr>
            <w:noProof/>
            <w:webHidden/>
          </w:rPr>
          <w:fldChar w:fldCharType="end"/>
        </w:r>
      </w:hyperlink>
    </w:p>
    <w:p w14:paraId="096E65E2" w14:textId="2EC7123D"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9" w:history="1">
        <w:r w:rsidRPr="001C3E7A">
          <w:rPr>
            <w:rStyle w:val="Hipercze"/>
            <w:rFonts w:cs="Times New Roman"/>
            <w:noProof/>
          </w:rPr>
          <w:t>Wykres 6. Odsetek nieruchomości obciążonych kredytem hipotecznym w krajach Europy w 2014 r.</w:t>
        </w:r>
        <w:r>
          <w:rPr>
            <w:noProof/>
            <w:webHidden/>
          </w:rPr>
          <w:tab/>
        </w:r>
        <w:r>
          <w:rPr>
            <w:noProof/>
            <w:webHidden/>
          </w:rPr>
          <w:fldChar w:fldCharType="begin"/>
        </w:r>
        <w:r>
          <w:rPr>
            <w:noProof/>
            <w:webHidden/>
          </w:rPr>
          <w:instrText xml:space="preserve"> PAGEREF _Toc61194499 \h </w:instrText>
        </w:r>
        <w:r>
          <w:rPr>
            <w:noProof/>
            <w:webHidden/>
          </w:rPr>
        </w:r>
        <w:r>
          <w:rPr>
            <w:noProof/>
            <w:webHidden/>
          </w:rPr>
          <w:fldChar w:fldCharType="separate"/>
        </w:r>
        <w:r>
          <w:rPr>
            <w:noProof/>
            <w:webHidden/>
          </w:rPr>
          <w:t>- 44 -</w:t>
        </w:r>
        <w:r>
          <w:rPr>
            <w:noProof/>
            <w:webHidden/>
          </w:rPr>
          <w:fldChar w:fldCharType="end"/>
        </w:r>
      </w:hyperlink>
    </w:p>
    <w:p w14:paraId="6B4755E8" w14:textId="756AF53B" w:rsidR="003D0CC0" w:rsidRDefault="003D0CC0">
      <w:pPr>
        <w:pStyle w:val="Spisilustracji"/>
        <w:tabs>
          <w:tab w:val="right" w:leader="dot" w:pos="9061"/>
        </w:tabs>
        <w:rPr>
          <w:rFonts w:asciiTheme="minorHAnsi" w:eastAsiaTheme="minorEastAsia" w:hAnsiTheme="minorHAnsi"/>
          <w:noProof/>
          <w:sz w:val="22"/>
          <w:lang w:eastAsia="pl-PL"/>
        </w:rPr>
      </w:pPr>
      <w:hyperlink w:anchor="_Toc61194500" w:history="1">
        <w:r w:rsidRPr="001C3E7A">
          <w:rPr>
            <w:rStyle w:val="Hipercze"/>
            <w:rFonts w:cs="Times New Roman"/>
            <w:noProof/>
          </w:rPr>
          <w:t>Wykres 7. Łączne zadłużenie gospodarstw domowych i przedsiębiorstw z tytułu kredytów w CHF w mld EUR w III kwartale 2014 r. w wybranych krajach Unii Europejskiej.</w:t>
        </w:r>
        <w:r>
          <w:rPr>
            <w:noProof/>
            <w:webHidden/>
          </w:rPr>
          <w:tab/>
        </w:r>
        <w:r>
          <w:rPr>
            <w:noProof/>
            <w:webHidden/>
          </w:rPr>
          <w:fldChar w:fldCharType="begin"/>
        </w:r>
        <w:r>
          <w:rPr>
            <w:noProof/>
            <w:webHidden/>
          </w:rPr>
          <w:instrText xml:space="preserve"> PAGEREF _Toc61194500 \h </w:instrText>
        </w:r>
        <w:r>
          <w:rPr>
            <w:noProof/>
            <w:webHidden/>
          </w:rPr>
        </w:r>
        <w:r>
          <w:rPr>
            <w:noProof/>
            <w:webHidden/>
          </w:rPr>
          <w:fldChar w:fldCharType="separate"/>
        </w:r>
        <w:r>
          <w:rPr>
            <w:noProof/>
            <w:webHidden/>
          </w:rPr>
          <w:t>- 45 -</w:t>
        </w:r>
        <w:r>
          <w:rPr>
            <w:noProof/>
            <w:webHidden/>
          </w:rPr>
          <w:fldChar w:fldCharType="end"/>
        </w:r>
      </w:hyperlink>
    </w:p>
    <w:p w14:paraId="76456255" w14:textId="2AB79813"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5" w:name="_Toc61214662"/>
      <w:r w:rsidRPr="00A574C7">
        <w:lastRenderedPageBreak/>
        <w:t>Streszczenie</w:t>
      </w:r>
      <w:r w:rsidR="00363B56">
        <w:t>.</w:t>
      </w:r>
      <w:bookmarkEnd w:id="45"/>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9"/>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4297" w14:textId="77777777" w:rsidR="001B1ED3" w:rsidRDefault="001B1ED3" w:rsidP="00154B93">
      <w:pPr>
        <w:spacing w:after="0" w:line="240" w:lineRule="auto"/>
      </w:pPr>
      <w:r>
        <w:separator/>
      </w:r>
    </w:p>
  </w:endnote>
  <w:endnote w:type="continuationSeparator" w:id="0">
    <w:p w14:paraId="4068A9A3" w14:textId="77777777" w:rsidR="001B1ED3" w:rsidRDefault="001B1ED3"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411A23" w:rsidRPr="009A3B16" w:rsidRDefault="00411A23">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411A23" w:rsidRDefault="00411A2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82161" w14:textId="77777777" w:rsidR="001B1ED3" w:rsidRDefault="001B1ED3" w:rsidP="00154B93">
      <w:pPr>
        <w:spacing w:after="0" w:line="240" w:lineRule="auto"/>
      </w:pPr>
      <w:r>
        <w:separator/>
      </w:r>
    </w:p>
  </w:footnote>
  <w:footnote w:type="continuationSeparator" w:id="0">
    <w:p w14:paraId="7F25D85D" w14:textId="77777777" w:rsidR="001B1ED3" w:rsidRDefault="001B1ED3" w:rsidP="00154B93">
      <w:pPr>
        <w:spacing w:after="0" w:line="240" w:lineRule="auto"/>
      </w:pPr>
      <w:r>
        <w:continuationSeparator/>
      </w:r>
    </w:p>
  </w:footnote>
  <w:footnote w:id="1">
    <w:p w14:paraId="01035299" w14:textId="72F5F528" w:rsidR="00411A23" w:rsidRPr="00F8475F" w:rsidRDefault="00411A23">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411A23" w:rsidRPr="000A44B6" w:rsidRDefault="00411A23">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411A23" w:rsidRPr="00B73E7E" w:rsidRDefault="00411A23"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411A23" w:rsidRPr="007867B6" w:rsidRDefault="00411A23">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411A23" w:rsidRDefault="00411A23">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411A23" w:rsidRDefault="00411A23">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411A23" w:rsidRPr="00136A8B" w:rsidRDefault="00411A23">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411A23" w:rsidRPr="00834F76" w:rsidRDefault="00411A23"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411A23" w:rsidRPr="00640B4D" w:rsidRDefault="00411A23">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411A23" w:rsidRPr="00535202" w:rsidRDefault="00411A23"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411A23" w:rsidRPr="00411100" w:rsidRDefault="00411A23">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411A23" w:rsidRPr="00DF4D35" w:rsidRDefault="00411A23">
      <w:pPr>
        <w:pStyle w:val="Tekstprzypisudolnego"/>
      </w:pPr>
      <w:r>
        <w:rPr>
          <w:rStyle w:val="Odwoanieprzypisudolnego"/>
        </w:rPr>
        <w:footnoteRef/>
      </w:r>
      <w:r w:rsidRPr="00DF4D35">
        <w:t xml:space="preserve"> www.emis.com (data odsło</w:t>
      </w:r>
      <w:r>
        <w:t>ny 18.08.2020 r.)</w:t>
      </w:r>
    </w:p>
  </w:footnote>
  <w:footnote w:id="13">
    <w:p w14:paraId="06EA08EC" w14:textId="6D14E286" w:rsidR="00411A23" w:rsidRPr="00DC1265" w:rsidRDefault="00411A23">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833BD58" w:rsidR="00411A23" w:rsidRPr="00006374" w:rsidRDefault="00411A23">
      <w:pPr>
        <w:pStyle w:val="Tekstprzypisudolnego"/>
      </w:pPr>
      <w:r>
        <w:rPr>
          <w:rStyle w:val="Odwoanieprzypisudolnego"/>
        </w:rPr>
        <w:footnoteRef/>
      </w:r>
      <w:r w:rsidRPr="00006374">
        <w:t xml:space="preserve"> W celu zbudowania modelu klasyfikacyjnego </w:t>
      </w:r>
      <w:r>
        <w:t xml:space="preserve">do danych wejściowych zostały włączone podmioty upadły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6E121F16" w14:textId="1F23046B" w:rsidR="00411A23" w:rsidRPr="0061217E" w:rsidRDefault="00411A23" w:rsidP="0012723A">
      <w:pPr>
        <w:pStyle w:val="Tekstprzypisudolnego"/>
      </w:pPr>
      <w:r>
        <w:rPr>
          <w:rStyle w:val="Odwoanieprzypisudolnego"/>
        </w:rPr>
        <w:footnoteRef/>
      </w:r>
      <w:r w:rsidRPr="0061217E">
        <w:t xml:space="preserve"> N. </w:t>
      </w:r>
      <w:proofErr w:type="spellStart"/>
      <w:r w:rsidRPr="0061217E">
        <w:t>Vignan’s</w:t>
      </w:r>
      <w:proofErr w:type="spellEnd"/>
      <w:r w:rsidRPr="0061217E">
        <w:t xml:space="preserve">, N. Jawaharlal, </w:t>
      </w:r>
      <w:proofErr w:type="spellStart"/>
      <w:r w:rsidRPr="0061217E">
        <w:rPr>
          <w:i/>
          <w:iCs/>
        </w:rPr>
        <w:t>An</w:t>
      </w:r>
      <w:proofErr w:type="spellEnd"/>
      <w:r w:rsidRPr="0061217E">
        <w:rPr>
          <w:i/>
          <w:iCs/>
        </w:rPr>
        <w:t xml:space="preserve"> </w:t>
      </w:r>
      <w:proofErr w:type="spellStart"/>
      <w:r w:rsidRPr="0061217E">
        <w:rPr>
          <w:i/>
          <w:iCs/>
        </w:rPr>
        <w:t>Exhaustive</w:t>
      </w:r>
      <w:proofErr w:type="spellEnd"/>
      <w:r w:rsidRPr="0061217E">
        <w:rPr>
          <w:i/>
          <w:iCs/>
        </w:rPr>
        <w:t xml:space="preserve"> </w:t>
      </w:r>
      <w:proofErr w:type="spellStart"/>
      <w:r w:rsidRPr="0061217E">
        <w:rPr>
          <w:i/>
          <w:iCs/>
        </w:rPr>
        <w:t>Literature</w:t>
      </w:r>
      <w:proofErr w:type="spellEnd"/>
      <w:r w:rsidRPr="0061217E">
        <w:rPr>
          <w:i/>
          <w:iCs/>
        </w:rPr>
        <w:t xml:space="preserve"> </w:t>
      </w:r>
      <w:proofErr w:type="spellStart"/>
      <w:r w:rsidRPr="0061217E">
        <w:rPr>
          <w:i/>
          <w:iCs/>
        </w:rPr>
        <w:t>Review</w:t>
      </w:r>
      <w:proofErr w:type="spellEnd"/>
      <w:r w:rsidRPr="0061217E">
        <w:rPr>
          <w:i/>
          <w:iCs/>
        </w:rPr>
        <w:t xml:space="preserve"> on Class </w:t>
      </w:r>
      <w:proofErr w:type="spellStart"/>
      <w:r w:rsidRPr="0061217E">
        <w:rPr>
          <w:i/>
          <w:iCs/>
        </w:rPr>
        <w:t>Imbalance</w:t>
      </w:r>
      <w:proofErr w:type="spellEnd"/>
      <w:r w:rsidRPr="0061217E">
        <w:rPr>
          <w:i/>
          <w:iCs/>
        </w:rPr>
        <w:t xml:space="preserve"> Problem</w:t>
      </w:r>
      <w:r w:rsidRPr="0061217E">
        <w:t>, 2013, s. 3</w:t>
      </w:r>
    </w:p>
  </w:footnote>
  <w:footnote w:id="16">
    <w:p w14:paraId="5034E556" w14:textId="6B228125" w:rsidR="00411A23" w:rsidRPr="0012723A" w:rsidRDefault="00411A23">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7">
    <w:p w14:paraId="67538590" w14:textId="39AD9B8D" w:rsidR="00411A23" w:rsidRPr="00542FC4" w:rsidRDefault="00411A23">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Pr>
          <w:lang w:val="en-GB"/>
        </w:rPr>
        <w:t>, s., 2012, 223-225</w:t>
      </w:r>
    </w:p>
  </w:footnote>
  <w:footnote w:id="18">
    <w:p w14:paraId="77FED63A" w14:textId="273C42F4" w:rsidR="00411A23" w:rsidRPr="00EA7872" w:rsidRDefault="00411A23">
      <w:pPr>
        <w:pStyle w:val="Tekstprzypisudolnego"/>
        <w:rPr>
          <w:lang w:val="en-GB"/>
        </w:rPr>
      </w:pPr>
      <w:r>
        <w:rPr>
          <w:rStyle w:val="Odwoanieprzypisudolnego"/>
        </w:rPr>
        <w:footnoteRef/>
      </w:r>
      <w:r w:rsidRPr="00EA7872">
        <w:rPr>
          <w:lang w:val="en-GB"/>
        </w:rPr>
        <w:t xml:space="preserve"> </w:t>
      </w:r>
      <w:r w:rsidRPr="00F479B3">
        <w:rPr>
          <w:lang w:val="en-GB"/>
        </w:rPr>
        <w:t xml:space="preserve">S. </w:t>
      </w:r>
      <w:proofErr w:type="spellStart"/>
      <w:r w:rsidRPr="00F479B3">
        <w:rPr>
          <w:lang w:val="en-GB"/>
        </w:rPr>
        <w:t>Cabras</w:t>
      </w:r>
      <w:proofErr w:type="spellEnd"/>
      <w:r w:rsidRPr="00F479B3">
        <w:rPr>
          <w:lang w:val="en-GB"/>
        </w:rPr>
        <w:t>; J. Morales, Extreme value analysis within a parametric outlier detection framework. Applied Stochastic Models in Business and Industry, Department of Mathematics, University of Cagliari 2007, s. 158 – 164</w:t>
      </w:r>
    </w:p>
  </w:footnote>
  <w:footnote w:id="19">
    <w:p w14:paraId="2CBF4128" w14:textId="3184AB07" w:rsidR="00411A23" w:rsidRPr="000C4CF0" w:rsidRDefault="00411A23">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0">
    <w:p w14:paraId="5A50F322" w14:textId="11C3AAE9" w:rsidR="00411A23" w:rsidRPr="000C4CF0" w:rsidRDefault="00411A23"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1">
    <w:p w14:paraId="44F100E7" w14:textId="5429DED2" w:rsidR="007C1382" w:rsidRPr="007C1382" w:rsidRDefault="007C1382" w:rsidP="007C1382">
      <w:pPr>
        <w:pStyle w:val="Tekstprzypisudolnego"/>
        <w:rPr>
          <w:lang w:val="en-GB"/>
        </w:rPr>
      </w:pPr>
      <w:r>
        <w:rPr>
          <w:rStyle w:val="Odwoanieprzypisudolnego"/>
        </w:rPr>
        <w:footnoteRef/>
      </w:r>
      <w:r>
        <w:rPr>
          <w:lang w:val="en-GB"/>
        </w:rPr>
        <w:t xml:space="preserve"> K.</w:t>
      </w:r>
      <w:r w:rsidRPr="007C1382">
        <w:rPr>
          <w:lang w:val="en-GB"/>
        </w:rPr>
        <w:t xml:space="preserve"> </w:t>
      </w:r>
      <w:proofErr w:type="spellStart"/>
      <w:r w:rsidRPr="007C1382">
        <w:rPr>
          <w:lang w:val="en-GB"/>
        </w:rPr>
        <w:t>Patro</w:t>
      </w:r>
      <w:proofErr w:type="spellEnd"/>
      <w:r>
        <w:rPr>
          <w:lang w:val="en-GB"/>
        </w:rPr>
        <w:t xml:space="preserve">, K. </w:t>
      </w:r>
      <w:r w:rsidRPr="007C1382">
        <w:rPr>
          <w:lang w:val="en-GB"/>
        </w:rPr>
        <w:t>Kumar</w:t>
      </w:r>
      <w:r>
        <w:rPr>
          <w:lang w:val="en-GB"/>
        </w:rPr>
        <w:t xml:space="preserve">, </w:t>
      </w:r>
      <w:r w:rsidRPr="007C1382">
        <w:rPr>
          <w:i/>
          <w:iCs/>
          <w:lang w:val="en-GB"/>
        </w:rPr>
        <w:t xml:space="preserve">Normalization: A </w:t>
      </w:r>
      <w:proofErr w:type="spellStart"/>
      <w:r w:rsidRPr="007C1382">
        <w:rPr>
          <w:i/>
          <w:iCs/>
          <w:lang w:val="en-GB"/>
        </w:rPr>
        <w:t>Preprocessing</w:t>
      </w:r>
      <w:proofErr w:type="spellEnd"/>
      <w:r w:rsidRPr="007C1382">
        <w:rPr>
          <w:i/>
          <w:iCs/>
          <w:lang w:val="en-GB"/>
        </w:rPr>
        <w:t xml:space="preserve"> Stag</w:t>
      </w:r>
      <w:r>
        <w:rPr>
          <w:lang w:val="en-GB"/>
        </w:rPr>
        <w:t>, 2015, s. 1-3</w:t>
      </w:r>
    </w:p>
  </w:footnote>
  <w:footnote w:id="22">
    <w:p w14:paraId="69EA1686" w14:textId="332D08F6" w:rsidR="00354FA8" w:rsidRPr="00354FA8" w:rsidRDefault="00354FA8">
      <w:pPr>
        <w:pStyle w:val="Tekstprzypisudolnego"/>
        <w:rPr>
          <w:lang w:val="en-GB"/>
        </w:rPr>
      </w:pPr>
      <w:r>
        <w:rPr>
          <w:rStyle w:val="Odwoanieprzypisudolnego"/>
        </w:rPr>
        <w:footnoteRef/>
      </w:r>
      <w:r w:rsidRPr="00354FA8">
        <w:rPr>
          <w:lang w:val="en-GB"/>
        </w:rPr>
        <w:t xml:space="preserve"> </w:t>
      </w:r>
      <w:r>
        <w:rPr>
          <w:lang w:val="en-GB"/>
        </w:rPr>
        <w:t xml:space="preserve">K. </w:t>
      </w:r>
      <w:proofErr w:type="spellStart"/>
      <w:r>
        <w:rPr>
          <w:lang w:val="en-GB"/>
        </w:rPr>
        <w:t>Potdar</w:t>
      </w:r>
      <w:proofErr w:type="spellEnd"/>
      <w:r>
        <w:rPr>
          <w:lang w:val="en-GB"/>
        </w:rPr>
        <w:t xml:space="preserve">, T. S. </w:t>
      </w:r>
      <w:proofErr w:type="spellStart"/>
      <w:r>
        <w:rPr>
          <w:lang w:val="en-GB"/>
        </w:rPr>
        <w:t>Pardawala</w:t>
      </w:r>
      <w:proofErr w:type="spellEnd"/>
      <w:r>
        <w:rPr>
          <w:lang w:val="en-GB"/>
        </w:rPr>
        <w:t xml:space="preserve">, C. D. Pai, </w:t>
      </w:r>
      <w:r w:rsidRPr="00354FA8">
        <w:rPr>
          <w:i/>
          <w:iCs/>
          <w:lang w:val="en-GB"/>
        </w:rPr>
        <w:t>A Comparative Study of Categorical Variable Encoding Techniques for Neural Network Classifiers</w:t>
      </w:r>
      <w:r w:rsidRPr="00354FA8">
        <w:rPr>
          <w:lang w:val="en-GB"/>
        </w:rPr>
        <w:t>, 2017</w:t>
      </w:r>
      <w:r>
        <w:rPr>
          <w:lang w:val="en-GB"/>
        </w:rPr>
        <w:t xml:space="preserve">, </w:t>
      </w:r>
      <w:r w:rsidR="00510D1D">
        <w:rPr>
          <w:lang w:val="en-GB"/>
        </w:rPr>
        <w:t>s. 7-10</w:t>
      </w:r>
    </w:p>
  </w:footnote>
  <w:footnote w:id="23">
    <w:p w14:paraId="2C5C71AF" w14:textId="03ABBE61" w:rsidR="00411A23" w:rsidRPr="00F72B58" w:rsidRDefault="00411A23">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4">
    <w:p w14:paraId="7FEA66DF" w14:textId="3C62ACF8" w:rsidR="00411A23" w:rsidRPr="00FE5784" w:rsidRDefault="00411A23">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5">
    <w:p w14:paraId="1BB5C085" w14:textId="77777777" w:rsidR="00411A23" w:rsidRDefault="00411A23"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6">
    <w:p w14:paraId="0C428BDA" w14:textId="17BF2161" w:rsidR="00411A23" w:rsidRPr="00DD39BA" w:rsidRDefault="00411A23">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7">
    <w:p w14:paraId="0C09035A" w14:textId="1A704AF3" w:rsidR="00411A23" w:rsidRPr="00F72B58" w:rsidRDefault="00411A23">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8">
    <w:p w14:paraId="299E0B97" w14:textId="39988061" w:rsidR="00411A23" w:rsidRPr="00595D51" w:rsidRDefault="00411A23">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29">
    <w:p w14:paraId="4EEB9CE2" w14:textId="4EF385BB" w:rsidR="00411A23" w:rsidRPr="00E85D19" w:rsidRDefault="00411A23"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30">
    <w:p w14:paraId="728DDB08" w14:textId="60207290" w:rsidR="00411A23" w:rsidRPr="0032736D" w:rsidRDefault="00411A23"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31">
    <w:p w14:paraId="503A6A5D" w14:textId="77777777" w:rsidR="00411A23" w:rsidRPr="00E463A0" w:rsidRDefault="00411A23"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2">
    <w:p w14:paraId="5B298672" w14:textId="4526A401" w:rsidR="00411A23" w:rsidRPr="0032736D" w:rsidRDefault="00411A23"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3">
    <w:p w14:paraId="7D2A2293" w14:textId="77777777" w:rsidR="00411A23" w:rsidRPr="007C5DA5" w:rsidRDefault="00411A23"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4">
    <w:p w14:paraId="41D44181" w14:textId="77777777" w:rsidR="00411A23" w:rsidRPr="008B576E" w:rsidRDefault="00411A23"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35">
    <w:p w14:paraId="05C5DF99" w14:textId="6F9AAECD" w:rsidR="00411A23" w:rsidRDefault="00411A23">
      <w:pPr>
        <w:pStyle w:val="Tekstprzypisudolnego"/>
      </w:pPr>
      <w:r>
        <w:rPr>
          <w:rStyle w:val="Odwoanieprzypisudolnego"/>
        </w:rPr>
        <w:footnoteRef/>
      </w:r>
      <w:r>
        <w:t xml:space="preserve"> Wykres 7.</w:t>
      </w:r>
    </w:p>
  </w:footnote>
  <w:footnote w:id="36">
    <w:p w14:paraId="29A57708" w14:textId="713BF9A5" w:rsidR="00411A23" w:rsidRDefault="00411A23">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2D55"/>
    <w:rsid w:val="000B2E6F"/>
    <w:rsid w:val="000B3DE8"/>
    <w:rsid w:val="000B467C"/>
    <w:rsid w:val="000B506D"/>
    <w:rsid w:val="000B6E05"/>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A32"/>
    <w:rsid w:val="00154B93"/>
    <w:rsid w:val="00155263"/>
    <w:rsid w:val="001557EE"/>
    <w:rsid w:val="001564DE"/>
    <w:rsid w:val="001569E6"/>
    <w:rsid w:val="00157264"/>
    <w:rsid w:val="00157392"/>
    <w:rsid w:val="00157C7D"/>
    <w:rsid w:val="001618EB"/>
    <w:rsid w:val="00161F9D"/>
    <w:rsid w:val="001629ED"/>
    <w:rsid w:val="001641F1"/>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7BD"/>
    <w:rsid w:val="00187D59"/>
    <w:rsid w:val="0019072E"/>
    <w:rsid w:val="00191BF0"/>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1ED3"/>
    <w:rsid w:val="001B21CC"/>
    <w:rsid w:val="001B465E"/>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878CF"/>
    <w:rsid w:val="002902F8"/>
    <w:rsid w:val="00290E8C"/>
    <w:rsid w:val="0029147A"/>
    <w:rsid w:val="002928BD"/>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0A91"/>
    <w:rsid w:val="002C1000"/>
    <w:rsid w:val="002C171D"/>
    <w:rsid w:val="002C390D"/>
    <w:rsid w:val="002C4039"/>
    <w:rsid w:val="002C4211"/>
    <w:rsid w:val="002C42FD"/>
    <w:rsid w:val="002C4352"/>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CDE"/>
    <w:rsid w:val="002F7299"/>
    <w:rsid w:val="002F7772"/>
    <w:rsid w:val="002F7800"/>
    <w:rsid w:val="002F7932"/>
    <w:rsid w:val="003006C3"/>
    <w:rsid w:val="00300937"/>
    <w:rsid w:val="00302223"/>
    <w:rsid w:val="00302292"/>
    <w:rsid w:val="00302F98"/>
    <w:rsid w:val="00303B7E"/>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56E0"/>
    <w:rsid w:val="00325A67"/>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26A4"/>
    <w:rsid w:val="00373CB1"/>
    <w:rsid w:val="00374587"/>
    <w:rsid w:val="003747E6"/>
    <w:rsid w:val="003757F7"/>
    <w:rsid w:val="00375FB0"/>
    <w:rsid w:val="003765F8"/>
    <w:rsid w:val="003770D9"/>
    <w:rsid w:val="00377631"/>
    <w:rsid w:val="0038132F"/>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65A"/>
    <w:rsid w:val="004A1120"/>
    <w:rsid w:val="004A1570"/>
    <w:rsid w:val="004A167C"/>
    <w:rsid w:val="004A1B64"/>
    <w:rsid w:val="004A466C"/>
    <w:rsid w:val="004A4E23"/>
    <w:rsid w:val="004A50E1"/>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767"/>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E72"/>
    <w:rsid w:val="005F045E"/>
    <w:rsid w:val="005F101B"/>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F3"/>
    <w:rsid w:val="0068398F"/>
    <w:rsid w:val="00683B35"/>
    <w:rsid w:val="00683D0D"/>
    <w:rsid w:val="0068469F"/>
    <w:rsid w:val="00685AF1"/>
    <w:rsid w:val="0068641E"/>
    <w:rsid w:val="00687347"/>
    <w:rsid w:val="00687A08"/>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CDA"/>
    <w:rsid w:val="006B0EEB"/>
    <w:rsid w:val="006B1C83"/>
    <w:rsid w:val="006B292D"/>
    <w:rsid w:val="006B3092"/>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1680"/>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1E1B"/>
    <w:rsid w:val="00762991"/>
    <w:rsid w:val="00764AC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382"/>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361F"/>
    <w:rsid w:val="007E3C3D"/>
    <w:rsid w:val="007E3E84"/>
    <w:rsid w:val="007E4571"/>
    <w:rsid w:val="007E4AA5"/>
    <w:rsid w:val="007E4B91"/>
    <w:rsid w:val="007E5A43"/>
    <w:rsid w:val="007E7FC2"/>
    <w:rsid w:val="007F0700"/>
    <w:rsid w:val="007F0B07"/>
    <w:rsid w:val="007F122B"/>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1CB3"/>
    <w:rsid w:val="00861F14"/>
    <w:rsid w:val="00862153"/>
    <w:rsid w:val="0086271C"/>
    <w:rsid w:val="00863719"/>
    <w:rsid w:val="00863B81"/>
    <w:rsid w:val="00863E25"/>
    <w:rsid w:val="00864806"/>
    <w:rsid w:val="008654DF"/>
    <w:rsid w:val="00866A94"/>
    <w:rsid w:val="00866AF8"/>
    <w:rsid w:val="00866DD6"/>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2168"/>
    <w:rsid w:val="008D33D1"/>
    <w:rsid w:val="008D3673"/>
    <w:rsid w:val="008D3979"/>
    <w:rsid w:val="008D406F"/>
    <w:rsid w:val="008D739E"/>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3CB7"/>
    <w:rsid w:val="00B64974"/>
    <w:rsid w:val="00B64992"/>
    <w:rsid w:val="00B64F60"/>
    <w:rsid w:val="00B6607A"/>
    <w:rsid w:val="00B6635B"/>
    <w:rsid w:val="00B6785A"/>
    <w:rsid w:val="00B71A16"/>
    <w:rsid w:val="00B71D48"/>
    <w:rsid w:val="00B71F1C"/>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854"/>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5F89"/>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6276"/>
    <w:rsid w:val="00D57034"/>
    <w:rsid w:val="00D575F3"/>
    <w:rsid w:val="00D61D18"/>
    <w:rsid w:val="00D622EB"/>
    <w:rsid w:val="00D62893"/>
    <w:rsid w:val="00D628B9"/>
    <w:rsid w:val="00D64108"/>
    <w:rsid w:val="00D64841"/>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705A"/>
    <w:rsid w:val="00DB73EF"/>
    <w:rsid w:val="00DC0446"/>
    <w:rsid w:val="00DC0675"/>
    <w:rsid w:val="00DC08E1"/>
    <w:rsid w:val="00DC1265"/>
    <w:rsid w:val="00DC55CD"/>
    <w:rsid w:val="00DC5E37"/>
    <w:rsid w:val="00DC609E"/>
    <w:rsid w:val="00DC6823"/>
    <w:rsid w:val="00DC7B48"/>
    <w:rsid w:val="00DC7FA5"/>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6F3"/>
    <w:rsid w:val="00E13DF5"/>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7482"/>
    <w:rsid w:val="00EE0B89"/>
    <w:rsid w:val="00EE2E7B"/>
    <w:rsid w:val="00EE49EF"/>
    <w:rsid w:val="00EE4A4D"/>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2B6C"/>
    <w:rsid w:val="00F12BCB"/>
    <w:rsid w:val="00F130AF"/>
    <w:rsid w:val="00F133F8"/>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finansopedia.forsal.pl/encyklopedia/bankowosc/hasla/912936,kredyt-denominowany-w-walucie-obcej.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finansopedia.forsal.pl/encyklopedia/bankowosc/hasla/912753,kredyt-indeksowany-w-walucie-obcej.html"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Git\magisterka\PRACA\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Git\magisterka\PRACA\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9.2756461979355068E-2"/>
          <c:y val="4.6874342727361101E-2"/>
          <c:w val="0.19269747641968782"/>
          <c:h val="0.13718850800215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Arkusz1!$A$1:$A$2</c:f>
              <c:strCache>
                <c:ptCount val="2"/>
                <c:pt idx="0">
                  <c:v>Firmy aktywne</c:v>
                </c:pt>
                <c:pt idx="1">
                  <c:v>Firmy zamknięte</c:v>
                </c:pt>
              </c:strCache>
            </c:strRef>
          </c:tx>
          <c:spPr>
            <a:solidFill>
              <a:schemeClr val="accent1"/>
            </a:solidFill>
            <a:ln>
              <a:noFill/>
            </a:ln>
            <a:effectLst/>
          </c:spPr>
          <c:invertIfNegative val="0"/>
          <c:dPt>
            <c:idx val="0"/>
            <c:invertIfNegative val="0"/>
            <c:bubble3D val="0"/>
            <c:spPr>
              <a:solidFill>
                <a:schemeClr val="accent6">
                  <a:lumMod val="75000"/>
                </a:schemeClr>
              </a:solidFill>
              <a:ln>
                <a:solidFill>
                  <a:schemeClr val="accent6"/>
                </a:solidFill>
              </a:ln>
              <a:effectLst/>
            </c:spPr>
            <c:extLst>
              <c:ext xmlns:c16="http://schemas.microsoft.com/office/drawing/2014/chart" uri="{C3380CC4-5D6E-409C-BE32-E72D297353CC}">
                <c16:uniqueId val="{00000001-8304-4DD7-B5D4-46C14117BC12}"/>
              </c:ext>
            </c:extLst>
          </c:dPt>
          <c:dPt>
            <c:idx val="1"/>
            <c:invertIfNegative val="0"/>
            <c:bubble3D val="0"/>
            <c:spPr>
              <a:solidFill>
                <a:schemeClr val="accent2">
                  <a:lumMod val="75000"/>
                </a:schemeClr>
              </a:solidFill>
              <a:ln>
                <a:solidFill>
                  <a:schemeClr val="accent2">
                    <a:lumMod val="75000"/>
                  </a:schemeClr>
                </a:solidFill>
              </a:ln>
              <a:effectLst/>
            </c:spPr>
            <c:extLst>
              <c:ext xmlns:c16="http://schemas.microsoft.com/office/drawing/2014/chart" uri="{C3380CC4-5D6E-409C-BE32-E72D297353CC}">
                <c16:uniqueId val="{00000003-8304-4DD7-B5D4-46C14117BC12}"/>
              </c:ext>
            </c:extLst>
          </c:dPt>
          <c:dLbls>
            <c:dLbl>
              <c:idx val="0"/>
              <c:tx>
                <c:rich>
                  <a:bodyPr/>
                  <a:lstStyle/>
                  <a:p>
                    <a:r>
                      <a:rPr lang="en-US"/>
                      <a:t>64,10%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04-4DD7-B5D4-46C14117BC12}"/>
                </c:ext>
              </c:extLst>
            </c:dLbl>
            <c:dLbl>
              <c:idx val="1"/>
              <c:tx>
                <c:rich>
                  <a:bodyPr/>
                  <a:lstStyle/>
                  <a:p>
                    <a:r>
                      <a:rPr lang="en-US"/>
                      <a:t>35,90%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304-4DD7-B5D4-46C14117BC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Arkusz1!$A$1:$A$2</c:f>
              <c:strCache>
                <c:ptCount val="2"/>
                <c:pt idx="0">
                  <c:v>Firmy aktywne</c:v>
                </c:pt>
                <c:pt idx="1">
                  <c:v>Firmy zamknięte</c:v>
                </c:pt>
              </c:strCache>
            </c:strRef>
          </c:cat>
          <c:val>
            <c:numRef>
              <c:f>Arkusz1!$B$1:$B$2</c:f>
              <c:numCache>
                <c:formatCode>General</c:formatCode>
                <c:ptCount val="2"/>
                <c:pt idx="0">
                  <c:v>33455</c:v>
                </c:pt>
                <c:pt idx="1">
                  <c:v>18735</c:v>
                </c:pt>
              </c:numCache>
            </c:numRef>
          </c:val>
          <c:extLst>
            <c:ext xmlns:c16="http://schemas.microsoft.com/office/drawing/2014/chart" uri="{C3380CC4-5D6E-409C-BE32-E72D297353CC}">
              <c16:uniqueId val="{00000004-8304-4DD7-B5D4-46C14117BC12}"/>
            </c:ext>
          </c:extLst>
        </c:ser>
        <c:dLbls>
          <c:showLegendKey val="0"/>
          <c:showVal val="0"/>
          <c:showCatName val="0"/>
          <c:showSerName val="0"/>
          <c:showPercent val="0"/>
          <c:showBubbleSize val="0"/>
        </c:dLbls>
        <c:gapWidth val="219"/>
        <c:overlap val="-27"/>
        <c:axId val="1750708256"/>
        <c:axId val="1618156384"/>
      </c:barChart>
      <c:catAx>
        <c:axId val="17507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618156384"/>
        <c:crosses val="autoZero"/>
        <c:auto val="1"/>
        <c:lblAlgn val="ctr"/>
        <c:lblOffset val="100"/>
        <c:noMultiLvlLbl val="0"/>
      </c:catAx>
      <c:valAx>
        <c:axId val="161815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070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borutka!$A$2:$A$98</c:f>
              <c:strCache>
                <c:ptCount val="97"/>
                <c:pt idx="0">
                  <c:v>DeclaredAccountsCount</c:v>
                </c:pt>
                <c:pt idx="1">
                  <c:v>OwnersCount</c:v>
                </c:pt>
                <c:pt idx="2">
                  <c:v>SecondaryPKDCount</c:v>
                </c:pt>
                <c:pt idx="3">
                  <c:v>Wiek</c:v>
                </c:pt>
                <c:pt idx="4">
                  <c:v>AuditDaysAgo</c:v>
                </c:pt>
                <c:pt idx="5">
                  <c:v>ExecutivesCount</c:v>
                </c:pt>
                <c:pt idx="6">
                  <c:v>P3</c:v>
                </c:pt>
                <c:pt idx="7">
                  <c:v>A1</c:v>
                </c:pt>
                <c:pt idx="8">
                  <c:v>RyzykowneDzialalnosciDodatkowe_NIE</c:v>
                </c:pt>
                <c:pt idx="9">
                  <c:v>NetSalesRevenue</c:v>
                </c:pt>
                <c:pt idx="10">
                  <c:v>TotalEquity</c:v>
                </c:pt>
                <c:pt idx="11">
                  <c:v>PreviousNameChangeYearsAgo</c:v>
                </c:pt>
                <c:pt idx="12">
                  <c:v>A5</c:v>
                </c:pt>
                <c:pt idx="13">
                  <c:v>P4</c:v>
                </c:pt>
                <c:pt idx="14">
                  <c:v>IssuedCapital</c:v>
                </c:pt>
                <c:pt idx="15">
                  <c:v>EmployeeBenefitExpense</c:v>
                </c:pt>
                <c:pt idx="16">
                  <c:v>SpecialLegalForm_SPÓŁKI Z OGRANICZONĄ ODPOWIEDZIALNOŚCIĄ</c:v>
                </c:pt>
                <c:pt idx="17">
                  <c:v>X9</c:v>
                </c:pt>
                <c:pt idx="18">
                  <c:v>X13</c:v>
                </c:pt>
                <c:pt idx="19">
                  <c:v>DepreciationImpairment</c:v>
                </c:pt>
                <c:pt idx="20">
                  <c:v>LegalForm_OSOBA PRAWNA</c:v>
                </c:pt>
                <c:pt idx="21">
                  <c:v>ROS</c:v>
                </c:pt>
                <c:pt idx="22">
                  <c:v>RemovalDaysAgo</c:v>
                </c:pt>
                <c:pt idx="23">
                  <c:v>BruttoMargin</c:v>
                </c:pt>
                <c:pt idx="24">
                  <c:v>A4</c:v>
                </c:pt>
                <c:pt idx="25">
                  <c:v>LegalForm_JEDNOSTKA ORGANIZACYJNA NIEMAJĄCA OSOBOWOŚCI PRAWNEJ</c:v>
                </c:pt>
                <c:pt idx="26">
                  <c:v>EMISLegalForm_PL-SPZOO</c:v>
                </c:pt>
                <c:pt idx="27">
                  <c:v>X8</c:v>
                </c:pt>
                <c:pt idx="28">
                  <c:v>X11</c:v>
                </c:pt>
                <c:pt idx="29">
                  <c:v>SpecialLegalForm_SPÓŁKI KOMANDYTOWE</c:v>
                </c:pt>
                <c:pt idx="30">
                  <c:v>WorkingCapital</c:v>
                </c:pt>
                <c:pt idx="31">
                  <c:v>ROA</c:v>
                </c:pt>
                <c:pt idx="32">
                  <c:v>PreviousNamesCount</c:v>
                </c:pt>
                <c:pt idx="33">
                  <c:v>CurrentLiabilities</c:v>
                </c:pt>
                <c:pt idx="34">
                  <c:v>NumberOfEmployees</c:v>
                </c:pt>
                <c:pt idx="35">
                  <c:v>RegisteredCapitalValue</c:v>
                </c:pt>
                <c:pt idx="36">
                  <c:v>X6</c:v>
                </c:pt>
                <c:pt idx="37">
                  <c:v>IncomeTax</c:v>
                </c:pt>
                <c:pt idx="38">
                  <c:v>A2</c:v>
                </c:pt>
                <c:pt idx="39">
                  <c:v>A3</c:v>
                </c:pt>
                <c:pt idx="40">
                  <c:v>CurrentAssets</c:v>
                </c:pt>
                <c:pt idx="41">
                  <c:v>X14</c:v>
                </c:pt>
                <c:pt idx="42">
                  <c:v>DepreciationAmortization</c:v>
                </c:pt>
                <c:pt idx="43">
                  <c:v>EMISLegalForm_PL-SA</c:v>
                </c:pt>
                <c:pt idx="44">
                  <c:v>RevenueToCash</c:v>
                </c:pt>
                <c:pt idx="45">
                  <c:v>NetProfitLossForThePeriod</c:v>
                </c:pt>
                <c:pt idx="46">
                  <c:v>RyzykowneDzialalnosciDodatkowe_TAK</c:v>
                </c:pt>
                <c:pt idx="47">
                  <c:v>TotalLiabilities</c:v>
                </c:pt>
                <c:pt idx="48">
                  <c:v>X10</c:v>
                </c:pt>
                <c:pt idx="49">
                  <c:v>OperatingProfitEBIT</c:v>
                </c:pt>
                <c:pt idx="50">
                  <c:v>PropertyPlantAndEquipment</c:v>
                </c:pt>
                <c:pt idx="51">
                  <c:v>ROE</c:v>
                </c:pt>
                <c:pt idx="52">
                  <c:v>RevenueToWages</c:v>
                </c:pt>
                <c:pt idx="53">
                  <c:v>ProfitBeforeIncomeTax</c:v>
                </c:pt>
                <c:pt idx="54">
                  <c:v>TotalAssets</c:v>
                </c:pt>
                <c:pt idx="55">
                  <c:v>EMISLegalForm_PL-SJ</c:v>
                </c:pt>
                <c:pt idx="56">
                  <c:v>SpecialLegalForm_SPÓŁKI AKCYJNE</c:v>
                </c:pt>
                <c:pt idx="57">
                  <c:v>CashandCashEquivalents</c:v>
                </c:pt>
                <c:pt idx="58">
                  <c:v>RetainedEarnings</c:v>
                </c:pt>
                <c:pt idx="59">
                  <c:v>RepresentationCount</c:v>
                </c:pt>
                <c:pt idx="60">
                  <c:v>EMISLegalForm_PL-SK</c:v>
                </c:pt>
                <c:pt idx="61">
                  <c:v>ExternalIdsOthers</c:v>
                </c:pt>
                <c:pt idx="62">
                  <c:v>NonCurrentLiabilities</c:v>
                </c:pt>
                <c:pt idx="63">
                  <c:v>AdresBiuroWirtualne_BrakDanych</c:v>
                </c:pt>
                <c:pt idx="64">
                  <c:v>RyzykownaDziałalnoscGlowna_BrakDanych</c:v>
                </c:pt>
                <c:pt idx="65">
                  <c:v>RyzykowneDzialalnosciDodatkowe_BrakDanych</c:v>
                </c:pt>
                <c:pt idx="66">
                  <c:v>CAACEksport_BrakDanych</c:v>
                </c:pt>
                <c:pt idx="67">
                  <c:v>CAACImport_BrakDanych</c:v>
                </c:pt>
                <c:pt idx="68">
                  <c:v>MainPKD_BrakDanych</c:v>
                </c:pt>
                <c:pt idx="69">
                  <c:v>DescriptionNull_TAK</c:v>
                </c:pt>
                <c:pt idx="70">
                  <c:v>AdresLokal_BrakDanych</c:v>
                </c:pt>
                <c:pt idx="71">
                  <c:v>DescriptionNull_NIE</c:v>
                </c:pt>
                <c:pt idx="72">
                  <c:v>AffiliatesCount</c:v>
                </c:pt>
                <c:pt idx="73">
                  <c:v>CAACImport_NIE</c:v>
                </c:pt>
                <c:pt idx="74">
                  <c:v>AdresLokal_NIE</c:v>
                </c:pt>
                <c:pt idx="75">
                  <c:v>NoWebsite_TAK</c:v>
                </c:pt>
                <c:pt idx="76">
                  <c:v>NoWebsite_NIE</c:v>
                </c:pt>
                <c:pt idx="77">
                  <c:v>CAACEksport_NIE</c:v>
                </c:pt>
                <c:pt idx="78">
                  <c:v>NoFax_NIE</c:v>
                </c:pt>
                <c:pt idx="79">
                  <c:v>NoFax_TAK</c:v>
                </c:pt>
                <c:pt idx="80">
                  <c:v>AdresLokal_TAK</c:v>
                </c:pt>
                <c:pt idx="81">
                  <c:v>FormaWlasnosci_WŁASNOŚĆ KRAJOWYCH OSÓB FIZYCZNYCH</c:v>
                </c:pt>
                <c:pt idx="82">
                  <c:v>RyzykownaDziałalnoscGlowna_NIE</c:v>
                </c:pt>
                <c:pt idx="83">
                  <c:v>FormaWlasnosci_Other</c:v>
                </c:pt>
                <c:pt idx="84">
                  <c:v>PhoneNotPresent_TAK</c:v>
                </c:pt>
                <c:pt idx="85">
                  <c:v>PhoneNotPresent_NIE</c:v>
                </c:pt>
                <c:pt idx="86">
                  <c:v>AdresBiuroWirtualne_NIE</c:v>
                </c:pt>
                <c:pt idx="87">
                  <c:v>VirtualAccountsPresence_TAK</c:v>
                </c:pt>
                <c:pt idx="88">
                  <c:v>SpecialLegalForm_SPÓŁKI JAWNE</c:v>
                </c:pt>
                <c:pt idx="89">
                  <c:v>FormaWlasnosci_WŁASNOŚĆ PRYWATNA KRAJOWA POZOSTAŁA</c:v>
                </c:pt>
                <c:pt idx="90">
                  <c:v>FormaWlasnosci_WŁASNOŚĆ ZAGRANICZNA</c:v>
                </c:pt>
                <c:pt idx="91">
                  <c:v>NoMail_TAK</c:v>
                </c:pt>
                <c:pt idx="92">
                  <c:v>NoMail_NIE</c:v>
                </c:pt>
                <c:pt idx="93">
                  <c:v>VirtualAccountsPresence_NIE</c:v>
                </c:pt>
                <c:pt idx="94">
                  <c:v>EMISLegalForm_Other</c:v>
                </c:pt>
                <c:pt idx="95">
                  <c:v>ExpiredLicenses</c:v>
                </c:pt>
                <c:pt idx="96">
                  <c:v>ActiveLicenses</c:v>
                </c:pt>
              </c:strCache>
            </c:strRef>
          </c:tx>
          <c:spPr>
            <a:solidFill>
              <a:schemeClr val="accent1">
                <a:lumMod val="75000"/>
              </a:schemeClr>
            </a:solidFill>
            <a:ln>
              <a:solidFill>
                <a:schemeClr val="accent1">
                  <a:lumMod val="75000"/>
                </a:schemeClr>
              </a:solidFill>
            </a:ln>
            <a:effectLst/>
          </c:spPr>
          <c:invertIfNegative val="0"/>
          <c:dPt>
            <c:idx val="0"/>
            <c:invertIfNegative val="0"/>
            <c:bubble3D val="0"/>
            <c:spPr>
              <a:solidFill>
                <a:schemeClr val="accent1">
                  <a:lumMod val="75000"/>
                </a:schemeClr>
              </a:solidFill>
              <a:ln>
                <a:solidFill>
                  <a:schemeClr val="accent1">
                    <a:lumMod val="75000"/>
                  </a:schemeClr>
                </a:solidFill>
              </a:ln>
              <a:effectLst/>
            </c:spPr>
            <c:extLst>
              <c:ext xmlns:c16="http://schemas.microsoft.com/office/drawing/2014/chart" uri="{C3380CC4-5D6E-409C-BE32-E72D297353CC}">
                <c16:uniqueId val="{00000001-1A9B-4AB4-A61E-E833E5B212C8}"/>
              </c:ext>
            </c:extLst>
          </c:dPt>
          <c:cat>
            <c:strRef>
              <c:f>borutka!$A$2:$A$98</c:f>
              <c:strCache>
                <c:ptCount val="97"/>
                <c:pt idx="0">
                  <c:v>DeclaredAccountsCount</c:v>
                </c:pt>
                <c:pt idx="1">
                  <c:v>OwnersCount</c:v>
                </c:pt>
                <c:pt idx="2">
                  <c:v>SecondaryPKDCount</c:v>
                </c:pt>
                <c:pt idx="3">
                  <c:v>Wiek</c:v>
                </c:pt>
                <c:pt idx="4">
                  <c:v>AuditDaysAgo</c:v>
                </c:pt>
                <c:pt idx="5">
                  <c:v>ExecutivesCount</c:v>
                </c:pt>
                <c:pt idx="6">
                  <c:v>P3</c:v>
                </c:pt>
                <c:pt idx="7">
                  <c:v>A1</c:v>
                </c:pt>
                <c:pt idx="8">
                  <c:v>RyzykowneDzialalnosciDodatkowe_NIE</c:v>
                </c:pt>
                <c:pt idx="9">
                  <c:v>NetSalesRevenue</c:v>
                </c:pt>
                <c:pt idx="10">
                  <c:v>TotalEquity</c:v>
                </c:pt>
                <c:pt idx="11">
                  <c:v>PreviousNameChangeYearsAgo</c:v>
                </c:pt>
                <c:pt idx="12">
                  <c:v>A5</c:v>
                </c:pt>
                <c:pt idx="13">
                  <c:v>P4</c:v>
                </c:pt>
                <c:pt idx="14">
                  <c:v>IssuedCapital</c:v>
                </c:pt>
                <c:pt idx="15">
                  <c:v>EmployeeBenefitExpense</c:v>
                </c:pt>
                <c:pt idx="16">
                  <c:v>SpecialLegalForm_SPÓŁKI Z OGRANICZONĄ ODPOWIEDZIALNOŚCIĄ</c:v>
                </c:pt>
                <c:pt idx="17">
                  <c:v>X9</c:v>
                </c:pt>
                <c:pt idx="18">
                  <c:v>X13</c:v>
                </c:pt>
                <c:pt idx="19">
                  <c:v>DepreciationImpairment</c:v>
                </c:pt>
                <c:pt idx="20">
                  <c:v>LegalForm_OSOBA PRAWNA</c:v>
                </c:pt>
                <c:pt idx="21">
                  <c:v>ROS</c:v>
                </c:pt>
                <c:pt idx="22">
                  <c:v>RemovalDaysAgo</c:v>
                </c:pt>
                <c:pt idx="23">
                  <c:v>BruttoMargin</c:v>
                </c:pt>
                <c:pt idx="24">
                  <c:v>A4</c:v>
                </c:pt>
                <c:pt idx="25">
                  <c:v>LegalForm_JEDNOSTKA ORGANIZACYJNA NIEMAJĄCA OSOBOWOŚCI PRAWNEJ</c:v>
                </c:pt>
                <c:pt idx="26">
                  <c:v>EMISLegalForm_PL-SPZOO</c:v>
                </c:pt>
                <c:pt idx="27">
                  <c:v>X8</c:v>
                </c:pt>
                <c:pt idx="28">
                  <c:v>X11</c:v>
                </c:pt>
                <c:pt idx="29">
                  <c:v>SpecialLegalForm_SPÓŁKI KOMANDYTOWE</c:v>
                </c:pt>
                <c:pt idx="30">
                  <c:v>WorkingCapital</c:v>
                </c:pt>
                <c:pt idx="31">
                  <c:v>ROA</c:v>
                </c:pt>
                <c:pt idx="32">
                  <c:v>PreviousNamesCount</c:v>
                </c:pt>
                <c:pt idx="33">
                  <c:v>CurrentLiabilities</c:v>
                </c:pt>
                <c:pt idx="34">
                  <c:v>NumberOfEmployees</c:v>
                </c:pt>
                <c:pt idx="35">
                  <c:v>RegisteredCapitalValue</c:v>
                </c:pt>
                <c:pt idx="36">
                  <c:v>X6</c:v>
                </c:pt>
                <c:pt idx="37">
                  <c:v>IncomeTax</c:v>
                </c:pt>
                <c:pt idx="38">
                  <c:v>A2</c:v>
                </c:pt>
                <c:pt idx="39">
                  <c:v>A3</c:v>
                </c:pt>
                <c:pt idx="40">
                  <c:v>CurrentAssets</c:v>
                </c:pt>
                <c:pt idx="41">
                  <c:v>X14</c:v>
                </c:pt>
                <c:pt idx="42">
                  <c:v>DepreciationAmortization</c:v>
                </c:pt>
                <c:pt idx="43">
                  <c:v>EMISLegalForm_PL-SA</c:v>
                </c:pt>
                <c:pt idx="44">
                  <c:v>RevenueToCash</c:v>
                </c:pt>
                <c:pt idx="45">
                  <c:v>NetProfitLossForThePeriod</c:v>
                </c:pt>
                <c:pt idx="46">
                  <c:v>RyzykowneDzialalnosciDodatkowe_TAK</c:v>
                </c:pt>
                <c:pt idx="47">
                  <c:v>TotalLiabilities</c:v>
                </c:pt>
                <c:pt idx="48">
                  <c:v>X10</c:v>
                </c:pt>
                <c:pt idx="49">
                  <c:v>OperatingProfitEBIT</c:v>
                </c:pt>
                <c:pt idx="50">
                  <c:v>PropertyPlantAndEquipment</c:v>
                </c:pt>
                <c:pt idx="51">
                  <c:v>ROE</c:v>
                </c:pt>
                <c:pt idx="52">
                  <c:v>RevenueToWages</c:v>
                </c:pt>
                <c:pt idx="53">
                  <c:v>ProfitBeforeIncomeTax</c:v>
                </c:pt>
                <c:pt idx="54">
                  <c:v>TotalAssets</c:v>
                </c:pt>
                <c:pt idx="55">
                  <c:v>EMISLegalForm_PL-SJ</c:v>
                </c:pt>
                <c:pt idx="56">
                  <c:v>SpecialLegalForm_SPÓŁKI AKCYJNE</c:v>
                </c:pt>
                <c:pt idx="57">
                  <c:v>CashandCashEquivalents</c:v>
                </c:pt>
                <c:pt idx="58">
                  <c:v>RetainedEarnings</c:v>
                </c:pt>
                <c:pt idx="59">
                  <c:v>RepresentationCount</c:v>
                </c:pt>
                <c:pt idx="60">
                  <c:v>EMISLegalForm_PL-SK</c:v>
                </c:pt>
                <c:pt idx="61">
                  <c:v>ExternalIdsOthers</c:v>
                </c:pt>
                <c:pt idx="62">
                  <c:v>NonCurrentLiabilities</c:v>
                </c:pt>
                <c:pt idx="63">
                  <c:v>AdresBiuroWirtualne_BrakDanych</c:v>
                </c:pt>
                <c:pt idx="64">
                  <c:v>RyzykownaDziałalnoscGlowna_BrakDanych</c:v>
                </c:pt>
                <c:pt idx="65">
                  <c:v>RyzykowneDzialalnosciDodatkowe_BrakDanych</c:v>
                </c:pt>
                <c:pt idx="66">
                  <c:v>CAACEksport_BrakDanych</c:v>
                </c:pt>
                <c:pt idx="67">
                  <c:v>CAACImport_BrakDanych</c:v>
                </c:pt>
                <c:pt idx="68">
                  <c:v>MainPKD_BrakDanych</c:v>
                </c:pt>
                <c:pt idx="69">
                  <c:v>DescriptionNull_TAK</c:v>
                </c:pt>
                <c:pt idx="70">
                  <c:v>AdresLokal_BrakDanych</c:v>
                </c:pt>
                <c:pt idx="71">
                  <c:v>DescriptionNull_NIE</c:v>
                </c:pt>
                <c:pt idx="72">
                  <c:v>AffiliatesCount</c:v>
                </c:pt>
                <c:pt idx="73">
                  <c:v>CAACImport_NIE</c:v>
                </c:pt>
                <c:pt idx="74">
                  <c:v>AdresLokal_NIE</c:v>
                </c:pt>
                <c:pt idx="75">
                  <c:v>NoWebsite_TAK</c:v>
                </c:pt>
                <c:pt idx="76">
                  <c:v>NoWebsite_NIE</c:v>
                </c:pt>
                <c:pt idx="77">
                  <c:v>CAACEksport_NIE</c:v>
                </c:pt>
                <c:pt idx="78">
                  <c:v>NoFax_NIE</c:v>
                </c:pt>
                <c:pt idx="79">
                  <c:v>NoFax_TAK</c:v>
                </c:pt>
                <c:pt idx="80">
                  <c:v>AdresLokal_TAK</c:v>
                </c:pt>
                <c:pt idx="81">
                  <c:v>FormaWlasnosci_WŁASNOŚĆ KRAJOWYCH OSÓB FIZYCZNYCH</c:v>
                </c:pt>
                <c:pt idx="82">
                  <c:v>RyzykownaDziałalnoscGlowna_NIE</c:v>
                </c:pt>
                <c:pt idx="83">
                  <c:v>FormaWlasnosci_Other</c:v>
                </c:pt>
                <c:pt idx="84">
                  <c:v>PhoneNotPresent_TAK</c:v>
                </c:pt>
                <c:pt idx="85">
                  <c:v>PhoneNotPresent_NIE</c:v>
                </c:pt>
                <c:pt idx="86">
                  <c:v>AdresBiuroWirtualne_NIE</c:v>
                </c:pt>
                <c:pt idx="87">
                  <c:v>VirtualAccountsPresence_TAK</c:v>
                </c:pt>
                <c:pt idx="88">
                  <c:v>SpecialLegalForm_SPÓŁKI JAWNE</c:v>
                </c:pt>
                <c:pt idx="89">
                  <c:v>FormaWlasnosci_WŁASNOŚĆ PRYWATNA KRAJOWA POZOSTAŁA</c:v>
                </c:pt>
                <c:pt idx="90">
                  <c:v>FormaWlasnosci_WŁASNOŚĆ ZAGRANICZNA</c:v>
                </c:pt>
                <c:pt idx="91">
                  <c:v>NoMail_TAK</c:v>
                </c:pt>
                <c:pt idx="92">
                  <c:v>NoMail_NIE</c:v>
                </c:pt>
                <c:pt idx="93">
                  <c:v>VirtualAccountsPresence_NIE</c:v>
                </c:pt>
                <c:pt idx="94">
                  <c:v>EMISLegalForm_Other</c:v>
                </c:pt>
                <c:pt idx="95">
                  <c:v>ExpiredLicenses</c:v>
                </c:pt>
                <c:pt idx="96">
                  <c:v>ActiveLicenses</c:v>
                </c:pt>
              </c:strCache>
            </c:strRef>
          </c:cat>
          <c:val>
            <c:numRef>
              <c:f>borutka!$B$2:$B$98</c:f>
              <c:numCache>
                <c:formatCode>General</c:formatCode>
                <c:ptCount val="97"/>
                <c:pt idx="0">
                  <c:v>36.181259298458897</c:v>
                </c:pt>
                <c:pt idx="1">
                  <c:v>33.6734762567677</c:v>
                </c:pt>
                <c:pt idx="2">
                  <c:v>33.063269453200299</c:v>
                </c:pt>
                <c:pt idx="3">
                  <c:v>22.538603864528</c:v>
                </c:pt>
                <c:pt idx="4">
                  <c:v>17.984504497107299</c:v>
                </c:pt>
                <c:pt idx="5">
                  <c:v>16.780277760638501</c:v>
                </c:pt>
                <c:pt idx="6">
                  <c:v>16.305523599572599</c:v>
                </c:pt>
                <c:pt idx="7">
                  <c:v>16.144092350258099</c:v>
                </c:pt>
                <c:pt idx="8">
                  <c:v>16.038546728716</c:v>
                </c:pt>
                <c:pt idx="9">
                  <c:v>15.8075390977944</c:v>
                </c:pt>
                <c:pt idx="10">
                  <c:v>15.695766699307301</c:v>
                </c:pt>
                <c:pt idx="11">
                  <c:v>15.4001029015662</c:v>
                </c:pt>
                <c:pt idx="12">
                  <c:v>15.2769307954858</c:v>
                </c:pt>
                <c:pt idx="13">
                  <c:v>14.843732998274801</c:v>
                </c:pt>
                <c:pt idx="14">
                  <c:v>14.665621376941701</c:v>
                </c:pt>
                <c:pt idx="15">
                  <c:v>14.514948947567399</c:v>
                </c:pt>
                <c:pt idx="16">
                  <c:v>14.5001386935642</c:v>
                </c:pt>
                <c:pt idx="17">
                  <c:v>14.463542720188199</c:v>
                </c:pt>
                <c:pt idx="18">
                  <c:v>14.408187580858</c:v>
                </c:pt>
                <c:pt idx="19">
                  <c:v>14.348356510404299</c:v>
                </c:pt>
                <c:pt idx="20">
                  <c:v>14.339449937988601</c:v>
                </c:pt>
                <c:pt idx="21">
                  <c:v>14.2654221666212</c:v>
                </c:pt>
                <c:pt idx="22">
                  <c:v>14.247782128712799</c:v>
                </c:pt>
                <c:pt idx="23">
                  <c:v>14.064428983208799</c:v>
                </c:pt>
                <c:pt idx="24">
                  <c:v>13.991998651868901</c:v>
                </c:pt>
                <c:pt idx="25">
                  <c:v>13.9222857887389</c:v>
                </c:pt>
                <c:pt idx="26">
                  <c:v>13.762169910827099</c:v>
                </c:pt>
                <c:pt idx="27">
                  <c:v>13.6605775611903</c:v>
                </c:pt>
                <c:pt idx="28">
                  <c:v>13.657212401866399</c:v>
                </c:pt>
                <c:pt idx="29">
                  <c:v>13.6235560451826</c:v>
                </c:pt>
                <c:pt idx="30">
                  <c:v>13.524890877789799</c:v>
                </c:pt>
                <c:pt idx="31">
                  <c:v>13.4530695682505</c:v>
                </c:pt>
                <c:pt idx="32">
                  <c:v>13.297855285901701</c:v>
                </c:pt>
                <c:pt idx="33">
                  <c:v>13.156863500060901</c:v>
                </c:pt>
                <c:pt idx="34">
                  <c:v>12.9180393987044</c:v>
                </c:pt>
                <c:pt idx="35">
                  <c:v>12.7952591682917</c:v>
                </c:pt>
                <c:pt idx="36">
                  <c:v>12.643696499180299</c:v>
                </c:pt>
                <c:pt idx="37">
                  <c:v>12.510030700053299</c:v>
                </c:pt>
                <c:pt idx="38">
                  <c:v>12.3689190378758</c:v>
                </c:pt>
                <c:pt idx="39">
                  <c:v>12.355621726049399</c:v>
                </c:pt>
                <c:pt idx="40">
                  <c:v>12.042882705898201</c:v>
                </c:pt>
                <c:pt idx="41">
                  <c:v>11.9012296035067</c:v>
                </c:pt>
                <c:pt idx="42">
                  <c:v>11.8643031438235</c:v>
                </c:pt>
                <c:pt idx="43">
                  <c:v>11.7906096520553</c:v>
                </c:pt>
                <c:pt idx="44">
                  <c:v>11.5465656186704</c:v>
                </c:pt>
                <c:pt idx="45">
                  <c:v>11.5233557410436</c:v>
                </c:pt>
                <c:pt idx="46">
                  <c:v>11.501198636502799</c:v>
                </c:pt>
                <c:pt idx="47">
                  <c:v>11.4971438876689</c:v>
                </c:pt>
                <c:pt idx="48">
                  <c:v>11.264404392404099</c:v>
                </c:pt>
                <c:pt idx="49">
                  <c:v>11.1536803315278</c:v>
                </c:pt>
                <c:pt idx="50">
                  <c:v>11.0937291457264</c:v>
                </c:pt>
                <c:pt idx="51">
                  <c:v>11.0077459471664</c:v>
                </c:pt>
                <c:pt idx="52">
                  <c:v>10.9687510469921</c:v>
                </c:pt>
                <c:pt idx="53">
                  <c:v>10.957788643749501</c:v>
                </c:pt>
                <c:pt idx="54">
                  <c:v>10.818986661232699</c:v>
                </c:pt>
                <c:pt idx="55">
                  <c:v>10.593523255969201</c:v>
                </c:pt>
                <c:pt idx="56">
                  <c:v>10.578077717200101</c:v>
                </c:pt>
                <c:pt idx="57">
                  <c:v>10.280620614702199</c:v>
                </c:pt>
                <c:pt idx="58">
                  <c:v>10.2017238052103</c:v>
                </c:pt>
                <c:pt idx="59">
                  <c:v>10.0178230826308</c:v>
                </c:pt>
                <c:pt idx="60">
                  <c:v>8.2882522997317096</c:v>
                </c:pt>
                <c:pt idx="61">
                  <c:v>8.1092229562676508</c:v>
                </c:pt>
                <c:pt idx="62">
                  <c:v>8.0788890130631099</c:v>
                </c:pt>
                <c:pt idx="63">
                  <c:v>7.5648686580461098</c:v>
                </c:pt>
                <c:pt idx="64">
                  <c:v>7.5296335734996003</c:v>
                </c:pt>
                <c:pt idx="65">
                  <c:v>7.51422488585915</c:v>
                </c:pt>
                <c:pt idx="66">
                  <c:v>7.4949828073190004</c:v>
                </c:pt>
                <c:pt idx="67">
                  <c:v>7.4883782287818503</c:v>
                </c:pt>
                <c:pt idx="68">
                  <c:v>7.4572603109248998</c:v>
                </c:pt>
                <c:pt idx="69">
                  <c:v>7.3813089601094104</c:v>
                </c:pt>
                <c:pt idx="70">
                  <c:v>7.3539238934458302</c:v>
                </c:pt>
                <c:pt idx="71">
                  <c:v>7.3414267819259704</c:v>
                </c:pt>
                <c:pt idx="72">
                  <c:v>6.8809102810642999</c:v>
                </c:pt>
                <c:pt idx="73">
                  <c:v>5.9189501099663699</c:v>
                </c:pt>
                <c:pt idx="74">
                  <c:v>5.8561719722289904</c:v>
                </c:pt>
                <c:pt idx="75">
                  <c:v>5.6367532646492</c:v>
                </c:pt>
                <c:pt idx="76">
                  <c:v>5.6357732461997703</c:v>
                </c:pt>
                <c:pt idx="77">
                  <c:v>5.6306143079322899</c:v>
                </c:pt>
                <c:pt idx="78">
                  <c:v>5.6125952539423603</c:v>
                </c:pt>
                <c:pt idx="79">
                  <c:v>5.5658011745824396</c:v>
                </c:pt>
                <c:pt idx="80">
                  <c:v>5.5045796955360098</c:v>
                </c:pt>
                <c:pt idx="81">
                  <c:v>5.4982580218288399</c:v>
                </c:pt>
                <c:pt idx="82">
                  <c:v>5.4971639792841103</c:v>
                </c:pt>
                <c:pt idx="83">
                  <c:v>5.3798175347771302</c:v>
                </c:pt>
                <c:pt idx="84">
                  <c:v>5.31781752138901</c:v>
                </c:pt>
                <c:pt idx="85">
                  <c:v>5.3053060378953596</c:v>
                </c:pt>
                <c:pt idx="86">
                  <c:v>5.2755627358637698</c:v>
                </c:pt>
                <c:pt idx="87">
                  <c:v>5.2467986429691598</c:v>
                </c:pt>
                <c:pt idx="88">
                  <c:v>5.0409861820577104</c:v>
                </c:pt>
                <c:pt idx="89">
                  <c:v>4.7065223470870601</c:v>
                </c:pt>
                <c:pt idx="90">
                  <c:v>4.5981310006382197</c:v>
                </c:pt>
                <c:pt idx="91">
                  <c:v>4.5398282535775696</c:v>
                </c:pt>
                <c:pt idx="92">
                  <c:v>4.5331969324968302</c:v>
                </c:pt>
                <c:pt idx="93">
                  <c:v>4.4144510250952704</c:v>
                </c:pt>
                <c:pt idx="94">
                  <c:v>3.3551124597959001</c:v>
                </c:pt>
                <c:pt idx="95">
                  <c:v>3.2900864650145198</c:v>
                </c:pt>
                <c:pt idx="96">
                  <c:v>3.2812819223830298</c:v>
                </c:pt>
              </c:numCache>
            </c:numRef>
          </c:val>
          <c:extLst>
            <c:ext xmlns:c16="http://schemas.microsoft.com/office/drawing/2014/chart" uri="{C3380CC4-5D6E-409C-BE32-E72D297353CC}">
              <c16:uniqueId val="{00000002-1A9B-4AB4-A61E-E833E5B212C8}"/>
            </c:ext>
          </c:extLst>
        </c:ser>
        <c:dLbls>
          <c:showLegendKey val="0"/>
          <c:showVal val="0"/>
          <c:showCatName val="0"/>
          <c:showSerName val="0"/>
          <c:showPercent val="0"/>
          <c:showBubbleSize val="0"/>
        </c:dLbls>
        <c:gapWidth val="219"/>
        <c:overlap val="-27"/>
        <c:axId val="1750708256"/>
        <c:axId val="1618156384"/>
      </c:barChart>
      <c:catAx>
        <c:axId val="17507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8156384"/>
        <c:crosses val="autoZero"/>
        <c:auto val="1"/>
        <c:lblAlgn val="ctr"/>
        <c:lblOffset val="100"/>
        <c:noMultiLvlLbl val="0"/>
      </c:catAx>
      <c:valAx>
        <c:axId val="161815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070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C4C4-A81C-4422-BC7E-5E5F03903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11860</TotalTime>
  <Pages>59</Pages>
  <Words>16880</Words>
  <Characters>101280</Characters>
  <Application>Microsoft Office Word</Application>
  <DocSecurity>0</DocSecurity>
  <Lines>844</Lines>
  <Paragraphs>235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2817</cp:revision>
  <cp:lastPrinted>2018-04-29T19:16:00Z</cp:lastPrinted>
  <dcterms:created xsi:type="dcterms:W3CDTF">2017-11-25T13:24:00Z</dcterms:created>
  <dcterms:modified xsi:type="dcterms:W3CDTF">2021-01-10T23:29:00Z</dcterms:modified>
</cp:coreProperties>
</file>