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AC882" w14:textId="77777777" w:rsidR="00741060" w:rsidRPr="00250367" w:rsidRDefault="00741060" w:rsidP="00250367">
      <w:pPr>
        <w:spacing w:after="0" w:line="360" w:lineRule="auto"/>
        <w:jc w:val="both"/>
        <w:rPr>
          <w:rFonts w:eastAsia="Times New Roman" w:cs="Times New Roman"/>
          <w:szCs w:val="24"/>
          <w:lang w:eastAsia="pl-PL"/>
        </w:rPr>
      </w:pPr>
      <w:bookmarkStart w:id="0" w:name="_gjdgxs" w:colFirst="0" w:colLast="0"/>
      <w:bookmarkEnd w:id="0"/>
      <w:r w:rsidRPr="00741060">
        <w:rPr>
          <w:noProof/>
          <w:lang w:eastAsia="pl-PL"/>
        </w:rPr>
        <w:drawing>
          <wp:anchor distT="0" distB="0" distL="114300" distR="114300" simplePos="0" relativeHeight="251659264" behindDoc="0" locked="0" layoutInCell="1" hidden="0" allowOverlap="1" wp14:anchorId="004A643F" wp14:editId="40F482C7">
            <wp:simplePos x="0" y="0"/>
            <wp:positionH relativeFrom="margin">
              <wp:posOffset>1040130</wp:posOffset>
            </wp:positionH>
            <wp:positionV relativeFrom="paragraph">
              <wp:posOffset>0</wp:posOffset>
            </wp:positionV>
            <wp:extent cx="3680460" cy="1859280"/>
            <wp:effectExtent l="0" t="0" r="0" b="0"/>
            <wp:wrapSquare wrapText="bothSides" distT="0" distB="0" distL="114300" distR="114300"/>
            <wp:docPr id="29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680460" cy="1859280"/>
                    </a:xfrm>
                    <a:prstGeom prst="rect">
                      <a:avLst/>
                    </a:prstGeom>
                    <a:ln/>
                  </pic:spPr>
                </pic:pic>
              </a:graphicData>
            </a:graphic>
          </wp:anchor>
        </w:drawing>
      </w:r>
    </w:p>
    <w:p w14:paraId="769AD4D3" w14:textId="77777777" w:rsidR="00741060" w:rsidRPr="00741060" w:rsidRDefault="00741060" w:rsidP="00741060">
      <w:pPr>
        <w:spacing w:after="0" w:line="360" w:lineRule="auto"/>
        <w:ind w:firstLine="284"/>
        <w:jc w:val="both"/>
        <w:rPr>
          <w:rFonts w:eastAsia="Times New Roman" w:cs="Times New Roman"/>
          <w:szCs w:val="24"/>
          <w:lang w:eastAsia="pl-PL"/>
        </w:rPr>
      </w:pPr>
    </w:p>
    <w:p w14:paraId="2CE3AC4C" w14:textId="77777777" w:rsidR="00741060" w:rsidRPr="00741060" w:rsidRDefault="00741060" w:rsidP="00741060">
      <w:pPr>
        <w:spacing w:after="0" w:line="360" w:lineRule="auto"/>
        <w:ind w:firstLine="284"/>
        <w:jc w:val="both"/>
        <w:rPr>
          <w:rFonts w:eastAsia="Times New Roman" w:cs="Times New Roman"/>
          <w:szCs w:val="24"/>
          <w:lang w:eastAsia="pl-PL"/>
        </w:rPr>
      </w:pPr>
    </w:p>
    <w:p w14:paraId="3555AD03" w14:textId="77777777" w:rsidR="00741060" w:rsidRPr="00741060" w:rsidRDefault="00741060" w:rsidP="00741060">
      <w:pPr>
        <w:spacing w:after="0" w:line="360" w:lineRule="auto"/>
        <w:ind w:firstLine="284"/>
        <w:jc w:val="both"/>
        <w:rPr>
          <w:rFonts w:eastAsia="Times New Roman" w:cs="Times New Roman"/>
          <w:szCs w:val="24"/>
          <w:lang w:eastAsia="pl-PL"/>
        </w:rPr>
      </w:pPr>
    </w:p>
    <w:p w14:paraId="32DB17EB" w14:textId="77777777" w:rsidR="00741060" w:rsidRPr="00741060" w:rsidRDefault="00741060" w:rsidP="00741060">
      <w:pPr>
        <w:spacing w:after="0" w:line="360" w:lineRule="auto"/>
        <w:ind w:firstLine="284"/>
        <w:jc w:val="both"/>
        <w:rPr>
          <w:rFonts w:eastAsia="Times New Roman" w:cs="Times New Roman"/>
          <w:szCs w:val="24"/>
          <w:lang w:eastAsia="pl-PL"/>
        </w:rPr>
      </w:pPr>
    </w:p>
    <w:p w14:paraId="1A316552" w14:textId="77777777" w:rsidR="00741060" w:rsidRPr="00741060" w:rsidRDefault="00741060" w:rsidP="00741060">
      <w:pPr>
        <w:spacing w:after="96" w:line="360" w:lineRule="auto"/>
        <w:ind w:left="2292" w:right="2353" w:firstLine="284"/>
        <w:jc w:val="center"/>
        <w:rPr>
          <w:rFonts w:eastAsia="Times New Roman" w:cs="Times New Roman"/>
          <w:szCs w:val="24"/>
          <w:lang w:eastAsia="pl-PL"/>
        </w:rPr>
      </w:pPr>
    </w:p>
    <w:p w14:paraId="4DA3DDE9" w14:textId="77777777" w:rsidR="00F24841" w:rsidRDefault="00F24841" w:rsidP="00741060">
      <w:pPr>
        <w:spacing w:after="96" w:line="360" w:lineRule="auto"/>
        <w:ind w:left="2292" w:right="2353" w:firstLine="284"/>
        <w:jc w:val="center"/>
        <w:rPr>
          <w:rFonts w:eastAsia="Times New Roman" w:cs="Times New Roman"/>
          <w:szCs w:val="24"/>
          <w:lang w:eastAsia="pl-PL"/>
        </w:rPr>
      </w:pPr>
    </w:p>
    <w:p w14:paraId="6C9B789F" w14:textId="77777777" w:rsidR="00F24841" w:rsidRDefault="00F24841" w:rsidP="00741060">
      <w:pPr>
        <w:spacing w:after="96" w:line="360" w:lineRule="auto"/>
        <w:ind w:left="2292" w:right="2353" w:firstLine="284"/>
        <w:jc w:val="center"/>
        <w:rPr>
          <w:rFonts w:eastAsia="Times New Roman" w:cs="Times New Roman"/>
          <w:szCs w:val="24"/>
          <w:lang w:eastAsia="pl-PL"/>
        </w:rPr>
      </w:pPr>
    </w:p>
    <w:p w14:paraId="0C825356" w14:textId="0AA810DC" w:rsidR="00741060" w:rsidRPr="00741060" w:rsidRDefault="00741060" w:rsidP="00741060">
      <w:pPr>
        <w:spacing w:after="96" w:line="360" w:lineRule="auto"/>
        <w:ind w:left="2292" w:right="2353" w:firstLine="284"/>
        <w:jc w:val="center"/>
        <w:rPr>
          <w:rFonts w:eastAsia="Times New Roman" w:cs="Times New Roman"/>
          <w:szCs w:val="24"/>
          <w:lang w:eastAsia="pl-PL"/>
        </w:rPr>
      </w:pPr>
      <w:r w:rsidRPr="00741060">
        <w:rPr>
          <w:rFonts w:eastAsia="Times New Roman" w:cs="Times New Roman"/>
          <w:szCs w:val="24"/>
          <w:lang w:eastAsia="pl-PL"/>
        </w:rPr>
        <w:t>Studium Licencjackie</w:t>
      </w:r>
      <w:r w:rsidRPr="00741060">
        <w:rPr>
          <w:rFonts w:eastAsia="Times New Roman" w:cs="Times New Roman"/>
          <w:sz w:val="20"/>
          <w:szCs w:val="20"/>
          <w:vertAlign w:val="superscript"/>
          <w:lang w:eastAsia="pl-PL"/>
        </w:rPr>
        <w:t xml:space="preserve"> </w:t>
      </w:r>
    </w:p>
    <w:p w14:paraId="7EC3B612" w14:textId="77777777" w:rsidR="00741060" w:rsidRPr="00741060" w:rsidRDefault="00741060" w:rsidP="00741060">
      <w:pPr>
        <w:spacing w:after="57" w:line="360" w:lineRule="auto"/>
        <w:ind w:firstLine="284"/>
        <w:jc w:val="both"/>
        <w:rPr>
          <w:rFonts w:eastAsia="Times New Roman" w:cs="Times New Roman"/>
          <w:szCs w:val="24"/>
          <w:lang w:eastAsia="pl-PL"/>
        </w:rPr>
      </w:pPr>
      <w:r w:rsidRPr="00741060">
        <w:rPr>
          <w:rFonts w:eastAsia="Times New Roman" w:cs="Times New Roman"/>
          <w:szCs w:val="24"/>
          <w:lang w:eastAsia="pl-PL"/>
        </w:rPr>
        <w:t xml:space="preserve"> </w:t>
      </w:r>
    </w:p>
    <w:p w14:paraId="352CDAB5" w14:textId="79DF040E" w:rsidR="00741060" w:rsidRPr="00741060" w:rsidRDefault="00741060" w:rsidP="00741060">
      <w:pPr>
        <w:spacing w:after="59" w:line="360" w:lineRule="auto"/>
        <w:ind w:left="-5" w:firstLine="284"/>
        <w:jc w:val="both"/>
        <w:rPr>
          <w:rFonts w:eastAsia="Times New Roman" w:cs="Times New Roman"/>
          <w:szCs w:val="24"/>
          <w:lang w:eastAsia="pl-PL"/>
        </w:rPr>
      </w:pPr>
      <w:r w:rsidRPr="00741060">
        <w:rPr>
          <w:rFonts w:eastAsia="Times New Roman" w:cs="Times New Roman"/>
          <w:szCs w:val="24"/>
          <w:lang w:eastAsia="pl-PL"/>
        </w:rPr>
        <w:t>Kierunek:</w:t>
      </w:r>
      <w:r w:rsidR="000B2E6F">
        <w:rPr>
          <w:rFonts w:eastAsia="Times New Roman" w:cs="Times New Roman"/>
          <w:szCs w:val="24"/>
          <w:lang w:eastAsia="pl-PL"/>
        </w:rPr>
        <w:t xml:space="preserve"> Finanse i Rachunkowość</w:t>
      </w:r>
      <w:r w:rsidRPr="00741060">
        <w:rPr>
          <w:rFonts w:eastAsia="Times New Roman" w:cs="Times New Roman"/>
          <w:szCs w:val="24"/>
          <w:lang w:eastAsia="pl-PL"/>
        </w:rPr>
        <w:t xml:space="preserve"> </w:t>
      </w:r>
    </w:p>
    <w:p w14:paraId="6A77BB82" w14:textId="78ABFC44" w:rsidR="00741060" w:rsidRPr="00741060" w:rsidRDefault="00741060" w:rsidP="00F24841">
      <w:pPr>
        <w:spacing w:after="119" w:line="360" w:lineRule="auto"/>
        <w:ind w:left="-5" w:right="1366" w:firstLine="284"/>
        <w:jc w:val="both"/>
        <w:rPr>
          <w:rFonts w:eastAsia="Times New Roman" w:cs="Times New Roman"/>
          <w:szCs w:val="24"/>
          <w:lang w:eastAsia="pl-PL"/>
        </w:rPr>
      </w:pPr>
      <w:r w:rsidRPr="00741060">
        <w:rPr>
          <w:rFonts w:eastAsia="Times New Roman" w:cs="Times New Roman"/>
          <w:szCs w:val="24"/>
          <w:lang w:eastAsia="pl-PL"/>
        </w:rPr>
        <w:t>Specjalność:</w:t>
      </w:r>
      <w:r>
        <w:rPr>
          <w:rFonts w:eastAsia="Times New Roman" w:cs="Times New Roman"/>
          <w:szCs w:val="24"/>
          <w:lang w:eastAsia="pl-PL"/>
        </w:rPr>
        <w:t xml:space="preserve"> Bankowość</w:t>
      </w:r>
      <w:r w:rsidR="006F454B">
        <w:rPr>
          <w:rFonts w:eastAsia="Times New Roman" w:cs="Times New Roman"/>
          <w:szCs w:val="24"/>
          <w:lang w:eastAsia="pl-PL"/>
        </w:rPr>
        <w:t xml:space="preserve"> </w:t>
      </w:r>
    </w:p>
    <w:p w14:paraId="0E616A48" w14:textId="77777777" w:rsidR="00741060" w:rsidRPr="00741060" w:rsidRDefault="00741060" w:rsidP="00741060">
      <w:pPr>
        <w:spacing w:after="49" w:line="360" w:lineRule="auto"/>
        <w:ind w:firstLine="284"/>
        <w:jc w:val="both"/>
        <w:rPr>
          <w:rFonts w:eastAsia="Times New Roman" w:cs="Times New Roman"/>
          <w:szCs w:val="24"/>
          <w:lang w:eastAsia="pl-PL"/>
        </w:rPr>
      </w:pPr>
      <w:r w:rsidRPr="00741060">
        <w:rPr>
          <w:rFonts w:eastAsia="Times New Roman" w:cs="Times New Roman"/>
          <w:noProof/>
          <w:szCs w:val="24"/>
          <w:lang w:eastAsia="pl-PL"/>
        </w:rPr>
        <mc:AlternateContent>
          <mc:Choice Requires="wps">
            <w:drawing>
              <wp:anchor distT="45720" distB="45720" distL="114300" distR="114300" simplePos="0" relativeHeight="251660288" behindDoc="0" locked="0" layoutInCell="1" hidden="0" allowOverlap="1" wp14:anchorId="7F49E77B" wp14:editId="51424415">
                <wp:simplePos x="0" y="0"/>
                <wp:positionH relativeFrom="margin">
                  <wp:posOffset>3344998</wp:posOffset>
                </wp:positionH>
                <wp:positionV relativeFrom="paragraph">
                  <wp:posOffset>136434</wp:posOffset>
                </wp:positionV>
                <wp:extent cx="1544955" cy="558800"/>
                <wp:effectExtent l="0" t="0" r="0" b="0"/>
                <wp:wrapSquare wrapText="bothSides" distT="45720" distB="45720" distL="114300" distR="114300"/>
                <wp:docPr id="289" name="Pole tekstowe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955" cy="558800"/>
                        </a:xfrm>
                        <a:prstGeom prst="rect">
                          <a:avLst/>
                        </a:prstGeom>
                        <a:solidFill>
                          <a:srgbClr val="FFFFFF"/>
                        </a:solidFill>
                        <a:ln w="9525">
                          <a:noFill/>
                          <a:miter lim="800000"/>
                          <a:headEnd/>
                          <a:tailEnd/>
                        </a:ln>
                      </wps:spPr>
                      <wps:txbx>
                        <w:txbxContent>
                          <w:p w14:paraId="13B4BCEE" w14:textId="70C15B1C" w:rsidR="00562AA2" w:rsidRPr="00741060" w:rsidRDefault="00562AA2" w:rsidP="00741060">
                            <w:pPr>
                              <w:rPr>
                                <w:rFonts w:cs="Times New Roman"/>
                                <w:szCs w:val="24"/>
                              </w:rPr>
                            </w:pPr>
                            <w:r w:rsidRPr="00741060">
                              <w:rPr>
                                <w:rFonts w:cs="Times New Roman"/>
                                <w:szCs w:val="24"/>
                              </w:rPr>
                              <w:t>Marcin Mandziej</w:t>
                            </w:r>
                          </w:p>
                          <w:p w14:paraId="17C0BD59" w14:textId="12D3B087" w:rsidR="00562AA2" w:rsidRPr="00741060" w:rsidRDefault="00562AA2" w:rsidP="00741060">
                            <w:pPr>
                              <w:pStyle w:val="Bezodstpw"/>
                              <w:rPr>
                                <w:rFonts w:ascii="Times New Roman" w:hAnsi="Times New Roman" w:cs="Times New Roman"/>
                                <w:sz w:val="24"/>
                                <w:szCs w:val="24"/>
                              </w:rPr>
                            </w:pPr>
                            <w:r w:rsidRPr="00741060">
                              <w:rPr>
                                <w:rFonts w:ascii="Times New Roman" w:hAnsi="Times New Roman" w:cs="Times New Roman"/>
                                <w:sz w:val="24"/>
                                <w:szCs w:val="24"/>
                              </w:rPr>
                              <w:t>Nr albumu: 68373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49E77B" id="_x0000_t202" coordsize="21600,21600" o:spt="202" path="m,l,21600r21600,l21600,xe">
                <v:stroke joinstyle="miter"/>
                <v:path gradientshapeok="t" o:connecttype="rect"/>
              </v:shapetype>
              <v:shape id="Pole tekstowe 289" o:spid="_x0000_s1026" type="#_x0000_t202" style="position:absolute;left:0;text-align:left;margin-left:263.4pt;margin-top:10.75pt;width:121.65pt;height:44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" stroked="f">
                <v:textbox>
                  <w:txbxContent>
                    <w:p w14:paraId="13B4BCEE" w14:textId="70C15B1C" w:rsidR="00562AA2" w:rsidRPr="00741060" w:rsidRDefault="00562AA2" w:rsidP="00741060">
                      <w:pPr>
                        <w:rPr>
                          <w:rFonts w:cs="Times New Roman"/>
                          <w:szCs w:val="24"/>
                        </w:rPr>
                      </w:pPr>
                      <w:r w:rsidRPr="00741060">
                        <w:rPr>
                          <w:rFonts w:cs="Times New Roman"/>
                          <w:szCs w:val="24"/>
                        </w:rPr>
                        <w:t>Marcin Mandziej</w:t>
                      </w:r>
                    </w:p>
                    <w:p w14:paraId="17C0BD59" w14:textId="12D3B087" w:rsidR="00562AA2" w:rsidRPr="00741060" w:rsidRDefault="00562AA2" w:rsidP="00741060">
                      <w:pPr>
                        <w:pStyle w:val="Bezodstpw"/>
                        <w:rPr>
                          <w:rFonts w:ascii="Times New Roman" w:hAnsi="Times New Roman" w:cs="Times New Roman"/>
                          <w:sz w:val="24"/>
                          <w:szCs w:val="24"/>
                        </w:rPr>
                      </w:pPr>
                      <w:r w:rsidRPr="00741060">
                        <w:rPr>
                          <w:rFonts w:ascii="Times New Roman" w:hAnsi="Times New Roman" w:cs="Times New Roman"/>
                          <w:sz w:val="24"/>
                          <w:szCs w:val="24"/>
                        </w:rPr>
                        <w:t>Nr albumu: 68373</w:t>
                      </w:r>
                    </w:p>
                  </w:txbxContent>
                </v:textbox>
                <w10:wrap type="square" anchorx="margin"/>
              </v:shape>
            </w:pict>
          </mc:Fallback>
        </mc:AlternateContent>
      </w:r>
      <w:r w:rsidRPr="00741060">
        <w:rPr>
          <w:rFonts w:eastAsia="Times New Roman" w:cs="Times New Roman"/>
          <w:sz w:val="28"/>
          <w:szCs w:val="28"/>
          <w:lang w:eastAsia="pl-PL"/>
        </w:rPr>
        <w:t xml:space="preserve"> </w:t>
      </w:r>
    </w:p>
    <w:p w14:paraId="4A370FE4" w14:textId="77777777" w:rsidR="00741060" w:rsidRPr="00741060" w:rsidRDefault="00741060" w:rsidP="00741060">
      <w:pPr>
        <w:tabs>
          <w:tab w:val="center" w:pos="708"/>
          <w:tab w:val="center" w:pos="1416"/>
          <w:tab w:val="center" w:pos="2124"/>
          <w:tab w:val="center" w:pos="2833"/>
          <w:tab w:val="center" w:pos="3541"/>
          <w:tab w:val="center" w:pos="4249"/>
          <w:tab w:val="center" w:pos="5595"/>
        </w:tabs>
        <w:spacing w:after="0" w:line="360" w:lineRule="auto"/>
        <w:ind w:left="-15" w:firstLine="284"/>
        <w:jc w:val="both"/>
        <w:rPr>
          <w:rFonts w:eastAsia="Times New Roman" w:cs="Times New Roman"/>
          <w:sz w:val="28"/>
          <w:szCs w:val="28"/>
          <w:lang w:eastAsia="pl-PL"/>
        </w:rPr>
      </w:pPr>
      <w:r w:rsidRPr="00741060">
        <w:rPr>
          <w:rFonts w:eastAsia="Times New Roman" w:cs="Times New Roman"/>
          <w:sz w:val="28"/>
          <w:szCs w:val="28"/>
          <w:lang w:eastAsia="pl-PL"/>
        </w:rPr>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p>
    <w:p w14:paraId="3D697F76" w14:textId="77777777" w:rsidR="00741060" w:rsidRPr="00741060" w:rsidRDefault="00741060" w:rsidP="00741060">
      <w:pPr>
        <w:tabs>
          <w:tab w:val="center" w:pos="708"/>
          <w:tab w:val="center" w:pos="1416"/>
          <w:tab w:val="center" w:pos="2124"/>
          <w:tab w:val="center" w:pos="2833"/>
          <w:tab w:val="center" w:pos="3541"/>
          <w:tab w:val="center" w:pos="4249"/>
          <w:tab w:val="center" w:pos="5595"/>
        </w:tabs>
        <w:spacing w:after="0" w:line="360" w:lineRule="auto"/>
        <w:ind w:left="-15" w:firstLine="284"/>
        <w:jc w:val="both"/>
        <w:rPr>
          <w:rFonts w:eastAsia="Times New Roman" w:cs="Times New Roman"/>
          <w:szCs w:val="24"/>
          <w:lang w:eastAsia="pl-PL"/>
        </w:rPr>
      </w:pPr>
      <w:r w:rsidRPr="00741060">
        <w:rPr>
          <w:rFonts w:eastAsia="Times New Roman" w:cs="Times New Roman"/>
          <w:sz w:val="28"/>
          <w:szCs w:val="28"/>
          <w:lang w:eastAsia="pl-PL"/>
        </w:rPr>
        <w:tab/>
      </w:r>
      <w:r w:rsidRPr="00741060">
        <w:rPr>
          <w:rFonts w:eastAsia="Times New Roman" w:cs="Times New Roman"/>
          <w:szCs w:val="24"/>
          <w:lang w:eastAsia="pl-PL"/>
        </w:rPr>
        <w:t xml:space="preserve"> </w:t>
      </w:r>
    </w:p>
    <w:p w14:paraId="134B9F59" w14:textId="77777777" w:rsidR="00741060" w:rsidRPr="00741060" w:rsidRDefault="00741060" w:rsidP="00741060">
      <w:pPr>
        <w:tabs>
          <w:tab w:val="center" w:pos="708"/>
          <w:tab w:val="center" w:pos="1416"/>
          <w:tab w:val="center" w:pos="2124"/>
          <w:tab w:val="center" w:pos="2833"/>
          <w:tab w:val="center" w:pos="3541"/>
          <w:tab w:val="center" w:pos="4249"/>
          <w:tab w:val="center" w:pos="5595"/>
        </w:tabs>
        <w:spacing w:after="0" w:line="360" w:lineRule="auto"/>
        <w:ind w:left="-15" w:firstLine="284"/>
        <w:jc w:val="both"/>
        <w:rPr>
          <w:rFonts w:eastAsia="Times New Roman" w:cs="Times New Roman"/>
          <w:szCs w:val="24"/>
          <w:lang w:eastAsia="pl-PL"/>
        </w:rPr>
      </w:pPr>
    </w:p>
    <w:p w14:paraId="572CC5C3" w14:textId="77777777" w:rsidR="00741060" w:rsidRPr="00741060" w:rsidRDefault="00741060" w:rsidP="00741060">
      <w:pPr>
        <w:spacing w:after="59" w:line="360" w:lineRule="auto"/>
        <w:ind w:firstLine="284"/>
        <w:jc w:val="both"/>
        <w:rPr>
          <w:rFonts w:eastAsia="Times New Roman" w:cs="Times New Roman"/>
          <w:szCs w:val="24"/>
          <w:lang w:eastAsia="pl-PL"/>
        </w:rPr>
      </w:pPr>
      <w:r w:rsidRPr="00741060">
        <w:rPr>
          <w:rFonts w:eastAsia="Times New Roman" w:cs="Times New Roman"/>
          <w:szCs w:val="24"/>
          <w:lang w:eastAsia="pl-PL"/>
        </w:rPr>
        <w:t xml:space="preserve"> </w:t>
      </w:r>
    </w:p>
    <w:p w14:paraId="6BABBF06" w14:textId="2B4C1230" w:rsidR="00741060" w:rsidRPr="00A52B0A" w:rsidRDefault="00741060" w:rsidP="00741060">
      <w:pPr>
        <w:spacing w:after="0" w:line="360" w:lineRule="auto"/>
        <w:jc w:val="both"/>
        <w:rPr>
          <w:rFonts w:eastAsia="Times New Roman" w:cs="Times New Roman"/>
          <w:sz w:val="22"/>
          <w:szCs w:val="24"/>
          <w:lang w:eastAsia="pl-PL"/>
        </w:rPr>
      </w:pPr>
      <w:r w:rsidRPr="00A52B0A">
        <w:rPr>
          <w:rFonts w:eastAsia="Times New Roman" w:cs="Times New Roman"/>
          <w:b/>
          <w:sz w:val="40"/>
          <w:szCs w:val="44"/>
          <w:lang w:eastAsia="pl-PL"/>
        </w:rPr>
        <w:t>Propozycje i scenariusze rozwiązania problemu zadłużenia polskich gospodarstw domowych w walutach obcych z tytułu kredytów hipotecznych</w:t>
      </w:r>
    </w:p>
    <w:p w14:paraId="36CC4CAE" w14:textId="77777777" w:rsidR="00741060" w:rsidRPr="00741060" w:rsidRDefault="00741060" w:rsidP="00741060">
      <w:pPr>
        <w:spacing w:after="0" w:line="360" w:lineRule="auto"/>
        <w:ind w:firstLine="284"/>
        <w:jc w:val="both"/>
        <w:rPr>
          <w:rFonts w:eastAsia="Times New Roman" w:cs="Times New Roman"/>
          <w:szCs w:val="24"/>
          <w:lang w:eastAsia="pl-PL"/>
        </w:rPr>
      </w:pPr>
      <w:r w:rsidRPr="00741060">
        <w:rPr>
          <w:rFonts w:eastAsia="Times New Roman" w:cs="Times New Roman"/>
          <w:noProof/>
          <w:szCs w:val="24"/>
          <w:lang w:eastAsia="pl-PL"/>
        </w:rPr>
        <mc:AlternateContent>
          <mc:Choice Requires="wps">
            <w:drawing>
              <wp:anchor distT="45720" distB="45720" distL="114300" distR="114300" simplePos="0" relativeHeight="251661312" behindDoc="0" locked="0" layoutInCell="1" hidden="0" allowOverlap="1" wp14:anchorId="763AB0C4" wp14:editId="449C58EC">
                <wp:simplePos x="0" y="0"/>
                <wp:positionH relativeFrom="margin">
                  <wp:posOffset>3018790</wp:posOffset>
                </wp:positionH>
                <wp:positionV relativeFrom="paragraph">
                  <wp:posOffset>266700</wp:posOffset>
                </wp:positionV>
                <wp:extent cx="2533650" cy="1404620"/>
                <wp:effectExtent l="0" t="0" r="0" b="0"/>
                <wp:wrapSquare wrapText="bothSides" distT="45720" distB="45720" distL="114300" distR="114300"/>
                <wp:docPr id="286" name="Pole tekstowe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1404620"/>
                        </a:xfrm>
                        <a:prstGeom prst="rect">
                          <a:avLst/>
                        </a:prstGeom>
                        <a:solidFill>
                          <a:srgbClr val="FFFFFF"/>
                        </a:solidFill>
                        <a:ln w="9525">
                          <a:noFill/>
                          <a:miter lim="800000"/>
                          <a:headEnd/>
                          <a:tailEnd/>
                        </a:ln>
                      </wps:spPr>
                      <wps:txbx>
                        <w:txbxContent>
                          <w:p w14:paraId="582CAC5D" w14:textId="77777777" w:rsidR="00562AA2" w:rsidRPr="00741060" w:rsidRDefault="00562AA2" w:rsidP="00741060">
                            <w:pPr>
                              <w:rPr>
                                <w:rFonts w:cs="Times New Roman"/>
                                <w:szCs w:val="24"/>
                              </w:rPr>
                            </w:pPr>
                            <w:r w:rsidRPr="00741060">
                              <w:rPr>
                                <w:rFonts w:cs="Times New Roman"/>
                                <w:szCs w:val="24"/>
                              </w:rPr>
                              <w:t>Praca licencjacka</w:t>
                            </w:r>
                          </w:p>
                          <w:p w14:paraId="44DD4BFE" w14:textId="78FF4D27" w:rsidR="00562AA2" w:rsidRPr="00741060" w:rsidRDefault="00562AA2" w:rsidP="00741060">
                            <w:pPr>
                              <w:rPr>
                                <w:rFonts w:cs="Times New Roman"/>
                                <w:szCs w:val="24"/>
                              </w:rPr>
                            </w:pPr>
                            <w:r w:rsidRPr="00741060">
                              <w:rPr>
                                <w:rFonts w:cs="Times New Roman"/>
                                <w:szCs w:val="24"/>
                              </w:rPr>
                              <w:t>Napisana w Instytucie Finansów</w:t>
                            </w:r>
                          </w:p>
                          <w:p w14:paraId="78B931CD" w14:textId="77777777" w:rsidR="00562AA2" w:rsidRPr="00741060" w:rsidRDefault="00562AA2" w:rsidP="00741060">
                            <w:pPr>
                              <w:rPr>
                                <w:rFonts w:cs="Times New Roman"/>
                                <w:szCs w:val="24"/>
                              </w:rPr>
                            </w:pPr>
                            <w:r w:rsidRPr="00741060">
                              <w:rPr>
                                <w:rFonts w:cs="Times New Roman"/>
                                <w:szCs w:val="24"/>
                              </w:rPr>
                              <w:t xml:space="preserve">pod kierunkiem naukowym </w:t>
                            </w:r>
                          </w:p>
                          <w:p w14:paraId="081B391D" w14:textId="43BCCFD2" w:rsidR="00562AA2" w:rsidRPr="00741060" w:rsidRDefault="00562AA2" w:rsidP="00741060">
                            <w:pPr>
                              <w:rPr>
                                <w:rFonts w:cs="Times New Roman"/>
                                <w:szCs w:val="24"/>
                              </w:rPr>
                            </w:pPr>
                            <w:r w:rsidRPr="00741060">
                              <w:rPr>
                                <w:rFonts w:cs="Times New Roman"/>
                                <w:szCs w:val="24"/>
                              </w:rPr>
                              <w:t>dr Czesław</w:t>
                            </w:r>
                            <w:r>
                              <w:rPr>
                                <w:rFonts w:cs="Times New Roman"/>
                                <w:szCs w:val="24"/>
                              </w:rPr>
                              <w:t>a</w:t>
                            </w:r>
                            <w:r w:rsidRPr="00741060">
                              <w:rPr>
                                <w:rFonts w:cs="Times New Roman"/>
                                <w:szCs w:val="24"/>
                              </w:rPr>
                              <w:t xml:space="preserve"> Martysza</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763AB0C4" id="Pole tekstowe 286" o:spid="_x0000_s1027" type="#_x0000_t202" style="position:absolute;left:0;text-align:left;margin-left:237.7pt;margin-top:21pt;width:199.5pt;height:110.6pt;z-index:251661312;visibility:visible;mso-wrap-style:square;mso-width-percent:0;mso-wrap-distance-left:9pt;mso-wrap-distance-top:3.6pt;mso-wrap-distance-right:9pt;mso-wrap-distance-bottom:3.6pt;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" stroked="f">
                <v:textbox style="mso-fit-shape-to-text:t">
                  <w:txbxContent>
                    <w:p w14:paraId="582CAC5D" w14:textId="77777777" w:rsidR="00562AA2" w:rsidRPr="00741060" w:rsidRDefault="00562AA2" w:rsidP="00741060">
                      <w:pPr>
                        <w:rPr>
                          <w:rFonts w:cs="Times New Roman"/>
                          <w:szCs w:val="24"/>
                        </w:rPr>
                      </w:pPr>
                      <w:r w:rsidRPr="00741060">
                        <w:rPr>
                          <w:rFonts w:cs="Times New Roman"/>
                          <w:szCs w:val="24"/>
                        </w:rPr>
                        <w:t>Praca licencjacka</w:t>
                      </w:r>
                    </w:p>
                    <w:p w14:paraId="44DD4BFE" w14:textId="78FF4D27" w:rsidR="00562AA2" w:rsidRPr="00741060" w:rsidRDefault="00562AA2" w:rsidP="00741060">
                      <w:pPr>
                        <w:rPr>
                          <w:rFonts w:cs="Times New Roman"/>
                          <w:szCs w:val="24"/>
                        </w:rPr>
                      </w:pPr>
                      <w:r w:rsidRPr="00741060">
                        <w:rPr>
                          <w:rFonts w:cs="Times New Roman"/>
                          <w:szCs w:val="24"/>
                        </w:rPr>
                        <w:t>Napisana w Instytucie Finansów</w:t>
                      </w:r>
                    </w:p>
                    <w:p w14:paraId="78B931CD" w14:textId="77777777" w:rsidR="00562AA2" w:rsidRPr="00741060" w:rsidRDefault="00562AA2" w:rsidP="00741060">
                      <w:pPr>
                        <w:rPr>
                          <w:rFonts w:cs="Times New Roman"/>
                          <w:szCs w:val="24"/>
                        </w:rPr>
                      </w:pPr>
                      <w:r w:rsidRPr="00741060">
                        <w:rPr>
                          <w:rFonts w:cs="Times New Roman"/>
                          <w:szCs w:val="24"/>
                        </w:rPr>
                        <w:t xml:space="preserve">pod kierunkiem naukowym </w:t>
                      </w:r>
                    </w:p>
                    <w:p w14:paraId="081B391D" w14:textId="43BCCFD2" w:rsidR="00562AA2" w:rsidRPr="00741060" w:rsidRDefault="00562AA2" w:rsidP="00741060">
                      <w:pPr>
                        <w:rPr>
                          <w:rFonts w:cs="Times New Roman"/>
                          <w:szCs w:val="24"/>
                        </w:rPr>
                      </w:pPr>
                      <w:r w:rsidRPr="00741060">
                        <w:rPr>
                          <w:rFonts w:cs="Times New Roman"/>
                          <w:szCs w:val="24"/>
                        </w:rPr>
                        <w:t>dr Czesław</w:t>
                      </w:r>
                      <w:r>
                        <w:rPr>
                          <w:rFonts w:cs="Times New Roman"/>
                          <w:szCs w:val="24"/>
                        </w:rPr>
                        <w:t>a</w:t>
                      </w:r>
                      <w:r w:rsidRPr="00741060">
                        <w:rPr>
                          <w:rFonts w:cs="Times New Roman"/>
                          <w:szCs w:val="24"/>
                        </w:rPr>
                        <w:t xml:space="preserve"> Martysza</w:t>
                      </w:r>
                    </w:p>
                  </w:txbxContent>
                </v:textbox>
                <w10:wrap type="square" anchorx="margin"/>
              </v:shape>
            </w:pict>
          </mc:Fallback>
        </mc:AlternateContent>
      </w:r>
      <w:r w:rsidRPr="00741060">
        <w:rPr>
          <w:rFonts w:eastAsia="Times New Roman" w:cs="Times New Roman"/>
          <w:sz w:val="28"/>
          <w:szCs w:val="28"/>
          <w:lang w:eastAsia="pl-PL"/>
        </w:rPr>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p>
    <w:p w14:paraId="56A680A8" w14:textId="77777777" w:rsidR="00741060" w:rsidRPr="00741060" w:rsidRDefault="00741060" w:rsidP="00741060">
      <w:pPr>
        <w:spacing w:after="0" w:line="360" w:lineRule="auto"/>
        <w:ind w:firstLine="284"/>
        <w:jc w:val="both"/>
        <w:rPr>
          <w:rFonts w:eastAsia="Times New Roman" w:cs="Times New Roman"/>
          <w:szCs w:val="24"/>
          <w:lang w:eastAsia="pl-PL"/>
        </w:rPr>
      </w:pPr>
      <w:r w:rsidRPr="00741060">
        <w:rPr>
          <w:rFonts w:eastAsia="Times New Roman" w:cs="Times New Roman"/>
          <w:sz w:val="28"/>
          <w:szCs w:val="28"/>
          <w:lang w:eastAsia="pl-PL"/>
        </w:rPr>
        <w:t xml:space="preserve"> </w:t>
      </w:r>
    </w:p>
    <w:p w14:paraId="4CA297E1" w14:textId="77777777" w:rsidR="00741060" w:rsidRPr="00741060" w:rsidRDefault="00741060" w:rsidP="00741060">
      <w:pPr>
        <w:spacing w:after="57" w:line="360" w:lineRule="auto"/>
        <w:ind w:right="23" w:firstLine="284"/>
        <w:jc w:val="center"/>
        <w:rPr>
          <w:rFonts w:eastAsia="Times New Roman" w:cs="Times New Roman"/>
          <w:szCs w:val="24"/>
          <w:lang w:eastAsia="pl-PL"/>
        </w:rPr>
      </w:pPr>
      <w:r w:rsidRPr="00741060">
        <w:rPr>
          <w:rFonts w:eastAsia="Times New Roman" w:cs="Times New Roman"/>
          <w:szCs w:val="24"/>
          <w:lang w:eastAsia="pl-PL"/>
        </w:rPr>
        <w:t xml:space="preserve"> </w:t>
      </w:r>
    </w:p>
    <w:p w14:paraId="14A96D54" w14:textId="77777777" w:rsidR="00741060" w:rsidRPr="00741060" w:rsidRDefault="00741060" w:rsidP="00741060">
      <w:pPr>
        <w:spacing w:after="35" w:line="360" w:lineRule="auto"/>
        <w:ind w:left="2292" w:right="2356" w:firstLine="284"/>
        <w:jc w:val="center"/>
        <w:rPr>
          <w:rFonts w:eastAsia="Times New Roman" w:cs="Times New Roman"/>
          <w:szCs w:val="24"/>
          <w:lang w:eastAsia="pl-PL"/>
        </w:rPr>
      </w:pPr>
    </w:p>
    <w:p w14:paraId="42D3FA25" w14:textId="77777777" w:rsidR="00741060" w:rsidRPr="00741060" w:rsidRDefault="00741060" w:rsidP="00741060">
      <w:pPr>
        <w:spacing w:after="35" w:line="360" w:lineRule="auto"/>
        <w:ind w:left="2292" w:right="2356" w:firstLine="284"/>
        <w:jc w:val="center"/>
        <w:rPr>
          <w:rFonts w:eastAsia="Times New Roman" w:cs="Times New Roman"/>
          <w:szCs w:val="24"/>
          <w:lang w:eastAsia="pl-PL"/>
        </w:rPr>
      </w:pPr>
    </w:p>
    <w:p w14:paraId="5BA3A6C7" w14:textId="77777777" w:rsidR="00B2020F" w:rsidRDefault="00B2020F" w:rsidP="00741060">
      <w:pPr>
        <w:spacing w:after="35" w:line="360" w:lineRule="auto"/>
        <w:ind w:left="2292" w:right="2356" w:firstLine="284"/>
        <w:jc w:val="center"/>
        <w:rPr>
          <w:rFonts w:eastAsia="Times New Roman" w:cs="Times New Roman"/>
          <w:szCs w:val="24"/>
          <w:lang w:eastAsia="pl-PL"/>
        </w:rPr>
      </w:pPr>
    </w:p>
    <w:p w14:paraId="1E88C716" w14:textId="32277D70" w:rsidR="00677FA5" w:rsidRDefault="00741060" w:rsidP="00741060">
      <w:pPr>
        <w:spacing w:after="35" w:line="360" w:lineRule="auto"/>
        <w:ind w:left="2292" w:right="2356" w:firstLine="284"/>
        <w:jc w:val="center"/>
        <w:rPr>
          <w:rFonts w:eastAsia="Times New Roman" w:cs="Times New Roman"/>
          <w:szCs w:val="24"/>
          <w:lang w:eastAsia="pl-PL"/>
        </w:rPr>
      </w:pPr>
      <w:r w:rsidRPr="00741060">
        <w:rPr>
          <w:rFonts w:eastAsia="Times New Roman" w:cs="Times New Roman"/>
          <w:szCs w:val="24"/>
          <w:lang w:eastAsia="pl-PL"/>
        </w:rPr>
        <w:t>Warszawa 2018</w:t>
      </w:r>
    </w:p>
    <w:p w14:paraId="39B00E75" w14:textId="77777777" w:rsidR="00741060" w:rsidRPr="00741060" w:rsidRDefault="00677FA5" w:rsidP="00741060">
      <w:pPr>
        <w:spacing w:after="35" w:line="360" w:lineRule="auto"/>
        <w:ind w:left="2292" w:right="2356" w:firstLine="284"/>
        <w:jc w:val="center"/>
        <w:rPr>
          <w:rFonts w:eastAsia="Times New Roman" w:cs="Times New Roman"/>
          <w:szCs w:val="24"/>
          <w:lang w:eastAsia="pl-PL"/>
        </w:rPr>
      </w:pPr>
      <w:r>
        <w:rPr>
          <w:rFonts w:eastAsia="Times New Roman" w:cs="Times New Roman"/>
          <w:szCs w:val="24"/>
          <w:lang w:eastAsia="pl-PL"/>
        </w:rPr>
        <w:br w:type="column"/>
      </w:r>
    </w:p>
    <w:p w14:paraId="60205088" w14:textId="77777777" w:rsidR="00741060" w:rsidRDefault="00741060">
      <w:pPr>
        <w:rPr>
          <w:rFonts w:cs="Times New Roman"/>
          <w:b/>
          <w:color w:val="000000"/>
          <w:szCs w:val="24"/>
          <w:shd w:val="clear" w:color="auto" w:fill="FFFFFF"/>
        </w:rPr>
      </w:pPr>
      <w:r>
        <w:rPr>
          <w:rFonts w:cs="Times New Roman"/>
          <w:b/>
          <w:color w:val="000000"/>
          <w:szCs w:val="24"/>
          <w:shd w:val="clear" w:color="auto" w:fill="FFFFFF"/>
        </w:rPr>
        <w:br w:type="page"/>
      </w:r>
    </w:p>
    <w:sdt>
      <w:sdtPr>
        <w:rPr>
          <w:rFonts w:ascii="Times New Roman" w:eastAsiaTheme="minorHAnsi" w:hAnsi="Times New Roman" w:cs="Times New Roman"/>
          <w:b w:val="0"/>
          <w:bCs w:val="0"/>
          <w:color w:val="auto"/>
          <w:sz w:val="24"/>
          <w:szCs w:val="24"/>
          <w:lang w:eastAsia="en-US"/>
        </w:rPr>
        <w:id w:val="891535054"/>
        <w:docPartObj>
          <w:docPartGallery w:val="Table of Contents"/>
          <w:docPartUnique/>
        </w:docPartObj>
      </w:sdtPr>
      <w:sdtEndPr>
        <w:rPr>
          <w:rFonts w:cstheme="minorBidi"/>
          <w:szCs w:val="22"/>
        </w:rPr>
      </w:sdtEndPr>
      <w:sdtContent>
        <w:p w14:paraId="00A4A90F" w14:textId="0EB40890" w:rsidR="00677FA5" w:rsidRPr="00A51415" w:rsidRDefault="00677FA5" w:rsidP="00E540B2">
          <w:pPr>
            <w:pStyle w:val="Nagwekspisutreci"/>
            <w:spacing w:line="360" w:lineRule="auto"/>
            <w:jc w:val="both"/>
            <w:rPr>
              <w:rStyle w:val="Nagwek1Znak"/>
              <w:b/>
              <w:color w:val="auto"/>
            </w:rPr>
          </w:pPr>
          <w:r w:rsidRPr="00A51415">
            <w:rPr>
              <w:rStyle w:val="Nagwek1Znak"/>
              <w:b/>
              <w:color w:val="auto"/>
            </w:rPr>
            <w:t>Spis treści</w:t>
          </w:r>
          <w:r w:rsidR="00A51415" w:rsidRPr="00A51415">
            <w:rPr>
              <w:rStyle w:val="Nagwek1Znak"/>
              <w:b/>
              <w:color w:val="auto"/>
            </w:rPr>
            <w:t>.</w:t>
          </w:r>
        </w:p>
        <w:p w14:paraId="0D95EA2D" w14:textId="7BA1B21B" w:rsidR="00786A63" w:rsidRDefault="00677FA5" w:rsidP="00E540B2">
          <w:pPr>
            <w:pStyle w:val="Spistreci1"/>
            <w:rPr>
              <w:rFonts w:asciiTheme="minorHAnsi" w:eastAsiaTheme="minorEastAsia" w:hAnsiTheme="minorHAnsi" w:cstheme="minorBidi"/>
              <w:b w:val="0"/>
              <w:sz w:val="22"/>
              <w:szCs w:val="22"/>
              <w:lang w:eastAsia="pl-PL"/>
            </w:rPr>
          </w:pPr>
          <w:r w:rsidRPr="00596C98">
            <w:fldChar w:fldCharType="begin"/>
          </w:r>
          <w:r w:rsidRPr="00596C98">
            <w:instrText xml:space="preserve"> TOC \o "1-3" \h \z \u </w:instrText>
          </w:r>
          <w:r w:rsidRPr="00596C98">
            <w:fldChar w:fldCharType="separate"/>
          </w:r>
          <w:hyperlink w:anchor="_Toc513545740" w:history="1">
            <w:r w:rsidR="00786A63" w:rsidRPr="00B71844">
              <w:rPr>
                <w:rStyle w:val="Hipercze"/>
                <w:shd w:val="clear" w:color="auto" w:fill="FFFFFF"/>
              </w:rPr>
              <w:t>Wstęp.</w:t>
            </w:r>
            <w:r w:rsidR="00786A63">
              <w:rPr>
                <w:webHidden/>
              </w:rPr>
              <w:tab/>
            </w:r>
            <w:r w:rsidR="00786A63">
              <w:rPr>
                <w:webHidden/>
              </w:rPr>
              <w:fldChar w:fldCharType="begin"/>
            </w:r>
            <w:r w:rsidR="00786A63">
              <w:rPr>
                <w:webHidden/>
              </w:rPr>
              <w:instrText xml:space="preserve"> PAGEREF _Toc513545740 \h </w:instrText>
            </w:r>
            <w:r w:rsidR="00786A63">
              <w:rPr>
                <w:webHidden/>
              </w:rPr>
            </w:r>
            <w:r w:rsidR="00786A63">
              <w:rPr>
                <w:webHidden/>
              </w:rPr>
              <w:fldChar w:fldCharType="separate"/>
            </w:r>
            <w:r w:rsidR="0054729A">
              <w:rPr>
                <w:webHidden/>
              </w:rPr>
              <w:t>- 5 -</w:t>
            </w:r>
            <w:r w:rsidR="00786A63">
              <w:rPr>
                <w:webHidden/>
              </w:rPr>
              <w:fldChar w:fldCharType="end"/>
            </w:r>
          </w:hyperlink>
        </w:p>
        <w:p w14:paraId="4B456AFB" w14:textId="3885017D" w:rsidR="00786A63" w:rsidRDefault="00AD0FD6" w:rsidP="00E540B2">
          <w:pPr>
            <w:pStyle w:val="Spistreci1"/>
            <w:rPr>
              <w:rFonts w:asciiTheme="minorHAnsi" w:eastAsiaTheme="minorEastAsia" w:hAnsiTheme="minorHAnsi" w:cstheme="minorBidi"/>
              <w:b w:val="0"/>
              <w:sz w:val="22"/>
              <w:szCs w:val="22"/>
              <w:lang w:eastAsia="pl-PL"/>
            </w:rPr>
          </w:pPr>
          <w:hyperlink w:anchor="_Toc513545741" w:history="1">
            <w:r w:rsidR="00786A63" w:rsidRPr="00B71844">
              <w:rPr>
                <w:rStyle w:val="Hipercze"/>
              </w:rPr>
              <w:t>I. Rynek kredytów walutowych w Polsce.</w:t>
            </w:r>
            <w:r w:rsidR="00786A63">
              <w:rPr>
                <w:webHidden/>
              </w:rPr>
              <w:tab/>
            </w:r>
            <w:r w:rsidR="00786A63">
              <w:rPr>
                <w:webHidden/>
              </w:rPr>
              <w:fldChar w:fldCharType="begin"/>
            </w:r>
            <w:r w:rsidR="00786A63">
              <w:rPr>
                <w:webHidden/>
              </w:rPr>
              <w:instrText xml:space="preserve"> PAGEREF _Toc513545741 \h </w:instrText>
            </w:r>
            <w:r w:rsidR="00786A63">
              <w:rPr>
                <w:webHidden/>
              </w:rPr>
            </w:r>
            <w:r w:rsidR="00786A63">
              <w:rPr>
                <w:webHidden/>
              </w:rPr>
              <w:fldChar w:fldCharType="separate"/>
            </w:r>
            <w:r w:rsidR="0054729A">
              <w:rPr>
                <w:webHidden/>
              </w:rPr>
              <w:t>- 8 -</w:t>
            </w:r>
            <w:r w:rsidR="00786A63">
              <w:rPr>
                <w:webHidden/>
              </w:rPr>
              <w:fldChar w:fldCharType="end"/>
            </w:r>
          </w:hyperlink>
        </w:p>
        <w:p w14:paraId="41260696" w14:textId="77D267AB" w:rsidR="00786A63" w:rsidRDefault="00AD0FD6" w:rsidP="00E540B2">
          <w:pPr>
            <w:pStyle w:val="Spistreci2"/>
            <w:tabs>
              <w:tab w:val="right" w:leader="dot" w:pos="9061"/>
            </w:tabs>
            <w:spacing w:line="360" w:lineRule="auto"/>
            <w:rPr>
              <w:rFonts w:asciiTheme="minorHAnsi" w:eastAsiaTheme="minorEastAsia" w:hAnsiTheme="minorHAnsi"/>
              <w:noProof/>
              <w:sz w:val="22"/>
              <w:lang w:eastAsia="pl-PL"/>
            </w:rPr>
          </w:pPr>
          <w:hyperlink w:anchor="_Toc513545742" w:history="1">
            <w:r w:rsidR="00786A63" w:rsidRPr="00B71844">
              <w:rPr>
                <w:rStyle w:val="Hipercze"/>
                <w:noProof/>
              </w:rPr>
              <w:t>I.1 Pojęcie kredytu walutowego.</w:t>
            </w:r>
            <w:r w:rsidR="00786A63">
              <w:rPr>
                <w:noProof/>
                <w:webHidden/>
              </w:rPr>
              <w:tab/>
            </w:r>
            <w:r w:rsidR="00786A63">
              <w:rPr>
                <w:noProof/>
                <w:webHidden/>
              </w:rPr>
              <w:fldChar w:fldCharType="begin"/>
            </w:r>
            <w:r w:rsidR="00786A63">
              <w:rPr>
                <w:noProof/>
                <w:webHidden/>
              </w:rPr>
              <w:instrText xml:space="preserve"> PAGEREF _Toc513545742 \h </w:instrText>
            </w:r>
            <w:r w:rsidR="00786A63">
              <w:rPr>
                <w:noProof/>
                <w:webHidden/>
              </w:rPr>
            </w:r>
            <w:r w:rsidR="00786A63">
              <w:rPr>
                <w:noProof/>
                <w:webHidden/>
              </w:rPr>
              <w:fldChar w:fldCharType="separate"/>
            </w:r>
            <w:r w:rsidR="0054729A">
              <w:rPr>
                <w:noProof/>
                <w:webHidden/>
              </w:rPr>
              <w:t>- 8 -</w:t>
            </w:r>
            <w:r w:rsidR="00786A63">
              <w:rPr>
                <w:noProof/>
                <w:webHidden/>
              </w:rPr>
              <w:fldChar w:fldCharType="end"/>
            </w:r>
          </w:hyperlink>
        </w:p>
        <w:p w14:paraId="6AD77571" w14:textId="7511387D" w:rsidR="00786A63" w:rsidRDefault="00AD0FD6" w:rsidP="00E540B2">
          <w:pPr>
            <w:pStyle w:val="Spistreci2"/>
            <w:tabs>
              <w:tab w:val="right" w:leader="dot" w:pos="9061"/>
            </w:tabs>
            <w:spacing w:line="360" w:lineRule="auto"/>
            <w:rPr>
              <w:rFonts w:asciiTheme="minorHAnsi" w:eastAsiaTheme="minorEastAsia" w:hAnsiTheme="minorHAnsi"/>
              <w:noProof/>
              <w:sz w:val="22"/>
              <w:lang w:eastAsia="pl-PL"/>
            </w:rPr>
          </w:pPr>
          <w:hyperlink w:anchor="_Toc513545743" w:history="1">
            <w:r w:rsidR="00786A63" w:rsidRPr="00B71844">
              <w:rPr>
                <w:rStyle w:val="Hipercze"/>
                <w:noProof/>
              </w:rPr>
              <w:t>I.2 Pojęcie ryzyka walutowego.</w:t>
            </w:r>
            <w:r w:rsidR="00786A63">
              <w:rPr>
                <w:noProof/>
                <w:webHidden/>
              </w:rPr>
              <w:tab/>
            </w:r>
            <w:r w:rsidR="00786A63">
              <w:rPr>
                <w:noProof/>
                <w:webHidden/>
              </w:rPr>
              <w:fldChar w:fldCharType="begin"/>
            </w:r>
            <w:r w:rsidR="00786A63">
              <w:rPr>
                <w:noProof/>
                <w:webHidden/>
              </w:rPr>
              <w:instrText xml:space="preserve"> PAGEREF _Toc513545743 \h </w:instrText>
            </w:r>
            <w:r w:rsidR="00786A63">
              <w:rPr>
                <w:noProof/>
                <w:webHidden/>
              </w:rPr>
            </w:r>
            <w:r w:rsidR="00786A63">
              <w:rPr>
                <w:noProof/>
                <w:webHidden/>
              </w:rPr>
              <w:fldChar w:fldCharType="separate"/>
            </w:r>
            <w:r w:rsidR="0054729A">
              <w:rPr>
                <w:noProof/>
                <w:webHidden/>
              </w:rPr>
              <w:t>- 11 -</w:t>
            </w:r>
            <w:r w:rsidR="00786A63">
              <w:rPr>
                <w:noProof/>
                <w:webHidden/>
              </w:rPr>
              <w:fldChar w:fldCharType="end"/>
            </w:r>
          </w:hyperlink>
        </w:p>
        <w:p w14:paraId="66C15ECB" w14:textId="1241F745" w:rsidR="00786A63" w:rsidRDefault="00AD0FD6" w:rsidP="00E540B2">
          <w:pPr>
            <w:pStyle w:val="Spistreci2"/>
            <w:tabs>
              <w:tab w:val="right" w:leader="dot" w:pos="9061"/>
            </w:tabs>
            <w:spacing w:line="360" w:lineRule="auto"/>
            <w:rPr>
              <w:rFonts w:asciiTheme="minorHAnsi" w:eastAsiaTheme="minorEastAsia" w:hAnsiTheme="minorHAnsi"/>
              <w:noProof/>
              <w:sz w:val="22"/>
              <w:lang w:eastAsia="pl-PL"/>
            </w:rPr>
          </w:pPr>
          <w:hyperlink w:anchor="_Toc513545744" w:history="1">
            <w:r w:rsidR="00786A63" w:rsidRPr="00B71844">
              <w:rPr>
                <w:rStyle w:val="Hipercze"/>
                <w:noProof/>
              </w:rPr>
              <w:t>I.3 Geneza kredytów walutowych w Polsce.</w:t>
            </w:r>
            <w:r w:rsidR="00786A63">
              <w:rPr>
                <w:noProof/>
                <w:webHidden/>
              </w:rPr>
              <w:tab/>
            </w:r>
            <w:r w:rsidR="00786A63">
              <w:rPr>
                <w:noProof/>
                <w:webHidden/>
              </w:rPr>
              <w:fldChar w:fldCharType="begin"/>
            </w:r>
            <w:r w:rsidR="00786A63">
              <w:rPr>
                <w:noProof/>
                <w:webHidden/>
              </w:rPr>
              <w:instrText xml:space="preserve"> PAGEREF _Toc513545744 \h </w:instrText>
            </w:r>
            <w:r w:rsidR="00786A63">
              <w:rPr>
                <w:noProof/>
                <w:webHidden/>
              </w:rPr>
            </w:r>
            <w:r w:rsidR="00786A63">
              <w:rPr>
                <w:noProof/>
                <w:webHidden/>
              </w:rPr>
              <w:fldChar w:fldCharType="separate"/>
            </w:r>
            <w:r w:rsidR="0054729A">
              <w:rPr>
                <w:noProof/>
                <w:webHidden/>
              </w:rPr>
              <w:t>- 12 -</w:t>
            </w:r>
            <w:r w:rsidR="00786A63">
              <w:rPr>
                <w:noProof/>
                <w:webHidden/>
              </w:rPr>
              <w:fldChar w:fldCharType="end"/>
            </w:r>
          </w:hyperlink>
          <w:bookmarkStart w:id="1" w:name="_GoBack"/>
          <w:bookmarkEnd w:id="1"/>
        </w:p>
        <w:p w14:paraId="235E7D92" w14:textId="2EF464C0" w:rsidR="00786A63" w:rsidRDefault="00AD0FD6" w:rsidP="00E540B2">
          <w:pPr>
            <w:pStyle w:val="Spistreci2"/>
            <w:tabs>
              <w:tab w:val="right" w:leader="dot" w:pos="9061"/>
            </w:tabs>
            <w:spacing w:line="360" w:lineRule="auto"/>
            <w:rPr>
              <w:rFonts w:asciiTheme="minorHAnsi" w:eastAsiaTheme="minorEastAsia" w:hAnsiTheme="minorHAnsi"/>
              <w:noProof/>
              <w:sz w:val="22"/>
              <w:lang w:eastAsia="pl-PL"/>
            </w:rPr>
          </w:pPr>
          <w:hyperlink w:anchor="_Toc513545745" w:history="1">
            <w:r w:rsidR="00786A63" w:rsidRPr="00B71844">
              <w:rPr>
                <w:rStyle w:val="Hipercze"/>
                <w:noProof/>
              </w:rPr>
              <w:t>I.4 Obecna sytuacja na rynku kredytów walutowych w Polsce.</w:t>
            </w:r>
            <w:r w:rsidR="00786A63">
              <w:rPr>
                <w:noProof/>
                <w:webHidden/>
              </w:rPr>
              <w:tab/>
            </w:r>
            <w:r w:rsidR="00786A63">
              <w:rPr>
                <w:noProof/>
                <w:webHidden/>
              </w:rPr>
              <w:fldChar w:fldCharType="begin"/>
            </w:r>
            <w:r w:rsidR="00786A63">
              <w:rPr>
                <w:noProof/>
                <w:webHidden/>
              </w:rPr>
              <w:instrText xml:space="preserve"> PAGEREF _Toc513545745 \h </w:instrText>
            </w:r>
            <w:r w:rsidR="00786A63">
              <w:rPr>
                <w:noProof/>
                <w:webHidden/>
              </w:rPr>
            </w:r>
            <w:r w:rsidR="00786A63">
              <w:rPr>
                <w:noProof/>
                <w:webHidden/>
              </w:rPr>
              <w:fldChar w:fldCharType="separate"/>
            </w:r>
            <w:r w:rsidR="0054729A">
              <w:rPr>
                <w:noProof/>
                <w:webHidden/>
              </w:rPr>
              <w:t>- 17 -</w:t>
            </w:r>
            <w:r w:rsidR="00786A63">
              <w:rPr>
                <w:noProof/>
                <w:webHidden/>
              </w:rPr>
              <w:fldChar w:fldCharType="end"/>
            </w:r>
          </w:hyperlink>
        </w:p>
        <w:p w14:paraId="7B040C1F" w14:textId="0A5CCA07" w:rsidR="00786A63" w:rsidRDefault="00AD0FD6" w:rsidP="00E540B2">
          <w:pPr>
            <w:pStyle w:val="Spistreci2"/>
            <w:tabs>
              <w:tab w:val="right" w:leader="dot" w:pos="9061"/>
            </w:tabs>
            <w:spacing w:line="360" w:lineRule="auto"/>
            <w:rPr>
              <w:rFonts w:asciiTheme="minorHAnsi" w:eastAsiaTheme="minorEastAsia" w:hAnsiTheme="minorHAnsi"/>
              <w:noProof/>
              <w:sz w:val="22"/>
              <w:lang w:eastAsia="pl-PL"/>
            </w:rPr>
          </w:pPr>
          <w:hyperlink w:anchor="_Toc513545746" w:history="1">
            <w:r w:rsidR="00786A63" w:rsidRPr="00B71844">
              <w:rPr>
                <w:rStyle w:val="Hipercze"/>
                <w:noProof/>
              </w:rPr>
              <w:t>I.5 Zagrożenia spowodowane kredytami walutowymi.</w:t>
            </w:r>
            <w:r w:rsidR="00786A63">
              <w:rPr>
                <w:noProof/>
                <w:webHidden/>
              </w:rPr>
              <w:tab/>
            </w:r>
            <w:r w:rsidR="00786A63">
              <w:rPr>
                <w:noProof/>
                <w:webHidden/>
              </w:rPr>
              <w:fldChar w:fldCharType="begin"/>
            </w:r>
            <w:r w:rsidR="00786A63">
              <w:rPr>
                <w:noProof/>
                <w:webHidden/>
              </w:rPr>
              <w:instrText xml:space="preserve"> PAGEREF _Toc513545746 \h </w:instrText>
            </w:r>
            <w:r w:rsidR="00786A63">
              <w:rPr>
                <w:noProof/>
                <w:webHidden/>
              </w:rPr>
            </w:r>
            <w:r w:rsidR="00786A63">
              <w:rPr>
                <w:noProof/>
                <w:webHidden/>
              </w:rPr>
              <w:fldChar w:fldCharType="separate"/>
            </w:r>
            <w:r w:rsidR="0054729A">
              <w:rPr>
                <w:noProof/>
                <w:webHidden/>
              </w:rPr>
              <w:t>- 21 -</w:t>
            </w:r>
            <w:r w:rsidR="00786A63">
              <w:rPr>
                <w:noProof/>
                <w:webHidden/>
              </w:rPr>
              <w:fldChar w:fldCharType="end"/>
            </w:r>
          </w:hyperlink>
        </w:p>
        <w:p w14:paraId="65520968" w14:textId="551B5962" w:rsidR="00786A63" w:rsidRDefault="00AD0FD6" w:rsidP="00E540B2">
          <w:pPr>
            <w:pStyle w:val="Spistreci1"/>
            <w:rPr>
              <w:rFonts w:asciiTheme="minorHAnsi" w:eastAsiaTheme="minorEastAsia" w:hAnsiTheme="minorHAnsi" w:cstheme="minorBidi"/>
              <w:b w:val="0"/>
              <w:sz w:val="22"/>
              <w:szCs w:val="22"/>
              <w:lang w:eastAsia="pl-PL"/>
            </w:rPr>
          </w:pPr>
          <w:hyperlink w:anchor="_Toc513545747" w:history="1">
            <w:r w:rsidR="00786A63" w:rsidRPr="00B71844">
              <w:rPr>
                <w:rStyle w:val="Hipercze"/>
              </w:rPr>
              <w:t>II. Regulacje prawne dotyczące kredytów walutowych w Polsce.</w:t>
            </w:r>
            <w:r w:rsidR="00786A63">
              <w:rPr>
                <w:webHidden/>
              </w:rPr>
              <w:tab/>
            </w:r>
            <w:r w:rsidR="00786A63">
              <w:rPr>
                <w:webHidden/>
              </w:rPr>
              <w:fldChar w:fldCharType="begin"/>
            </w:r>
            <w:r w:rsidR="00786A63">
              <w:rPr>
                <w:webHidden/>
              </w:rPr>
              <w:instrText xml:space="preserve"> PAGEREF _Toc513545747 \h </w:instrText>
            </w:r>
            <w:r w:rsidR="00786A63">
              <w:rPr>
                <w:webHidden/>
              </w:rPr>
            </w:r>
            <w:r w:rsidR="00786A63">
              <w:rPr>
                <w:webHidden/>
              </w:rPr>
              <w:fldChar w:fldCharType="separate"/>
            </w:r>
            <w:r w:rsidR="0054729A">
              <w:rPr>
                <w:webHidden/>
              </w:rPr>
              <w:t>- 24 -</w:t>
            </w:r>
            <w:r w:rsidR="00786A63">
              <w:rPr>
                <w:webHidden/>
              </w:rPr>
              <w:fldChar w:fldCharType="end"/>
            </w:r>
          </w:hyperlink>
        </w:p>
        <w:p w14:paraId="173FB646" w14:textId="7457AA15" w:rsidR="00786A63" w:rsidRDefault="00AD0FD6" w:rsidP="00E540B2">
          <w:pPr>
            <w:pStyle w:val="Spistreci2"/>
            <w:tabs>
              <w:tab w:val="right" w:leader="dot" w:pos="9061"/>
            </w:tabs>
            <w:spacing w:line="360" w:lineRule="auto"/>
            <w:rPr>
              <w:rFonts w:asciiTheme="minorHAnsi" w:eastAsiaTheme="minorEastAsia" w:hAnsiTheme="minorHAnsi"/>
              <w:noProof/>
              <w:sz w:val="22"/>
              <w:lang w:eastAsia="pl-PL"/>
            </w:rPr>
          </w:pPr>
          <w:hyperlink w:anchor="_Toc513545748" w:history="1">
            <w:r w:rsidR="00786A63" w:rsidRPr="00B71844">
              <w:rPr>
                <w:rStyle w:val="Hipercze"/>
                <w:noProof/>
              </w:rPr>
              <w:t>II.1 Regulacje wprowadzone przez Komisję Nadzoru Finansowego.</w:t>
            </w:r>
            <w:r w:rsidR="00786A63">
              <w:rPr>
                <w:noProof/>
                <w:webHidden/>
              </w:rPr>
              <w:tab/>
            </w:r>
            <w:r w:rsidR="00786A63">
              <w:rPr>
                <w:noProof/>
                <w:webHidden/>
              </w:rPr>
              <w:fldChar w:fldCharType="begin"/>
            </w:r>
            <w:r w:rsidR="00786A63">
              <w:rPr>
                <w:noProof/>
                <w:webHidden/>
              </w:rPr>
              <w:instrText xml:space="preserve"> PAGEREF _Toc513545748 \h </w:instrText>
            </w:r>
            <w:r w:rsidR="00786A63">
              <w:rPr>
                <w:noProof/>
                <w:webHidden/>
              </w:rPr>
            </w:r>
            <w:r w:rsidR="00786A63">
              <w:rPr>
                <w:noProof/>
                <w:webHidden/>
              </w:rPr>
              <w:fldChar w:fldCharType="separate"/>
            </w:r>
            <w:r w:rsidR="0054729A">
              <w:rPr>
                <w:noProof/>
                <w:webHidden/>
              </w:rPr>
              <w:t>- 24 -</w:t>
            </w:r>
            <w:r w:rsidR="00786A63">
              <w:rPr>
                <w:noProof/>
                <w:webHidden/>
              </w:rPr>
              <w:fldChar w:fldCharType="end"/>
            </w:r>
          </w:hyperlink>
        </w:p>
        <w:p w14:paraId="02404698" w14:textId="3B9CB69C" w:rsidR="00786A63" w:rsidRDefault="00AD0FD6" w:rsidP="00E540B2">
          <w:pPr>
            <w:pStyle w:val="Spistreci2"/>
            <w:tabs>
              <w:tab w:val="right" w:leader="dot" w:pos="9061"/>
            </w:tabs>
            <w:spacing w:line="360" w:lineRule="auto"/>
            <w:rPr>
              <w:rFonts w:asciiTheme="minorHAnsi" w:eastAsiaTheme="minorEastAsia" w:hAnsiTheme="minorHAnsi"/>
              <w:noProof/>
              <w:sz w:val="22"/>
              <w:lang w:eastAsia="pl-PL"/>
            </w:rPr>
          </w:pPr>
          <w:hyperlink w:anchor="_Toc513545749" w:history="1">
            <w:r w:rsidR="00786A63" w:rsidRPr="00B71844">
              <w:rPr>
                <w:rStyle w:val="Hipercze"/>
                <w:noProof/>
              </w:rPr>
              <w:t>II.2 Zalecenia Europejskiej Rady ds. Ryzyka Systemowego.</w:t>
            </w:r>
            <w:r w:rsidR="00786A63">
              <w:rPr>
                <w:noProof/>
                <w:webHidden/>
              </w:rPr>
              <w:tab/>
            </w:r>
            <w:r w:rsidR="00786A63">
              <w:rPr>
                <w:noProof/>
                <w:webHidden/>
              </w:rPr>
              <w:fldChar w:fldCharType="begin"/>
            </w:r>
            <w:r w:rsidR="00786A63">
              <w:rPr>
                <w:noProof/>
                <w:webHidden/>
              </w:rPr>
              <w:instrText xml:space="preserve"> PAGEREF _Toc513545749 \h </w:instrText>
            </w:r>
            <w:r w:rsidR="00786A63">
              <w:rPr>
                <w:noProof/>
                <w:webHidden/>
              </w:rPr>
            </w:r>
            <w:r w:rsidR="00786A63">
              <w:rPr>
                <w:noProof/>
                <w:webHidden/>
              </w:rPr>
              <w:fldChar w:fldCharType="separate"/>
            </w:r>
            <w:r w:rsidR="0054729A">
              <w:rPr>
                <w:noProof/>
                <w:webHidden/>
              </w:rPr>
              <w:t>- 26 -</w:t>
            </w:r>
            <w:r w:rsidR="00786A63">
              <w:rPr>
                <w:noProof/>
                <w:webHidden/>
              </w:rPr>
              <w:fldChar w:fldCharType="end"/>
            </w:r>
          </w:hyperlink>
        </w:p>
        <w:p w14:paraId="76E0DA4E" w14:textId="23767DF1" w:rsidR="00786A63" w:rsidRDefault="00AD0FD6" w:rsidP="00E540B2">
          <w:pPr>
            <w:pStyle w:val="Spistreci2"/>
            <w:tabs>
              <w:tab w:val="right" w:leader="dot" w:pos="9061"/>
            </w:tabs>
            <w:spacing w:line="360" w:lineRule="auto"/>
            <w:rPr>
              <w:rFonts w:asciiTheme="minorHAnsi" w:eastAsiaTheme="minorEastAsia" w:hAnsiTheme="minorHAnsi"/>
              <w:noProof/>
              <w:sz w:val="22"/>
              <w:lang w:eastAsia="pl-PL"/>
            </w:rPr>
          </w:pPr>
          <w:hyperlink w:anchor="_Toc513545750" w:history="1">
            <w:r w:rsidR="00786A63" w:rsidRPr="00B71844">
              <w:rPr>
                <w:rStyle w:val="Hipercze"/>
                <w:noProof/>
              </w:rPr>
              <w:t>II.3 Ustawa z dnia 9.10.2015 r. o wsparciu kredytobiorców znajdujących się w trudnej sytuacji finansowej, którzy zaciągnęli kredyt mieszkaniowy.</w:t>
            </w:r>
            <w:r w:rsidR="00786A63">
              <w:rPr>
                <w:noProof/>
                <w:webHidden/>
              </w:rPr>
              <w:tab/>
            </w:r>
            <w:r w:rsidR="00786A63">
              <w:rPr>
                <w:noProof/>
                <w:webHidden/>
              </w:rPr>
              <w:fldChar w:fldCharType="begin"/>
            </w:r>
            <w:r w:rsidR="00786A63">
              <w:rPr>
                <w:noProof/>
                <w:webHidden/>
              </w:rPr>
              <w:instrText xml:space="preserve"> PAGEREF _Toc513545750 \h </w:instrText>
            </w:r>
            <w:r w:rsidR="00786A63">
              <w:rPr>
                <w:noProof/>
                <w:webHidden/>
              </w:rPr>
            </w:r>
            <w:r w:rsidR="00786A63">
              <w:rPr>
                <w:noProof/>
                <w:webHidden/>
              </w:rPr>
              <w:fldChar w:fldCharType="separate"/>
            </w:r>
            <w:r w:rsidR="0054729A">
              <w:rPr>
                <w:noProof/>
                <w:webHidden/>
              </w:rPr>
              <w:t>- 28 -</w:t>
            </w:r>
            <w:r w:rsidR="00786A63">
              <w:rPr>
                <w:noProof/>
                <w:webHidden/>
              </w:rPr>
              <w:fldChar w:fldCharType="end"/>
            </w:r>
          </w:hyperlink>
        </w:p>
        <w:p w14:paraId="2B23DF2C" w14:textId="5570930B" w:rsidR="00786A63" w:rsidRDefault="00AD0FD6" w:rsidP="00E540B2">
          <w:pPr>
            <w:pStyle w:val="Spistreci2"/>
            <w:tabs>
              <w:tab w:val="right" w:leader="dot" w:pos="9061"/>
            </w:tabs>
            <w:spacing w:line="360" w:lineRule="auto"/>
            <w:rPr>
              <w:rFonts w:asciiTheme="minorHAnsi" w:eastAsiaTheme="minorEastAsia" w:hAnsiTheme="minorHAnsi"/>
              <w:noProof/>
              <w:sz w:val="22"/>
              <w:lang w:eastAsia="pl-PL"/>
            </w:rPr>
          </w:pPr>
          <w:hyperlink w:anchor="_Toc513545751" w:history="1">
            <w:r w:rsidR="00786A63" w:rsidRPr="00B71844">
              <w:rPr>
                <w:rStyle w:val="Hipercze"/>
                <w:noProof/>
              </w:rPr>
              <w:t>II.4 Prezydencki projekt ws. wsparcia dla kredytobiorców.</w:t>
            </w:r>
            <w:r w:rsidR="00786A63">
              <w:rPr>
                <w:noProof/>
                <w:webHidden/>
              </w:rPr>
              <w:tab/>
            </w:r>
            <w:r w:rsidR="00786A63">
              <w:rPr>
                <w:noProof/>
                <w:webHidden/>
              </w:rPr>
              <w:fldChar w:fldCharType="begin"/>
            </w:r>
            <w:r w:rsidR="00786A63">
              <w:rPr>
                <w:noProof/>
                <w:webHidden/>
              </w:rPr>
              <w:instrText xml:space="preserve"> PAGEREF _Toc513545751 \h </w:instrText>
            </w:r>
            <w:r w:rsidR="00786A63">
              <w:rPr>
                <w:noProof/>
                <w:webHidden/>
              </w:rPr>
            </w:r>
            <w:r w:rsidR="00786A63">
              <w:rPr>
                <w:noProof/>
                <w:webHidden/>
              </w:rPr>
              <w:fldChar w:fldCharType="separate"/>
            </w:r>
            <w:r w:rsidR="0054729A">
              <w:rPr>
                <w:noProof/>
                <w:webHidden/>
              </w:rPr>
              <w:t>- 28 -</w:t>
            </w:r>
            <w:r w:rsidR="00786A63">
              <w:rPr>
                <w:noProof/>
                <w:webHidden/>
              </w:rPr>
              <w:fldChar w:fldCharType="end"/>
            </w:r>
          </w:hyperlink>
        </w:p>
        <w:p w14:paraId="1A3556B4" w14:textId="763B05A4" w:rsidR="00786A63" w:rsidRDefault="00AD0FD6" w:rsidP="00E540B2">
          <w:pPr>
            <w:pStyle w:val="Spistreci1"/>
            <w:rPr>
              <w:rFonts w:asciiTheme="minorHAnsi" w:eastAsiaTheme="minorEastAsia" w:hAnsiTheme="minorHAnsi" w:cstheme="minorBidi"/>
              <w:b w:val="0"/>
              <w:sz w:val="22"/>
              <w:szCs w:val="22"/>
              <w:lang w:eastAsia="pl-PL"/>
            </w:rPr>
          </w:pPr>
          <w:hyperlink w:anchor="_Toc513545752" w:history="1">
            <w:r w:rsidR="00786A63" w:rsidRPr="00B71844">
              <w:rPr>
                <w:rStyle w:val="Hipercze"/>
              </w:rPr>
              <w:t>III. Rozwiązania problemu zadłużenia gospodarstw domowych w walutach obcych zastosowane w innych krajach Unii Europejskiej.</w:t>
            </w:r>
            <w:r w:rsidR="00786A63">
              <w:rPr>
                <w:webHidden/>
              </w:rPr>
              <w:tab/>
            </w:r>
            <w:r w:rsidR="00786A63">
              <w:rPr>
                <w:webHidden/>
              </w:rPr>
              <w:fldChar w:fldCharType="begin"/>
            </w:r>
            <w:r w:rsidR="00786A63">
              <w:rPr>
                <w:webHidden/>
              </w:rPr>
              <w:instrText xml:space="preserve"> PAGEREF _Toc513545752 \h </w:instrText>
            </w:r>
            <w:r w:rsidR="00786A63">
              <w:rPr>
                <w:webHidden/>
              </w:rPr>
            </w:r>
            <w:r w:rsidR="00786A63">
              <w:rPr>
                <w:webHidden/>
              </w:rPr>
              <w:fldChar w:fldCharType="separate"/>
            </w:r>
            <w:r w:rsidR="0054729A">
              <w:rPr>
                <w:webHidden/>
              </w:rPr>
              <w:t>- 30 -</w:t>
            </w:r>
            <w:r w:rsidR="00786A63">
              <w:rPr>
                <w:webHidden/>
              </w:rPr>
              <w:fldChar w:fldCharType="end"/>
            </w:r>
          </w:hyperlink>
        </w:p>
        <w:p w14:paraId="0B4C0851" w14:textId="2EE4703C" w:rsidR="00786A63" w:rsidRDefault="00AD0FD6" w:rsidP="00E540B2">
          <w:pPr>
            <w:pStyle w:val="Spistreci2"/>
            <w:tabs>
              <w:tab w:val="right" w:leader="dot" w:pos="9061"/>
            </w:tabs>
            <w:spacing w:line="360" w:lineRule="auto"/>
            <w:rPr>
              <w:rFonts w:asciiTheme="minorHAnsi" w:eastAsiaTheme="minorEastAsia" w:hAnsiTheme="minorHAnsi"/>
              <w:noProof/>
              <w:sz w:val="22"/>
              <w:lang w:eastAsia="pl-PL"/>
            </w:rPr>
          </w:pPr>
          <w:hyperlink w:anchor="_Toc513545753" w:history="1">
            <w:r w:rsidR="00786A63" w:rsidRPr="00B71844">
              <w:rPr>
                <w:rStyle w:val="Hipercze"/>
                <w:noProof/>
              </w:rPr>
              <w:t>III.1 Rynek kredytów walutowych na terenie Unii Europejskiej.</w:t>
            </w:r>
            <w:r w:rsidR="00786A63">
              <w:rPr>
                <w:noProof/>
                <w:webHidden/>
              </w:rPr>
              <w:tab/>
            </w:r>
            <w:r w:rsidR="00786A63">
              <w:rPr>
                <w:noProof/>
                <w:webHidden/>
              </w:rPr>
              <w:fldChar w:fldCharType="begin"/>
            </w:r>
            <w:r w:rsidR="00786A63">
              <w:rPr>
                <w:noProof/>
                <w:webHidden/>
              </w:rPr>
              <w:instrText xml:space="preserve"> PAGEREF _Toc513545753 \h </w:instrText>
            </w:r>
            <w:r w:rsidR="00786A63">
              <w:rPr>
                <w:noProof/>
                <w:webHidden/>
              </w:rPr>
            </w:r>
            <w:r w:rsidR="00786A63">
              <w:rPr>
                <w:noProof/>
                <w:webHidden/>
              </w:rPr>
              <w:fldChar w:fldCharType="separate"/>
            </w:r>
            <w:r w:rsidR="0054729A">
              <w:rPr>
                <w:noProof/>
                <w:webHidden/>
              </w:rPr>
              <w:t>- 30 -</w:t>
            </w:r>
            <w:r w:rsidR="00786A63">
              <w:rPr>
                <w:noProof/>
                <w:webHidden/>
              </w:rPr>
              <w:fldChar w:fldCharType="end"/>
            </w:r>
          </w:hyperlink>
        </w:p>
        <w:p w14:paraId="7EE7C57E" w14:textId="33E5999C" w:rsidR="00786A63" w:rsidRDefault="00AD0FD6" w:rsidP="00E540B2">
          <w:pPr>
            <w:pStyle w:val="Spistreci2"/>
            <w:tabs>
              <w:tab w:val="right" w:leader="dot" w:pos="9061"/>
            </w:tabs>
            <w:spacing w:line="360" w:lineRule="auto"/>
            <w:rPr>
              <w:rFonts w:asciiTheme="minorHAnsi" w:eastAsiaTheme="minorEastAsia" w:hAnsiTheme="minorHAnsi"/>
              <w:noProof/>
              <w:sz w:val="22"/>
              <w:lang w:eastAsia="pl-PL"/>
            </w:rPr>
          </w:pPr>
          <w:hyperlink w:anchor="_Toc513545754" w:history="1">
            <w:r w:rsidR="00786A63" w:rsidRPr="00B71844">
              <w:rPr>
                <w:rStyle w:val="Hipercze"/>
                <w:noProof/>
              </w:rPr>
              <w:t>III.2 Rozwiązania zastosowane w Hiszpanii i ich wpływ na działanie sektora bankowego i sytuację kredytobiorców.</w:t>
            </w:r>
            <w:r w:rsidR="00786A63">
              <w:rPr>
                <w:noProof/>
                <w:webHidden/>
              </w:rPr>
              <w:tab/>
            </w:r>
            <w:r w:rsidR="00786A63">
              <w:rPr>
                <w:noProof/>
                <w:webHidden/>
              </w:rPr>
              <w:fldChar w:fldCharType="begin"/>
            </w:r>
            <w:r w:rsidR="00786A63">
              <w:rPr>
                <w:noProof/>
                <w:webHidden/>
              </w:rPr>
              <w:instrText xml:space="preserve"> PAGEREF _Toc513545754 \h </w:instrText>
            </w:r>
            <w:r w:rsidR="00786A63">
              <w:rPr>
                <w:noProof/>
                <w:webHidden/>
              </w:rPr>
            </w:r>
            <w:r w:rsidR="00786A63">
              <w:rPr>
                <w:noProof/>
                <w:webHidden/>
              </w:rPr>
              <w:fldChar w:fldCharType="separate"/>
            </w:r>
            <w:r w:rsidR="0054729A">
              <w:rPr>
                <w:noProof/>
                <w:webHidden/>
              </w:rPr>
              <w:t>- 32 -</w:t>
            </w:r>
            <w:r w:rsidR="00786A63">
              <w:rPr>
                <w:noProof/>
                <w:webHidden/>
              </w:rPr>
              <w:fldChar w:fldCharType="end"/>
            </w:r>
          </w:hyperlink>
        </w:p>
        <w:p w14:paraId="1C906A36" w14:textId="3DFA9EF7" w:rsidR="00786A63" w:rsidRDefault="00AD0FD6" w:rsidP="00E540B2">
          <w:pPr>
            <w:pStyle w:val="Spistreci2"/>
            <w:tabs>
              <w:tab w:val="right" w:leader="dot" w:pos="9061"/>
            </w:tabs>
            <w:spacing w:line="360" w:lineRule="auto"/>
            <w:rPr>
              <w:rFonts w:asciiTheme="minorHAnsi" w:eastAsiaTheme="minorEastAsia" w:hAnsiTheme="minorHAnsi"/>
              <w:noProof/>
              <w:sz w:val="22"/>
              <w:lang w:eastAsia="pl-PL"/>
            </w:rPr>
          </w:pPr>
          <w:hyperlink w:anchor="_Toc513545755" w:history="1">
            <w:r w:rsidR="00786A63" w:rsidRPr="00B71844">
              <w:rPr>
                <w:rStyle w:val="Hipercze"/>
                <w:noProof/>
              </w:rPr>
              <w:t>III.3 Rozwiązania zastosowane w Chorwacji i ich wpływ na działanie sektora bankowego i sytuację kredytobiorców.</w:t>
            </w:r>
            <w:r w:rsidR="00786A63">
              <w:rPr>
                <w:noProof/>
                <w:webHidden/>
              </w:rPr>
              <w:tab/>
            </w:r>
            <w:r w:rsidR="00786A63">
              <w:rPr>
                <w:noProof/>
                <w:webHidden/>
              </w:rPr>
              <w:fldChar w:fldCharType="begin"/>
            </w:r>
            <w:r w:rsidR="00786A63">
              <w:rPr>
                <w:noProof/>
                <w:webHidden/>
              </w:rPr>
              <w:instrText xml:space="preserve"> PAGEREF _Toc513545755 \h </w:instrText>
            </w:r>
            <w:r w:rsidR="00786A63">
              <w:rPr>
                <w:noProof/>
                <w:webHidden/>
              </w:rPr>
            </w:r>
            <w:r w:rsidR="00786A63">
              <w:rPr>
                <w:noProof/>
                <w:webHidden/>
              </w:rPr>
              <w:fldChar w:fldCharType="separate"/>
            </w:r>
            <w:r w:rsidR="0054729A">
              <w:rPr>
                <w:noProof/>
                <w:webHidden/>
              </w:rPr>
              <w:t>- 34 -</w:t>
            </w:r>
            <w:r w:rsidR="00786A63">
              <w:rPr>
                <w:noProof/>
                <w:webHidden/>
              </w:rPr>
              <w:fldChar w:fldCharType="end"/>
            </w:r>
          </w:hyperlink>
        </w:p>
        <w:p w14:paraId="6B4761C5" w14:textId="72A2CA6D" w:rsidR="00786A63" w:rsidRDefault="00AD0FD6" w:rsidP="00E540B2">
          <w:pPr>
            <w:pStyle w:val="Spistreci2"/>
            <w:tabs>
              <w:tab w:val="right" w:leader="dot" w:pos="9061"/>
            </w:tabs>
            <w:spacing w:line="360" w:lineRule="auto"/>
            <w:rPr>
              <w:rFonts w:asciiTheme="minorHAnsi" w:eastAsiaTheme="minorEastAsia" w:hAnsiTheme="minorHAnsi"/>
              <w:noProof/>
              <w:sz w:val="22"/>
              <w:lang w:eastAsia="pl-PL"/>
            </w:rPr>
          </w:pPr>
          <w:hyperlink w:anchor="_Toc513545756" w:history="1">
            <w:r w:rsidR="00786A63" w:rsidRPr="00B71844">
              <w:rPr>
                <w:rStyle w:val="Hipercze"/>
                <w:noProof/>
              </w:rPr>
              <w:t>III.4 Rozwiązania zastosowane w Austrii i ich wpływ na działanie sektora bankowego i sytuację kredytobiorców.</w:t>
            </w:r>
            <w:r w:rsidR="00786A63">
              <w:rPr>
                <w:noProof/>
                <w:webHidden/>
              </w:rPr>
              <w:tab/>
            </w:r>
            <w:r w:rsidR="00786A63">
              <w:rPr>
                <w:noProof/>
                <w:webHidden/>
              </w:rPr>
              <w:fldChar w:fldCharType="begin"/>
            </w:r>
            <w:r w:rsidR="00786A63">
              <w:rPr>
                <w:noProof/>
                <w:webHidden/>
              </w:rPr>
              <w:instrText xml:space="preserve"> PAGEREF _Toc513545756 \h </w:instrText>
            </w:r>
            <w:r w:rsidR="00786A63">
              <w:rPr>
                <w:noProof/>
                <w:webHidden/>
              </w:rPr>
            </w:r>
            <w:r w:rsidR="00786A63">
              <w:rPr>
                <w:noProof/>
                <w:webHidden/>
              </w:rPr>
              <w:fldChar w:fldCharType="separate"/>
            </w:r>
            <w:r w:rsidR="0054729A">
              <w:rPr>
                <w:noProof/>
                <w:webHidden/>
              </w:rPr>
              <w:t>- 36 -</w:t>
            </w:r>
            <w:r w:rsidR="00786A63">
              <w:rPr>
                <w:noProof/>
                <w:webHidden/>
              </w:rPr>
              <w:fldChar w:fldCharType="end"/>
            </w:r>
          </w:hyperlink>
        </w:p>
        <w:p w14:paraId="2C7EBFB3" w14:textId="37585A27" w:rsidR="00786A63" w:rsidRDefault="00AD0FD6" w:rsidP="00E540B2">
          <w:pPr>
            <w:pStyle w:val="Spistreci2"/>
            <w:tabs>
              <w:tab w:val="right" w:leader="dot" w:pos="9061"/>
            </w:tabs>
            <w:spacing w:line="360" w:lineRule="auto"/>
            <w:rPr>
              <w:rFonts w:asciiTheme="minorHAnsi" w:eastAsiaTheme="minorEastAsia" w:hAnsiTheme="minorHAnsi"/>
              <w:noProof/>
              <w:sz w:val="22"/>
              <w:lang w:eastAsia="pl-PL"/>
            </w:rPr>
          </w:pPr>
          <w:hyperlink w:anchor="_Toc513545757" w:history="1">
            <w:r w:rsidR="00786A63" w:rsidRPr="00B71844">
              <w:rPr>
                <w:rStyle w:val="Hipercze"/>
                <w:noProof/>
              </w:rPr>
              <w:t>III.5 Rozwiązania zastosowane na Węgrzech i ich wpływ na działanie sektora bankowego i sytuację kredytobiorców.</w:t>
            </w:r>
            <w:r w:rsidR="00786A63">
              <w:rPr>
                <w:noProof/>
                <w:webHidden/>
              </w:rPr>
              <w:tab/>
            </w:r>
            <w:r w:rsidR="00786A63">
              <w:rPr>
                <w:noProof/>
                <w:webHidden/>
              </w:rPr>
              <w:fldChar w:fldCharType="begin"/>
            </w:r>
            <w:r w:rsidR="00786A63">
              <w:rPr>
                <w:noProof/>
                <w:webHidden/>
              </w:rPr>
              <w:instrText xml:space="preserve"> PAGEREF _Toc513545757 \h </w:instrText>
            </w:r>
            <w:r w:rsidR="00786A63">
              <w:rPr>
                <w:noProof/>
                <w:webHidden/>
              </w:rPr>
            </w:r>
            <w:r w:rsidR="00786A63">
              <w:rPr>
                <w:noProof/>
                <w:webHidden/>
              </w:rPr>
              <w:fldChar w:fldCharType="separate"/>
            </w:r>
            <w:r w:rsidR="0054729A">
              <w:rPr>
                <w:noProof/>
                <w:webHidden/>
              </w:rPr>
              <w:t>- 38 -</w:t>
            </w:r>
            <w:r w:rsidR="00786A63">
              <w:rPr>
                <w:noProof/>
                <w:webHidden/>
              </w:rPr>
              <w:fldChar w:fldCharType="end"/>
            </w:r>
          </w:hyperlink>
        </w:p>
        <w:p w14:paraId="158CF6B2" w14:textId="0B429BD8" w:rsidR="00786A63" w:rsidRDefault="00AD0FD6" w:rsidP="00E540B2">
          <w:pPr>
            <w:pStyle w:val="Spistreci1"/>
            <w:rPr>
              <w:rFonts w:asciiTheme="minorHAnsi" w:eastAsiaTheme="minorEastAsia" w:hAnsiTheme="minorHAnsi" w:cstheme="minorBidi"/>
              <w:b w:val="0"/>
              <w:sz w:val="22"/>
              <w:szCs w:val="22"/>
              <w:lang w:eastAsia="pl-PL"/>
            </w:rPr>
          </w:pPr>
          <w:hyperlink w:anchor="_Toc513545758" w:history="1">
            <w:r w:rsidR="00786A63" w:rsidRPr="00B71844">
              <w:rPr>
                <w:rStyle w:val="Hipercze"/>
              </w:rPr>
              <w:t>IV. Propozycje rozwiązania problemu zadłużenia gospodarstw domowych w walutach obcych w Polsce.</w:t>
            </w:r>
            <w:r w:rsidR="00786A63">
              <w:rPr>
                <w:webHidden/>
              </w:rPr>
              <w:tab/>
            </w:r>
            <w:r w:rsidR="00786A63">
              <w:rPr>
                <w:webHidden/>
              </w:rPr>
              <w:fldChar w:fldCharType="begin"/>
            </w:r>
            <w:r w:rsidR="00786A63">
              <w:rPr>
                <w:webHidden/>
              </w:rPr>
              <w:instrText xml:space="preserve"> PAGEREF _Toc513545758 \h </w:instrText>
            </w:r>
            <w:r w:rsidR="00786A63">
              <w:rPr>
                <w:webHidden/>
              </w:rPr>
            </w:r>
            <w:r w:rsidR="00786A63">
              <w:rPr>
                <w:webHidden/>
              </w:rPr>
              <w:fldChar w:fldCharType="separate"/>
            </w:r>
            <w:r w:rsidR="0054729A">
              <w:rPr>
                <w:webHidden/>
              </w:rPr>
              <w:t>- 42 -</w:t>
            </w:r>
            <w:r w:rsidR="00786A63">
              <w:rPr>
                <w:webHidden/>
              </w:rPr>
              <w:fldChar w:fldCharType="end"/>
            </w:r>
          </w:hyperlink>
        </w:p>
        <w:p w14:paraId="5BE0B4C6" w14:textId="52D6E0D6" w:rsidR="00786A63" w:rsidRDefault="00AD0FD6" w:rsidP="00E540B2">
          <w:pPr>
            <w:pStyle w:val="Spistreci2"/>
            <w:tabs>
              <w:tab w:val="right" w:leader="dot" w:pos="9061"/>
            </w:tabs>
            <w:spacing w:line="360" w:lineRule="auto"/>
            <w:rPr>
              <w:rFonts w:asciiTheme="minorHAnsi" w:eastAsiaTheme="minorEastAsia" w:hAnsiTheme="minorHAnsi"/>
              <w:noProof/>
              <w:sz w:val="22"/>
              <w:lang w:eastAsia="pl-PL"/>
            </w:rPr>
          </w:pPr>
          <w:hyperlink w:anchor="_Toc513545759" w:history="1">
            <w:r w:rsidR="00786A63" w:rsidRPr="00B71844">
              <w:rPr>
                <w:rStyle w:val="Hipercze"/>
                <w:noProof/>
              </w:rPr>
              <w:t>IV.1 Przewalutowanie kredytów walutowych na PLN według kursu z dnia udzielenia kredytu.</w:t>
            </w:r>
            <w:r w:rsidR="00786A63">
              <w:rPr>
                <w:noProof/>
                <w:webHidden/>
              </w:rPr>
              <w:tab/>
            </w:r>
            <w:r w:rsidR="00786A63">
              <w:rPr>
                <w:noProof/>
                <w:webHidden/>
              </w:rPr>
              <w:fldChar w:fldCharType="begin"/>
            </w:r>
            <w:r w:rsidR="00786A63">
              <w:rPr>
                <w:noProof/>
                <w:webHidden/>
              </w:rPr>
              <w:instrText xml:space="preserve"> PAGEREF _Toc513545759 \h </w:instrText>
            </w:r>
            <w:r w:rsidR="00786A63">
              <w:rPr>
                <w:noProof/>
                <w:webHidden/>
              </w:rPr>
            </w:r>
            <w:r w:rsidR="00786A63">
              <w:rPr>
                <w:noProof/>
                <w:webHidden/>
              </w:rPr>
              <w:fldChar w:fldCharType="separate"/>
            </w:r>
            <w:r w:rsidR="0054729A">
              <w:rPr>
                <w:noProof/>
                <w:webHidden/>
              </w:rPr>
              <w:t>- 42 -</w:t>
            </w:r>
            <w:r w:rsidR="00786A63">
              <w:rPr>
                <w:noProof/>
                <w:webHidden/>
              </w:rPr>
              <w:fldChar w:fldCharType="end"/>
            </w:r>
          </w:hyperlink>
        </w:p>
        <w:p w14:paraId="5683ECEA" w14:textId="7557EEAF" w:rsidR="00786A63" w:rsidRDefault="00AD0FD6" w:rsidP="00E540B2">
          <w:pPr>
            <w:pStyle w:val="Spistreci2"/>
            <w:tabs>
              <w:tab w:val="right" w:leader="dot" w:pos="9061"/>
            </w:tabs>
            <w:spacing w:line="360" w:lineRule="auto"/>
            <w:rPr>
              <w:rFonts w:asciiTheme="minorHAnsi" w:eastAsiaTheme="minorEastAsia" w:hAnsiTheme="minorHAnsi"/>
              <w:noProof/>
              <w:sz w:val="22"/>
              <w:lang w:eastAsia="pl-PL"/>
            </w:rPr>
          </w:pPr>
          <w:hyperlink w:anchor="_Toc513545760" w:history="1">
            <w:r w:rsidR="00786A63" w:rsidRPr="00B71844">
              <w:rPr>
                <w:rStyle w:val="Hipercze"/>
                <w:noProof/>
              </w:rPr>
              <w:t>IV.2 Przewalutowanie kredytów walutowych na PLN według średniego kursu NBP z dnia przewalutowania.</w:t>
            </w:r>
            <w:r w:rsidR="00786A63">
              <w:rPr>
                <w:noProof/>
                <w:webHidden/>
              </w:rPr>
              <w:tab/>
            </w:r>
            <w:r w:rsidR="00786A63">
              <w:rPr>
                <w:noProof/>
                <w:webHidden/>
              </w:rPr>
              <w:fldChar w:fldCharType="begin"/>
            </w:r>
            <w:r w:rsidR="00786A63">
              <w:rPr>
                <w:noProof/>
                <w:webHidden/>
              </w:rPr>
              <w:instrText xml:space="preserve"> PAGEREF _Toc513545760 \h </w:instrText>
            </w:r>
            <w:r w:rsidR="00786A63">
              <w:rPr>
                <w:noProof/>
                <w:webHidden/>
              </w:rPr>
            </w:r>
            <w:r w:rsidR="00786A63">
              <w:rPr>
                <w:noProof/>
                <w:webHidden/>
              </w:rPr>
              <w:fldChar w:fldCharType="separate"/>
            </w:r>
            <w:r w:rsidR="0054729A">
              <w:rPr>
                <w:noProof/>
                <w:webHidden/>
              </w:rPr>
              <w:t>- 45 -</w:t>
            </w:r>
            <w:r w:rsidR="00786A63">
              <w:rPr>
                <w:noProof/>
                <w:webHidden/>
              </w:rPr>
              <w:fldChar w:fldCharType="end"/>
            </w:r>
          </w:hyperlink>
        </w:p>
        <w:p w14:paraId="1E24B6CF" w14:textId="676FB02E" w:rsidR="00786A63" w:rsidRDefault="00AD0FD6" w:rsidP="00E540B2">
          <w:pPr>
            <w:pStyle w:val="Spistreci2"/>
            <w:tabs>
              <w:tab w:val="right" w:leader="dot" w:pos="9061"/>
            </w:tabs>
            <w:spacing w:line="360" w:lineRule="auto"/>
            <w:rPr>
              <w:rFonts w:asciiTheme="minorHAnsi" w:eastAsiaTheme="minorEastAsia" w:hAnsiTheme="minorHAnsi"/>
              <w:noProof/>
              <w:sz w:val="22"/>
              <w:lang w:eastAsia="pl-PL"/>
            </w:rPr>
          </w:pPr>
          <w:hyperlink w:anchor="_Toc513545761" w:history="1">
            <w:r w:rsidR="00786A63" w:rsidRPr="00B71844">
              <w:rPr>
                <w:rStyle w:val="Hipercze"/>
                <w:noProof/>
              </w:rPr>
              <w:t>IV.3 Propozycja Związku Banków Polskich.</w:t>
            </w:r>
            <w:r w:rsidR="00786A63">
              <w:rPr>
                <w:noProof/>
                <w:webHidden/>
              </w:rPr>
              <w:tab/>
            </w:r>
            <w:r w:rsidR="00786A63">
              <w:rPr>
                <w:noProof/>
                <w:webHidden/>
              </w:rPr>
              <w:fldChar w:fldCharType="begin"/>
            </w:r>
            <w:r w:rsidR="00786A63">
              <w:rPr>
                <w:noProof/>
                <w:webHidden/>
              </w:rPr>
              <w:instrText xml:space="preserve"> PAGEREF _Toc513545761 \h </w:instrText>
            </w:r>
            <w:r w:rsidR="00786A63">
              <w:rPr>
                <w:noProof/>
                <w:webHidden/>
              </w:rPr>
            </w:r>
            <w:r w:rsidR="00786A63">
              <w:rPr>
                <w:noProof/>
                <w:webHidden/>
              </w:rPr>
              <w:fldChar w:fldCharType="separate"/>
            </w:r>
            <w:r w:rsidR="0054729A">
              <w:rPr>
                <w:noProof/>
                <w:webHidden/>
              </w:rPr>
              <w:t>- 47 -</w:t>
            </w:r>
            <w:r w:rsidR="00786A63">
              <w:rPr>
                <w:noProof/>
                <w:webHidden/>
              </w:rPr>
              <w:fldChar w:fldCharType="end"/>
            </w:r>
          </w:hyperlink>
        </w:p>
        <w:p w14:paraId="0185E8F6" w14:textId="60840AF2" w:rsidR="00786A63" w:rsidRDefault="00AD0FD6" w:rsidP="00E540B2">
          <w:pPr>
            <w:pStyle w:val="Spistreci2"/>
            <w:tabs>
              <w:tab w:val="right" w:leader="dot" w:pos="9061"/>
            </w:tabs>
            <w:spacing w:line="360" w:lineRule="auto"/>
            <w:rPr>
              <w:rFonts w:asciiTheme="minorHAnsi" w:eastAsiaTheme="minorEastAsia" w:hAnsiTheme="minorHAnsi"/>
              <w:noProof/>
              <w:sz w:val="22"/>
              <w:lang w:eastAsia="pl-PL"/>
            </w:rPr>
          </w:pPr>
          <w:hyperlink w:anchor="_Toc513545762" w:history="1">
            <w:r w:rsidR="00786A63" w:rsidRPr="00B71844">
              <w:rPr>
                <w:rStyle w:val="Hipercze"/>
                <w:noProof/>
              </w:rPr>
              <w:t>IV.4 Propozycja Ministerstwa Gospodarki.</w:t>
            </w:r>
            <w:r w:rsidR="00786A63">
              <w:rPr>
                <w:noProof/>
                <w:webHidden/>
              </w:rPr>
              <w:tab/>
            </w:r>
            <w:r w:rsidR="00786A63">
              <w:rPr>
                <w:noProof/>
                <w:webHidden/>
              </w:rPr>
              <w:fldChar w:fldCharType="begin"/>
            </w:r>
            <w:r w:rsidR="00786A63">
              <w:rPr>
                <w:noProof/>
                <w:webHidden/>
              </w:rPr>
              <w:instrText xml:space="preserve"> PAGEREF _Toc513545762 \h </w:instrText>
            </w:r>
            <w:r w:rsidR="00786A63">
              <w:rPr>
                <w:noProof/>
                <w:webHidden/>
              </w:rPr>
            </w:r>
            <w:r w:rsidR="00786A63">
              <w:rPr>
                <w:noProof/>
                <w:webHidden/>
              </w:rPr>
              <w:fldChar w:fldCharType="separate"/>
            </w:r>
            <w:r w:rsidR="0054729A">
              <w:rPr>
                <w:noProof/>
                <w:webHidden/>
              </w:rPr>
              <w:t>- 49 -</w:t>
            </w:r>
            <w:r w:rsidR="00786A63">
              <w:rPr>
                <w:noProof/>
                <w:webHidden/>
              </w:rPr>
              <w:fldChar w:fldCharType="end"/>
            </w:r>
          </w:hyperlink>
        </w:p>
        <w:p w14:paraId="0946DCF8" w14:textId="026DDD7C" w:rsidR="00786A63" w:rsidRDefault="00AD0FD6" w:rsidP="00E540B2">
          <w:pPr>
            <w:pStyle w:val="Spistreci2"/>
            <w:tabs>
              <w:tab w:val="right" w:leader="dot" w:pos="9061"/>
            </w:tabs>
            <w:spacing w:line="360" w:lineRule="auto"/>
            <w:rPr>
              <w:rFonts w:asciiTheme="minorHAnsi" w:eastAsiaTheme="minorEastAsia" w:hAnsiTheme="minorHAnsi"/>
              <w:noProof/>
              <w:sz w:val="22"/>
              <w:lang w:eastAsia="pl-PL"/>
            </w:rPr>
          </w:pPr>
          <w:hyperlink w:anchor="_Toc513545763" w:history="1">
            <w:r w:rsidR="00786A63" w:rsidRPr="00B71844">
              <w:rPr>
                <w:rStyle w:val="Hipercze"/>
                <w:noProof/>
              </w:rPr>
              <w:t>IV.5 Projekt ustawy o zasadach zwrotu niektórych należności wynikających z umów kredytu i pożyczki.</w:t>
            </w:r>
            <w:r w:rsidR="00786A63">
              <w:rPr>
                <w:noProof/>
                <w:webHidden/>
              </w:rPr>
              <w:tab/>
            </w:r>
            <w:r w:rsidR="00786A63">
              <w:rPr>
                <w:noProof/>
                <w:webHidden/>
              </w:rPr>
              <w:fldChar w:fldCharType="begin"/>
            </w:r>
            <w:r w:rsidR="00786A63">
              <w:rPr>
                <w:noProof/>
                <w:webHidden/>
              </w:rPr>
              <w:instrText xml:space="preserve"> PAGEREF _Toc513545763 \h </w:instrText>
            </w:r>
            <w:r w:rsidR="00786A63">
              <w:rPr>
                <w:noProof/>
                <w:webHidden/>
              </w:rPr>
            </w:r>
            <w:r w:rsidR="00786A63">
              <w:rPr>
                <w:noProof/>
                <w:webHidden/>
              </w:rPr>
              <w:fldChar w:fldCharType="separate"/>
            </w:r>
            <w:r w:rsidR="0054729A">
              <w:rPr>
                <w:noProof/>
                <w:webHidden/>
              </w:rPr>
              <w:t>- 52 -</w:t>
            </w:r>
            <w:r w:rsidR="00786A63">
              <w:rPr>
                <w:noProof/>
                <w:webHidden/>
              </w:rPr>
              <w:fldChar w:fldCharType="end"/>
            </w:r>
          </w:hyperlink>
        </w:p>
        <w:p w14:paraId="7E97C106" w14:textId="7FA849B9" w:rsidR="00786A63" w:rsidRDefault="00AD0FD6" w:rsidP="00E540B2">
          <w:pPr>
            <w:pStyle w:val="Spistreci2"/>
            <w:tabs>
              <w:tab w:val="right" w:leader="dot" w:pos="9061"/>
            </w:tabs>
            <w:spacing w:line="360" w:lineRule="auto"/>
            <w:rPr>
              <w:rFonts w:asciiTheme="minorHAnsi" w:eastAsiaTheme="minorEastAsia" w:hAnsiTheme="minorHAnsi"/>
              <w:noProof/>
              <w:sz w:val="22"/>
              <w:lang w:eastAsia="pl-PL"/>
            </w:rPr>
          </w:pPr>
          <w:hyperlink w:anchor="_Toc513545764" w:history="1">
            <w:r w:rsidR="00786A63" w:rsidRPr="00B71844">
              <w:rPr>
                <w:rStyle w:val="Hipercze"/>
                <w:noProof/>
              </w:rPr>
              <w:t>IV.6 Możliwość zastosowania rozwiązań wprowadzonych w innych krajach Unii Europejskiej w Polsce.</w:t>
            </w:r>
            <w:r w:rsidR="00786A63">
              <w:rPr>
                <w:noProof/>
                <w:webHidden/>
              </w:rPr>
              <w:tab/>
            </w:r>
            <w:r w:rsidR="00786A63">
              <w:rPr>
                <w:noProof/>
                <w:webHidden/>
              </w:rPr>
              <w:fldChar w:fldCharType="begin"/>
            </w:r>
            <w:r w:rsidR="00786A63">
              <w:rPr>
                <w:noProof/>
                <w:webHidden/>
              </w:rPr>
              <w:instrText xml:space="preserve"> PAGEREF _Toc513545764 \h </w:instrText>
            </w:r>
            <w:r w:rsidR="00786A63">
              <w:rPr>
                <w:noProof/>
                <w:webHidden/>
              </w:rPr>
            </w:r>
            <w:r w:rsidR="00786A63">
              <w:rPr>
                <w:noProof/>
                <w:webHidden/>
              </w:rPr>
              <w:fldChar w:fldCharType="separate"/>
            </w:r>
            <w:r w:rsidR="0054729A">
              <w:rPr>
                <w:noProof/>
                <w:webHidden/>
              </w:rPr>
              <w:t>- 54 -</w:t>
            </w:r>
            <w:r w:rsidR="00786A63">
              <w:rPr>
                <w:noProof/>
                <w:webHidden/>
              </w:rPr>
              <w:fldChar w:fldCharType="end"/>
            </w:r>
          </w:hyperlink>
        </w:p>
        <w:p w14:paraId="1ED511F5" w14:textId="75610882" w:rsidR="00786A63" w:rsidRDefault="00AD0FD6" w:rsidP="00E540B2">
          <w:pPr>
            <w:pStyle w:val="Spistreci1"/>
            <w:rPr>
              <w:rFonts w:asciiTheme="minorHAnsi" w:eastAsiaTheme="minorEastAsia" w:hAnsiTheme="minorHAnsi" w:cstheme="minorBidi"/>
              <w:b w:val="0"/>
              <w:sz w:val="22"/>
              <w:szCs w:val="22"/>
              <w:lang w:eastAsia="pl-PL"/>
            </w:rPr>
          </w:pPr>
          <w:hyperlink w:anchor="_Toc513545765" w:history="1">
            <w:r w:rsidR="00786A63" w:rsidRPr="00B71844">
              <w:rPr>
                <w:rStyle w:val="Hipercze"/>
              </w:rPr>
              <w:t>Zakończenie.</w:t>
            </w:r>
            <w:r w:rsidR="00786A63">
              <w:rPr>
                <w:webHidden/>
              </w:rPr>
              <w:tab/>
            </w:r>
            <w:r w:rsidR="00786A63">
              <w:rPr>
                <w:webHidden/>
              </w:rPr>
              <w:fldChar w:fldCharType="begin"/>
            </w:r>
            <w:r w:rsidR="00786A63">
              <w:rPr>
                <w:webHidden/>
              </w:rPr>
              <w:instrText xml:space="preserve"> PAGEREF _Toc513545765 \h </w:instrText>
            </w:r>
            <w:r w:rsidR="00786A63">
              <w:rPr>
                <w:webHidden/>
              </w:rPr>
            </w:r>
            <w:r w:rsidR="00786A63">
              <w:rPr>
                <w:webHidden/>
              </w:rPr>
              <w:fldChar w:fldCharType="separate"/>
            </w:r>
            <w:r w:rsidR="0054729A">
              <w:rPr>
                <w:webHidden/>
              </w:rPr>
              <w:t>- 57 -</w:t>
            </w:r>
            <w:r w:rsidR="00786A63">
              <w:rPr>
                <w:webHidden/>
              </w:rPr>
              <w:fldChar w:fldCharType="end"/>
            </w:r>
          </w:hyperlink>
        </w:p>
        <w:p w14:paraId="6F1EAF28" w14:textId="0AA55756" w:rsidR="00786A63" w:rsidRDefault="00AD0FD6" w:rsidP="00E540B2">
          <w:pPr>
            <w:pStyle w:val="Spistreci1"/>
            <w:rPr>
              <w:rFonts w:asciiTheme="minorHAnsi" w:eastAsiaTheme="minorEastAsia" w:hAnsiTheme="minorHAnsi" w:cstheme="minorBidi"/>
              <w:b w:val="0"/>
              <w:sz w:val="22"/>
              <w:szCs w:val="22"/>
              <w:lang w:eastAsia="pl-PL"/>
            </w:rPr>
          </w:pPr>
          <w:hyperlink w:anchor="_Toc513545766" w:history="1">
            <w:r w:rsidR="00786A63" w:rsidRPr="00B71844">
              <w:rPr>
                <w:rStyle w:val="Hipercze"/>
              </w:rPr>
              <w:t>Bibliografia.</w:t>
            </w:r>
            <w:r w:rsidR="00786A63">
              <w:rPr>
                <w:webHidden/>
              </w:rPr>
              <w:tab/>
            </w:r>
            <w:r w:rsidR="00786A63">
              <w:rPr>
                <w:webHidden/>
              </w:rPr>
              <w:fldChar w:fldCharType="begin"/>
            </w:r>
            <w:r w:rsidR="00786A63">
              <w:rPr>
                <w:webHidden/>
              </w:rPr>
              <w:instrText xml:space="preserve"> PAGEREF _Toc513545766 \h </w:instrText>
            </w:r>
            <w:r w:rsidR="00786A63">
              <w:rPr>
                <w:webHidden/>
              </w:rPr>
            </w:r>
            <w:r w:rsidR="00786A63">
              <w:rPr>
                <w:webHidden/>
              </w:rPr>
              <w:fldChar w:fldCharType="separate"/>
            </w:r>
            <w:r w:rsidR="0054729A">
              <w:rPr>
                <w:webHidden/>
              </w:rPr>
              <w:t>- 60 -</w:t>
            </w:r>
            <w:r w:rsidR="00786A63">
              <w:rPr>
                <w:webHidden/>
              </w:rPr>
              <w:fldChar w:fldCharType="end"/>
            </w:r>
          </w:hyperlink>
        </w:p>
        <w:p w14:paraId="0732727E" w14:textId="13B06972" w:rsidR="00786A63" w:rsidRDefault="00AD0FD6" w:rsidP="00E540B2">
          <w:pPr>
            <w:pStyle w:val="Spistreci2"/>
            <w:tabs>
              <w:tab w:val="right" w:leader="dot" w:pos="9061"/>
            </w:tabs>
            <w:spacing w:line="360" w:lineRule="auto"/>
            <w:rPr>
              <w:rFonts w:asciiTheme="minorHAnsi" w:eastAsiaTheme="minorEastAsia" w:hAnsiTheme="minorHAnsi"/>
              <w:noProof/>
              <w:sz w:val="22"/>
              <w:lang w:eastAsia="pl-PL"/>
            </w:rPr>
          </w:pPr>
          <w:hyperlink w:anchor="_Toc513545767" w:history="1">
            <w:r w:rsidR="00786A63" w:rsidRPr="00B71844">
              <w:rPr>
                <w:rStyle w:val="Hipercze"/>
                <w:noProof/>
              </w:rPr>
              <w:t>I. Wydawnictwa zwarte.</w:t>
            </w:r>
            <w:r w:rsidR="00786A63">
              <w:rPr>
                <w:noProof/>
                <w:webHidden/>
              </w:rPr>
              <w:tab/>
            </w:r>
            <w:r w:rsidR="00786A63">
              <w:rPr>
                <w:noProof/>
                <w:webHidden/>
              </w:rPr>
              <w:fldChar w:fldCharType="begin"/>
            </w:r>
            <w:r w:rsidR="00786A63">
              <w:rPr>
                <w:noProof/>
                <w:webHidden/>
              </w:rPr>
              <w:instrText xml:space="preserve"> PAGEREF _Toc513545767 \h </w:instrText>
            </w:r>
            <w:r w:rsidR="00786A63">
              <w:rPr>
                <w:noProof/>
                <w:webHidden/>
              </w:rPr>
            </w:r>
            <w:r w:rsidR="00786A63">
              <w:rPr>
                <w:noProof/>
                <w:webHidden/>
              </w:rPr>
              <w:fldChar w:fldCharType="separate"/>
            </w:r>
            <w:r w:rsidR="0054729A">
              <w:rPr>
                <w:noProof/>
                <w:webHidden/>
              </w:rPr>
              <w:t>- 60 -</w:t>
            </w:r>
            <w:r w:rsidR="00786A63">
              <w:rPr>
                <w:noProof/>
                <w:webHidden/>
              </w:rPr>
              <w:fldChar w:fldCharType="end"/>
            </w:r>
          </w:hyperlink>
        </w:p>
        <w:p w14:paraId="355F010C" w14:textId="69EBFEAE" w:rsidR="00786A63" w:rsidRDefault="00AD0FD6" w:rsidP="00E540B2">
          <w:pPr>
            <w:pStyle w:val="Spistreci2"/>
            <w:tabs>
              <w:tab w:val="right" w:leader="dot" w:pos="9061"/>
            </w:tabs>
            <w:spacing w:line="360" w:lineRule="auto"/>
            <w:rPr>
              <w:rFonts w:asciiTheme="minorHAnsi" w:eastAsiaTheme="minorEastAsia" w:hAnsiTheme="minorHAnsi"/>
              <w:noProof/>
              <w:sz w:val="22"/>
              <w:lang w:eastAsia="pl-PL"/>
            </w:rPr>
          </w:pPr>
          <w:hyperlink w:anchor="_Toc513545768" w:history="1">
            <w:r w:rsidR="00786A63" w:rsidRPr="00B71844">
              <w:rPr>
                <w:rStyle w:val="Hipercze"/>
                <w:noProof/>
              </w:rPr>
              <w:t>II. Artykuły.</w:t>
            </w:r>
            <w:r w:rsidR="00786A63">
              <w:rPr>
                <w:noProof/>
                <w:webHidden/>
              </w:rPr>
              <w:tab/>
            </w:r>
            <w:r w:rsidR="00786A63">
              <w:rPr>
                <w:noProof/>
                <w:webHidden/>
              </w:rPr>
              <w:fldChar w:fldCharType="begin"/>
            </w:r>
            <w:r w:rsidR="00786A63">
              <w:rPr>
                <w:noProof/>
                <w:webHidden/>
              </w:rPr>
              <w:instrText xml:space="preserve"> PAGEREF _Toc513545768 \h </w:instrText>
            </w:r>
            <w:r w:rsidR="00786A63">
              <w:rPr>
                <w:noProof/>
                <w:webHidden/>
              </w:rPr>
            </w:r>
            <w:r w:rsidR="00786A63">
              <w:rPr>
                <w:noProof/>
                <w:webHidden/>
              </w:rPr>
              <w:fldChar w:fldCharType="separate"/>
            </w:r>
            <w:r w:rsidR="0054729A">
              <w:rPr>
                <w:noProof/>
                <w:webHidden/>
              </w:rPr>
              <w:t>- 60 -</w:t>
            </w:r>
            <w:r w:rsidR="00786A63">
              <w:rPr>
                <w:noProof/>
                <w:webHidden/>
              </w:rPr>
              <w:fldChar w:fldCharType="end"/>
            </w:r>
          </w:hyperlink>
        </w:p>
        <w:p w14:paraId="18B808D2" w14:textId="29BDA287" w:rsidR="00786A63" w:rsidRDefault="00AD0FD6" w:rsidP="00E540B2">
          <w:pPr>
            <w:pStyle w:val="Spistreci2"/>
            <w:tabs>
              <w:tab w:val="right" w:leader="dot" w:pos="9061"/>
            </w:tabs>
            <w:spacing w:line="360" w:lineRule="auto"/>
            <w:rPr>
              <w:rFonts w:asciiTheme="minorHAnsi" w:eastAsiaTheme="minorEastAsia" w:hAnsiTheme="minorHAnsi"/>
              <w:noProof/>
              <w:sz w:val="22"/>
              <w:lang w:eastAsia="pl-PL"/>
            </w:rPr>
          </w:pPr>
          <w:hyperlink w:anchor="_Toc513545769" w:history="1">
            <w:r w:rsidR="00786A63" w:rsidRPr="00B71844">
              <w:rPr>
                <w:rStyle w:val="Hipercze"/>
                <w:noProof/>
              </w:rPr>
              <w:t>III. Akty prawne.</w:t>
            </w:r>
            <w:r w:rsidR="00786A63">
              <w:rPr>
                <w:noProof/>
                <w:webHidden/>
              </w:rPr>
              <w:tab/>
            </w:r>
            <w:r w:rsidR="00786A63">
              <w:rPr>
                <w:noProof/>
                <w:webHidden/>
              </w:rPr>
              <w:fldChar w:fldCharType="begin"/>
            </w:r>
            <w:r w:rsidR="00786A63">
              <w:rPr>
                <w:noProof/>
                <w:webHidden/>
              </w:rPr>
              <w:instrText xml:space="preserve"> PAGEREF _Toc513545769 \h </w:instrText>
            </w:r>
            <w:r w:rsidR="00786A63">
              <w:rPr>
                <w:noProof/>
                <w:webHidden/>
              </w:rPr>
            </w:r>
            <w:r w:rsidR="00786A63">
              <w:rPr>
                <w:noProof/>
                <w:webHidden/>
              </w:rPr>
              <w:fldChar w:fldCharType="separate"/>
            </w:r>
            <w:r w:rsidR="0054729A">
              <w:rPr>
                <w:noProof/>
                <w:webHidden/>
              </w:rPr>
              <w:t>- 60 -</w:t>
            </w:r>
            <w:r w:rsidR="00786A63">
              <w:rPr>
                <w:noProof/>
                <w:webHidden/>
              </w:rPr>
              <w:fldChar w:fldCharType="end"/>
            </w:r>
          </w:hyperlink>
        </w:p>
        <w:p w14:paraId="6737237F" w14:textId="03E862EF" w:rsidR="00786A63" w:rsidRDefault="00AD0FD6" w:rsidP="00E540B2">
          <w:pPr>
            <w:pStyle w:val="Spistreci2"/>
            <w:tabs>
              <w:tab w:val="right" w:leader="dot" w:pos="9061"/>
            </w:tabs>
            <w:spacing w:line="360" w:lineRule="auto"/>
            <w:rPr>
              <w:rFonts w:asciiTheme="minorHAnsi" w:eastAsiaTheme="minorEastAsia" w:hAnsiTheme="minorHAnsi"/>
              <w:noProof/>
              <w:sz w:val="22"/>
              <w:lang w:eastAsia="pl-PL"/>
            </w:rPr>
          </w:pPr>
          <w:hyperlink w:anchor="_Toc513545770" w:history="1">
            <w:r w:rsidR="00786A63" w:rsidRPr="00B71844">
              <w:rPr>
                <w:rStyle w:val="Hipercze"/>
                <w:noProof/>
              </w:rPr>
              <w:t>IV. Strony internetowe.</w:t>
            </w:r>
            <w:r w:rsidR="00786A63">
              <w:rPr>
                <w:noProof/>
                <w:webHidden/>
              </w:rPr>
              <w:tab/>
            </w:r>
            <w:r w:rsidR="00786A63">
              <w:rPr>
                <w:noProof/>
                <w:webHidden/>
              </w:rPr>
              <w:fldChar w:fldCharType="begin"/>
            </w:r>
            <w:r w:rsidR="00786A63">
              <w:rPr>
                <w:noProof/>
                <w:webHidden/>
              </w:rPr>
              <w:instrText xml:space="preserve"> PAGEREF _Toc513545770 \h </w:instrText>
            </w:r>
            <w:r w:rsidR="00786A63">
              <w:rPr>
                <w:noProof/>
                <w:webHidden/>
              </w:rPr>
            </w:r>
            <w:r w:rsidR="00786A63">
              <w:rPr>
                <w:noProof/>
                <w:webHidden/>
              </w:rPr>
              <w:fldChar w:fldCharType="separate"/>
            </w:r>
            <w:r w:rsidR="0054729A">
              <w:rPr>
                <w:noProof/>
                <w:webHidden/>
              </w:rPr>
              <w:t>- 61 -</w:t>
            </w:r>
            <w:r w:rsidR="00786A63">
              <w:rPr>
                <w:noProof/>
                <w:webHidden/>
              </w:rPr>
              <w:fldChar w:fldCharType="end"/>
            </w:r>
          </w:hyperlink>
        </w:p>
        <w:p w14:paraId="4959BCB7" w14:textId="6CF75A79" w:rsidR="00786A63" w:rsidRDefault="00AD0FD6" w:rsidP="00E540B2">
          <w:pPr>
            <w:pStyle w:val="Spistreci2"/>
            <w:tabs>
              <w:tab w:val="right" w:leader="dot" w:pos="9061"/>
            </w:tabs>
            <w:spacing w:line="360" w:lineRule="auto"/>
            <w:rPr>
              <w:rFonts w:asciiTheme="minorHAnsi" w:eastAsiaTheme="minorEastAsia" w:hAnsiTheme="minorHAnsi"/>
              <w:noProof/>
              <w:sz w:val="22"/>
              <w:lang w:eastAsia="pl-PL"/>
            </w:rPr>
          </w:pPr>
          <w:hyperlink w:anchor="_Toc513545771" w:history="1">
            <w:r w:rsidR="00786A63" w:rsidRPr="00B71844">
              <w:rPr>
                <w:rStyle w:val="Hipercze"/>
                <w:noProof/>
              </w:rPr>
              <w:t>V. Inne źródła.</w:t>
            </w:r>
            <w:r w:rsidR="00786A63">
              <w:rPr>
                <w:noProof/>
                <w:webHidden/>
              </w:rPr>
              <w:tab/>
            </w:r>
            <w:r w:rsidR="00786A63">
              <w:rPr>
                <w:noProof/>
                <w:webHidden/>
              </w:rPr>
              <w:fldChar w:fldCharType="begin"/>
            </w:r>
            <w:r w:rsidR="00786A63">
              <w:rPr>
                <w:noProof/>
                <w:webHidden/>
              </w:rPr>
              <w:instrText xml:space="preserve"> PAGEREF _Toc513545771 \h </w:instrText>
            </w:r>
            <w:r w:rsidR="00786A63">
              <w:rPr>
                <w:noProof/>
                <w:webHidden/>
              </w:rPr>
            </w:r>
            <w:r w:rsidR="00786A63">
              <w:rPr>
                <w:noProof/>
                <w:webHidden/>
              </w:rPr>
              <w:fldChar w:fldCharType="separate"/>
            </w:r>
            <w:r w:rsidR="0054729A">
              <w:rPr>
                <w:noProof/>
                <w:webHidden/>
              </w:rPr>
              <w:t>- 64 -</w:t>
            </w:r>
            <w:r w:rsidR="00786A63">
              <w:rPr>
                <w:noProof/>
                <w:webHidden/>
              </w:rPr>
              <w:fldChar w:fldCharType="end"/>
            </w:r>
          </w:hyperlink>
        </w:p>
        <w:p w14:paraId="12A9A2CF" w14:textId="63DCD43F" w:rsidR="00786A63" w:rsidRDefault="00AD0FD6" w:rsidP="00E540B2">
          <w:pPr>
            <w:pStyle w:val="Spistreci1"/>
            <w:rPr>
              <w:rFonts w:asciiTheme="minorHAnsi" w:eastAsiaTheme="minorEastAsia" w:hAnsiTheme="minorHAnsi" w:cstheme="minorBidi"/>
              <w:b w:val="0"/>
              <w:sz w:val="22"/>
              <w:szCs w:val="22"/>
              <w:lang w:eastAsia="pl-PL"/>
            </w:rPr>
          </w:pPr>
          <w:hyperlink w:anchor="_Toc513545772" w:history="1">
            <w:r w:rsidR="00786A63" w:rsidRPr="00B71844">
              <w:rPr>
                <w:rStyle w:val="Hipercze"/>
              </w:rPr>
              <w:t>Spis wykresów.</w:t>
            </w:r>
            <w:r w:rsidR="00786A63">
              <w:rPr>
                <w:webHidden/>
              </w:rPr>
              <w:tab/>
            </w:r>
            <w:r w:rsidR="00786A63">
              <w:rPr>
                <w:webHidden/>
              </w:rPr>
              <w:fldChar w:fldCharType="begin"/>
            </w:r>
            <w:r w:rsidR="00786A63">
              <w:rPr>
                <w:webHidden/>
              </w:rPr>
              <w:instrText xml:space="preserve"> PAGEREF _Toc513545772 \h </w:instrText>
            </w:r>
            <w:r w:rsidR="00786A63">
              <w:rPr>
                <w:webHidden/>
              </w:rPr>
            </w:r>
            <w:r w:rsidR="00786A63">
              <w:rPr>
                <w:webHidden/>
              </w:rPr>
              <w:fldChar w:fldCharType="separate"/>
            </w:r>
            <w:r w:rsidR="0054729A">
              <w:rPr>
                <w:webHidden/>
              </w:rPr>
              <w:t>- 66 -</w:t>
            </w:r>
            <w:r w:rsidR="00786A63">
              <w:rPr>
                <w:webHidden/>
              </w:rPr>
              <w:fldChar w:fldCharType="end"/>
            </w:r>
          </w:hyperlink>
        </w:p>
        <w:p w14:paraId="10D78903" w14:textId="60AACA24" w:rsidR="00786A63" w:rsidRDefault="00AD0FD6" w:rsidP="00E540B2">
          <w:pPr>
            <w:pStyle w:val="Spistreci1"/>
            <w:rPr>
              <w:rFonts w:asciiTheme="minorHAnsi" w:eastAsiaTheme="minorEastAsia" w:hAnsiTheme="minorHAnsi" w:cstheme="minorBidi"/>
              <w:b w:val="0"/>
              <w:sz w:val="22"/>
              <w:szCs w:val="22"/>
              <w:lang w:eastAsia="pl-PL"/>
            </w:rPr>
          </w:pPr>
          <w:hyperlink w:anchor="_Toc513545773" w:history="1">
            <w:r w:rsidR="00786A63" w:rsidRPr="00B71844">
              <w:rPr>
                <w:rStyle w:val="Hipercze"/>
              </w:rPr>
              <w:t>Streszczenie.</w:t>
            </w:r>
            <w:r w:rsidR="00786A63">
              <w:rPr>
                <w:webHidden/>
              </w:rPr>
              <w:tab/>
            </w:r>
            <w:r w:rsidR="00786A63">
              <w:rPr>
                <w:webHidden/>
              </w:rPr>
              <w:fldChar w:fldCharType="begin"/>
            </w:r>
            <w:r w:rsidR="00786A63">
              <w:rPr>
                <w:webHidden/>
              </w:rPr>
              <w:instrText xml:space="preserve"> PAGEREF _Toc513545773 \h </w:instrText>
            </w:r>
            <w:r w:rsidR="00786A63">
              <w:rPr>
                <w:webHidden/>
              </w:rPr>
            </w:r>
            <w:r w:rsidR="00786A63">
              <w:rPr>
                <w:webHidden/>
              </w:rPr>
              <w:fldChar w:fldCharType="separate"/>
            </w:r>
            <w:r w:rsidR="0054729A">
              <w:rPr>
                <w:webHidden/>
              </w:rPr>
              <w:t>- 67 -</w:t>
            </w:r>
            <w:r w:rsidR="00786A63">
              <w:rPr>
                <w:webHidden/>
              </w:rPr>
              <w:fldChar w:fldCharType="end"/>
            </w:r>
          </w:hyperlink>
        </w:p>
        <w:p w14:paraId="648F79F3" w14:textId="1D8189F3" w:rsidR="00677FA5" w:rsidRDefault="00677FA5" w:rsidP="00E540B2">
          <w:pPr>
            <w:spacing w:line="360" w:lineRule="auto"/>
            <w:jc w:val="both"/>
          </w:pPr>
          <w:r w:rsidRPr="00596C98">
            <w:rPr>
              <w:rFonts w:cs="Times New Roman"/>
              <w:b/>
              <w:bCs/>
              <w:szCs w:val="24"/>
            </w:rPr>
            <w:fldChar w:fldCharType="end"/>
          </w:r>
        </w:p>
      </w:sdtContent>
    </w:sdt>
    <w:p w14:paraId="751E98D3" w14:textId="6810D261" w:rsidR="002F652E" w:rsidRDefault="00677FA5" w:rsidP="00FD37E2">
      <w:pPr>
        <w:pStyle w:val="Nagwek1"/>
        <w:spacing w:line="360" w:lineRule="auto"/>
        <w:rPr>
          <w:rFonts w:cs="Times New Roman"/>
          <w:b w:val="0"/>
          <w:color w:val="000000"/>
          <w:szCs w:val="24"/>
          <w:shd w:val="clear" w:color="auto" w:fill="FFFFFF"/>
        </w:rPr>
      </w:pPr>
      <w:r>
        <w:rPr>
          <w:shd w:val="clear" w:color="auto" w:fill="FFFFFF"/>
        </w:rPr>
        <w:br w:type="column"/>
      </w:r>
      <w:bookmarkStart w:id="2" w:name="_Toc513545740"/>
      <w:r w:rsidR="00F24841">
        <w:rPr>
          <w:shd w:val="clear" w:color="auto" w:fill="FFFFFF"/>
        </w:rPr>
        <w:lastRenderedPageBreak/>
        <w:t>Wstęp</w:t>
      </w:r>
      <w:r w:rsidR="00B00DED">
        <w:rPr>
          <w:shd w:val="clear" w:color="auto" w:fill="FFFFFF"/>
        </w:rPr>
        <w:t>.</w:t>
      </w:r>
      <w:bookmarkEnd w:id="2"/>
    </w:p>
    <w:p w14:paraId="6B7219E8" w14:textId="2A7E9136" w:rsidR="00F24841" w:rsidRPr="00CF2507" w:rsidRDefault="00764ACB" w:rsidP="00FD37E2">
      <w:pPr>
        <w:spacing w:after="0" w:line="360" w:lineRule="auto"/>
        <w:jc w:val="both"/>
        <w:rPr>
          <w:rFonts w:cs="Times New Roman"/>
          <w:b/>
          <w:szCs w:val="24"/>
        </w:rPr>
      </w:pPr>
      <w:r>
        <w:rPr>
          <w:rFonts w:cs="Times New Roman"/>
          <w:b/>
          <w:szCs w:val="24"/>
        </w:rPr>
        <w:t>Uzasadnienie wyboru tematu</w:t>
      </w:r>
      <w:r w:rsidR="00F24841" w:rsidRPr="00CF2507">
        <w:rPr>
          <w:rFonts w:cs="Times New Roman"/>
          <w:b/>
          <w:szCs w:val="24"/>
        </w:rPr>
        <w:t xml:space="preserve"> </w:t>
      </w:r>
    </w:p>
    <w:p w14:paraId="47448784" w14:textId="77777777" w:rsidR="00363B56" w:rsidRDefault="00F24841" w:rsidP="006D5447">
      <w:pPr>
        <w:spacing w:after="0" w:line="360" w:lineRule="auto"/>
        <w:ind w:firstLine="709"/>
        <w:jc w:val="both"/>
        <w:rPr>
          <w:rFonts w:cs="Times New Roman"/>
          <w:szCs w:val="24"/>
        </w:rPr>
      </w:pPr>
      <w:r w:rsidRPr="00CF2507">
        <w:rPr>
          <w:rFonts w:cs="Times New Roman"/>
          <w:szCs w:val="24"/>
        </w:rPr>
        <w:t>Temat kredytów walutowych w Polsce ciągle jest bardzo chętnie poruszaną kwestią. Przyczynami tego faktu mogą być trudna sytuacja finansowa wielu kredytobiorców</w:t>
      </w:r>
      <w:r w:rsidR="0058379B">
        <w:rPr>
          <w:rFonts w:cs="Times New Roman"/>
          <w:szCs w:val="24"/>
        </w:rPr>
        <w:t>, stosunkowo duża skala takiego zadłużenia</w:t>
      </w:r>
      <w:r w:rsidRPr="00CF2507">
        <w:rPr>
          <w:rFonts w:cs="Times New Roman"/>
          <w:szCs w:val="24"/>
        </w:rPr>
        <w:t xml:space="preserve"> oraz powszechne przekonanie, że duża liczba kredytów w walutach obcych udzielonych Polakom przed załamaniem gospodarczym, które miało miejsce w 2008</w:t>
      </w:r>
      <w:r>
        <w:rPr>
          <w:rFonts w:cs="Times New Roman"/>
          <w:szCs w:val="24"/>
        </w:rPr>
        <w:t xml:space="preserve"> </w:t>
      </w:r>
      <w:r w:rsidRPr="00CF2507">
        <w:rPr>
          <w:rFonts w:cs="Times New Roman"/>
          <w:szCs w:val="24"/>
        </w:rPr>
        <w:t>r., w dalszym ciągu może stanowić poważne zagrożenie dla poprawnego funkcjonowania i stabilności polskiego systemu bankowego. Z powodu aprecjacji franka szwajcarskiego i innych walut zagranicz</w:t>
      </w:r>
      <w:r w:rsidR="00EB0541">
        <w:rPr>
          <w:rFonts w:cs="Times New Roman"/>
          <w:szCs w:val="24"/>
        </w:rPr>
        <w:t xml:space="preserve">nych </w:t>
      </w:r>
      <w:r w:rsidRPr="00CF2507">
        <w:rPr>
          <w:rFonts w:cs="Times New Roman"/>
          <w:szCs w:val="24"/>
        </w:rPr>
        <w:t>terminowe spłacanie rat kredytów w walutach obcych przez gospodarstwa domowe nie wydaje się być tak pewne, jak przed 2008</w:t>
      </w:r>
      <w:r>
        <w:rPr>
          <w:rFonts w:cs="Times New Roman"/>
          <w:szCs w:val="24"/>
        </w:rPr>
        <w:t xml:space="preserve"> </w:t>
      </w:r>
      <w:r w:rsidRPr="00CF2507">
        <w:rPr>
          <w:rFonts w:cs="Times New Roman"/>
          <w:szCs w:val="24"/>
        </w:rPr>
        <w:t>r., gdy kursy walut zagranicznych do złotego polskiego były dużo bardziej korzystne dla kredytobiorców. Konieczność spłaty dużo większych rat</w:t>
      </w:r>
      <w:r w:rsidR="00EB0541">
        <w:rPr>
          <w:rFonts w:cs="Times New Roman"/>
          <w:szCs w:val="24"/>
        </w:rPr>
        <w:t xml:space="preserve"> kredytowych</w:t>
      </w:r>
      <w:r w:rsidRPr="00CF2507">
        <w:rPr>
          <w:rFonts w:cs="Times New Roman"/>
          <w:szCs w:val="24"/>
        </w:rPr>
        <w:t xml:space="preserve"> </w:t>
      </w:r>
      <w:r w:rsidR="0058724A">
        <w:rPr>
          <w:rFonts w:cs="Times New Roman"/>
          <w:szCs w:val="24"/>
        </w:rPr>
        <w:t xml:space="preserve">prowadzi do pogorszenia się sytuacji finansowej gospodarstw domowych i powoduje powstanie zagrożenia niepełnych i nieterminowych spłat kredytów walutowych. Taki stan rzeczy </w:t>
      </w:r>
      <w:r w:rsidRPr="00CF2507">
        <w:rPr>
          <w:rFonts w:cs="Times New Roman"/>
          <w:szCs w:val="24"/>
        </w:rPr>
        <w:t>jest niekorzyst</w:t>
      </w:r>
      <w:r w:rsidR="0058724A">
        <w:rPr>
          <w:rFonts w:cs="Times New Roman"/>
          <w:szCs w:val="24"/>
        </w:rPr>
        <w:t xml:space="preserve">ny </w:t>
      </w:r>
      <w:r w:rsidR="0058724A" w:rsidRPr="00CF2507">
        <w:rPr>
          <w:rFonts w:cs="Times New Roman"/>
          <w:szCs w:val="24"/>
        </w:rPr>
        <w:t>nie tylko</w:t>
      </w:r>
      <w:r w:rsidR="0058724A">
        <w:rPr>
          <w:rFonts w:cs="Times New Roman"/>
          <w:szCs w:val="24"/>
        </w:rPr>
        <w:t xml:space="preserve"> </w:t>
      </w:r>
      <w:r w:rsidRPr="00CF2507">
        <w:rPr>
          <w:rFonts w:cs="Times New Roman"/>
          <w:szCs w:val="24"/>
        </w:rPr>
        <w:t>dla dłużników, ale także dla banków, które w swoich aktywach posiadają duży udział kredytów walutowych, zwłaszcza udzielonych we franku szwajcarskim.</w:t>
      </w:r>
      <w:r w:rsidR="006D5447">
        <w:rPr>
          <w:rFonts w:cs="Times New Roman"/>
          <w:szCs w:val="24"/>
        </w:rPr>
        <w:t xml:space="preserve"> Wydaje się zatem</w:t>
      </w:r>
      <w:r w:rsidRPr="00CF2507">
        <w:rPr>
          <w:rFonts w:cs="Times New Roman"/>
          <w:szCs w:val="24"/>
        </w:rPr>
        <w:t>, że obie strony powinny dążyć do wypracowania scenariusza rozwiązania problemu, który będzie korzystny dla wszystkich</w:t>
      </w:r>
      <w:r w:rsidR="002B58F6">
        <w:rPr>
          <w:rFonts w:cs="Times New Roman"/>
          <w:szCs w:val="24"/>
        </w:rPr>
        <w:t xml:space="preserve"> podmiotów</w:t>
      </w:r>
      <w:r w:rsidRPr="00CF2507">
        <w:rPr>
          <w:rFonts w:cs="Times New Roman"/>
          <w:szCs w:val="24"/>
        </w:rPr>
        <w:t xml:space="preserve"> dotkniętych aprecjacją walut obcych.</w:t>
      </w:r>
    </w:p>
    <w:p w14:paraId="1358D763" w14:textId="445C0D54" w:rsidR="00F24841" w:rsidRDefault="00363B56" w:rsidP="00363B56">
      <w:pPr>
        <w:spacing w:after="0" w:line="360" w:lineRule="auto"/>
        <w:ind w:firstLine="708"/>
        <w:jc w:val="both"/>
        <w:rPr>
          <w:rFonts w:cs="Times New Roman"/>
          <w:szCs w:val="24"/>
        </w:rPr>
      </w:pPr>
      <w:r>
        <w:rPr>
          <w:rFonts w:cs="Times New Roman"/>
          <w:szCs w:val="24"/>
        </w:rPr>
        <w:t>C</w:t>
      </w:r>
      <w:r w:rsidRPr="00CF2507">
        <w:rPr>
          <w:rFonts w:cs="Times New Roman"/>
          <w:szCs w:val="24"/>
        </w:rPr>
        <w:t>elem pracy będzie próba odpowiedzi na pytanie, czy znaczny udział kredytów walutowych w portfelach kredytowych banków działających na terenie Polski w dalszym ciągu może być zagrożeniem dla funkcjonowania polskiego sektora bankowego w przypadku niesprzyjającej koniunktury gospodarczej i aprecjacji walut zagranicznych.</w:t>
      </w:r>
      <w:r w:rsidR="004B3DC4">
        <w:rPr>
          <w:rFonts w:cs="Times New Roman"/>
          <w:szCs w:val="24"/>
        </w:rPr>
        <w:t xml:space="preserve"> Oprócz tego p</w:t>
      </w:r>
      <w:r w:rsidR="0058379B">
        <w:rPr>
          <w:rFonts w:cs="Times New Roman"/>
          <w:szCs w:val="24"/>
        </w:rPr>
        <w:t>raca stanowi próbę odpowiedzi na pytanie, czy istnieje scenariusz rozwiązania problemu zadłużenia polskich gospodarstw domowych z tytułu kredytów hipotecznych w walutach obcych, który będzie korzystny zarówno dla kredytobiorców, jak i dla banków.</w:t>
      </w:r>
    </w:p>
    <w:p w14:paraId="41397E56" w14:textId="77777777" w:rsidR="00D873BB" w:rsidRPr="00CF2507" w:rsidRDefault="00D873BB" w:rsidP="00D873BB">
      <w:pPr>
        <w:spacing w:after="0" w:line="360" w:lineRule="auto"/>
        <w:jc w:val="both"/>
        <w:rPr>
          <w:rFonts w:cs="Times New Roman"/>
          <w:b/>
          <w:szCs w:val="24"/>
        </w:rPr>
      </w:pPr>
      <w:r w:rsidRPr="00CF2507">
        <w:rPr>
          <w:rFonts w:cs="Times New Roman"/>
          <w:b/>
          <w:szCs w:val="24"/>
        </w:rPr>
        <w:t>Hipoteza główna:</w:t>
      </w:r>
    </w:p>
    <w:p w14:paraId="55B07EA9" w14:textId="77777777" w:rsidR="00D873BB" w:rsidRPr="00CF2507" w:rsidRDefault="00D873BB" w:rsidP="00D873BB">
      <w:pPr>
        <w:spacing w:after="0" w:line="360" w:lineRule="auto"/>
        <w:jc w:val="both"/>
        <w:rPr>
          <w:rFonts w:cs="Times New Roman"/>
          <w:szCs w:val="24"/>
        </w:rPr>
      </w:pPr>
      <w:r w:rsidRPr="00CF2507">
        <w:rPr>
          <w:rFonts w:cs="Times New Roman"/>
          <w:szCs w:val="24"/>
        </w:rPr>
        <w:tab/>
        <w:t>Portfel kredytów walutowych banków działających w Polsce w dalszym ciągu może być zagrożeniem dla poprawnego działania systemu bankowego i stabilności gospodarki.</w:t>
      </w:r>
    </w:p>
    <w:p w14:paraId="6EF7F5EE" w14:textId="77777777" w:rsidR="00D873BB" w:rsidRPr="00CF2507" w:rsidRDefault="00D873BB" w:rsidP="00D873BB">
      <w:pPr>
        <w:spacing w:after="0" w:line="360" w:lineRule="auto"/>
        <w:jc w:val="both"/>
        <w:rPr>
          <w:rFonts w:cs="Times New Roman"/>
          <w:b/>
          <w:szCs w:val="24"/>
        </w:rPr>
      </w:pPr>
      <w:r w:rsidRPr="00CF2507">
        <w:rPr>
          <w:rFonts w:cs="Times New Roman"/>
          <w:b/>
          <w:szCs w:val="24"/>
        </w:rPr>
        <w:t>Hipotezy pomocnicze:</w:t>
      </w:r>
    </w:p>
    <w:p w14:paraId="39A291D0" w14:textId="316DFE29" w:rsidR="00D873BB" w:rsidRPr="00CF2507" w:rsidRDefault="00D873BB" w:rsidP="00D873BB">
      <w:pPr>
        <w:pStyle w:val="Akapitzlist"/>
        <w:numPr>
          <w:ilvl w:val="0"/>
          <w:numId w:val="2"/>
        </w:numPr>
        <w:spacing w:after="0" w:line="360" w:lineRule="auto"/>
        <w:jc w:val="both"/>
        <w:rPr>
          <w:rFonts w:cs="Times New Roman"/>
          <w:szCs w:val="24"/>
        </w:rPr>
      </w:pPr>
      <w:r w:rsidRPr="00CF2507">
        <w:rPr>
          <w:rFonts w:cs="Times New Roman"/>
          <w:szCs w:val="24"/>
        </w:rPr>
        <w:t>Rekomendacje wydane przez KNF i instytucje odpowiedzialne za nadzór rynku finansowego na terenie UE z punktu widzenia bezpieczeństwa sektora banko</w:t>
      </w:r>
      <w:r>
        <w:rPr>
          <w:rFonts w:cs="Times New Roman"/>
          <w:szCs w:val="24"/>
        </w:rPr>
        <w:t xml:space="preserve">wego w Polsce miały pozytywny </w:t>
      </w:r>
      <w:r w:rsidRPr="00CF2507">
        <w:rPr>
          <w:rFonts w:cs="Times New Roman"/>
          <w:szCs w:val="24"/>
        </w:rPr>
        <w:t>wpływ na politykę udzielania kredytów walutowych przez banki w Polsce.</w:t>
      </w:r>
    </w:p>
    <w:p w14:paraId="2CC0B70C" w14:textId="5CF58FEA" w:rsidR="00D873BB" w:rsidRPr="00CF2507" w:rsidRDefault="00D873BB" w:rsidP="00D873BB">
      <w:pPr>
        <w:pStyle w:val="Akapitzlist"/>
        <w:numPr>
          <w:ilvl w:val="0"/>
          <w:numId w:val="2"/>
        </w:numPr>
        <w:spacing w:after="0" w:line="360" w:lineRule="auto"/>
        <w:jc w:val="both"/>
        <w:rPr>
          <w:rFonts w:cs="Times New Roman"/>
          <w:szCs w:val="24"/>
        </w:rPr>
      </w:pPr>
      <w:r w:rsidRPr="00CF2507">
        <w:rPr>
          <w:rFonts w:cs="Times New Roman"/>
          <w:szCs w:val="24"/>
        </w:rPr>
        <w:lastRenderedPageBreak/>
        <w:t xml:space="preserve">Omawiane w pracy propozycje rozwiązania problemu zadłużenia gospodarstw domowych </w:t>
      </w:r>
      <w:r w:rsidR="008515C8">
        <w:rPr>
          <w:rFonts w:cs="Times New Roman"/>
          <w:szCs w:val="24"/>
        </w:rPr>
        <w:t xml:space="preserve">w walutach obcych </w:t>
      </w:r>
      <w:r w:rsidRPr="00CF2507">
        <w:rPr>
          <w:rFonts w:cs="Times New Roman"/>
          <w:szCs w:val="24"/>
        </w:rPr>
        <w:t>w Polsce miałyby pozytywny na stabilność sektora bankowego i sytuację finansową kredytobiorców.</w:t>
      </w:r>
    </w:p>
    <w:p w14:paraId="783B2312" w14:textId="3A9BA54D" w:rsidR="00D873BB" w:rsidRPr="00CF2507" w:rsidRDefault="00CC00FC" w:rsidP="00D873BB">
      <w:pPr>
        <w:pStyle w:val="Akapitzlist"/>
        <w:numPr>
          <w:ilvl w:val="0"/>
          <w:numId w:val="2"/>
        </w:numPr>
        <w:spacing w:after="0" w:line="360" w:lineRule="auto"/>
        <w:jc w:val="both"/>
        <w:rPr>
          <w:rFonts w:cs="Times New Roman"/>
          <w:szCs w:val="24"/>
        </w:rPr>
      </w:pPr>
      <w:r>
        <w:rPr>
          <w:rFonts w:cs="Times New Roman"/>
          <w:szCs w:val="24"/>
        </w:rPr>
        <w:t>Metody użyte</w:t>
      </w:r>
      <w:r w:rsidR="004859F8">
        <w:rPr>
          <w:rFonts w:cs="Times New Roman"/>
          <w:szCs w:val="24"/>
        </w:rPr>
        <w:t xml:space="preserve"> do</w:t>
      </w:r>
      <w:r>
        <w:rPr>
          <w:rFonts w:cs="Times New Roman"/>
          <w:szCs w:val="24"/>
        </w:rPr>
        <w:t xml:space="preserve"> rozwiązywania problemu</w:t>
      </w:r>
      <w:r w:rsidR="00D873BB" w:rsidRPr="00CF2507">
        <w:rPr>
          <w:rFonts w:cs="Times New Roman"/>
          <w:szCs w:val="24"/>
        </w:rPr>
        <w:t xml:space="preserve"> zadłużenia gospodarstw domowych w walutach ob</w:t>
      </w:r>
      <w:r w:rsidR="004859F8">
        <w:rPr>
          <w:rFonts w:cs="Times New Roman"/>
          <w:szCs w:val="24"/>
        </w:rPr>
        <w:t>cych w Hiszpanii</w:t>
      </w:r>
      <w:r w:rsidR="00D873BB" w:rsidRPr="00CF2507">
        <w:rPr>
          <w:rFonts w:cs="Times New Roman"/>
          <w:szCs w:val="24"/>
        </w:rPr>
        <w:t xml:space="preserve">, Chorwacji, Austrii i </w:t>
      </w:r>
      <w:r w:rsidR="004859F8">
        <w:rPr>
          <w:rFonts w:cs="Times New Roman"/>
          <w:szCs w:val="24"/>
        </w:rPr>
        <w:t>na Węg</w:t>
      </w:r>
      <w:r w:rsidR="00D873BB" w:rsidRPr="00CF2507">
        <w:rPr>
          <w:rFonts w:cs="Times New Roman"/>
          <w:szCs w:val="24"/>
        </w:rPr>
        <w:t>r</w:t>
      </w:r>
      <w:r w:rsidR="004859F8">
        <w:rPr>
          <w:rFonts w:cs="Times New Roman"/>
          <w:szCs w:val="24"/>
        </w:rPr>
        <w:t>zech</w:t>
      </w:r>
      <w:r w:rsidR="00D873BB" w:rsidRPr="00CF2507">
        <w:rPr>
          <w:rFonts w:cs="Times New Roman"/>
          <w:szCs w:val="24"/>
        </w:rPr>
        <w:t xml:space="preserve"> mogłyby znaleźć zastosowanie także w Polsce.</w:t>
      </w:r>
    </w:p>
    <w:p w14:paraId="56A146A9" w14:textId="5416136B" w:rsidR="00646AAA" w:rsidRPr="00CF2507" w:rsidRDefault="00646AAA" w:rsidP="00646AAA">
      <w:pPr>
        <w:spacing w:after="0" w:line="360" w:lineRule="auto"/>
        <w:jc w:val="both"/>
        <w:rPr>
          <w:rFonts w:cs="Times New Roman"/>
          <w:szCs w:val="24"/>
        </w:rPr>
      </w:pPr>
      <w:r>
        <w:rPr>
          <w:rFonts w:cs="Times New Roman"/>
          <w:b/>
          <w:szCs w:val="24"/>
        </w:rPr>
        <w:t>Struktura pracy:</w:t>
      </w:r>
    </w:p>
    <w:p w14:paraId="05CDEBD3" w14:textId="49B18C05" w:rsidR="00233A0F" w:rsidRDefault="00233A0F" w:rsidP="00F24841">
      <w:pPr>
        <w:spacing w:after="0" w:line="360" w:lineRule="auto"/>
        <w:ind w:firstLine="708"/>
        <w:jc w:val="both"/>
        <w:rPr>
          <w:rFonts w:cs="Times New Roman"/>
          <w:szCs w:val="24"/>
        </w:rPr>
      </w:pPr>
      <w:r w:rsidRPr="00233A0F">
        <w:rPr>
          <w:rFonts w:cs="Times New Roman"/>
          <w:szCs w:val="24"/>
        </w:rPr>
        <w:t>W pierwszym rozdziale</w:t>
      </w:r>
      <w:r>
        <w:rPr>
          <w:rFonts w:cs="Times New Roman"/>
          <w:szCs w:val="24"/>
        </w:rPr>
        <w:t xml:space="preserve"> pracy</w:t>
      </w:r>
      <w:r w:rsidRPr="00233A0F">
        <w:rPr>
          <w:rFonts w:cs="Times New Roman"/>
          <w:szCs w:val="24"/>
        </w:rPr>
        <w:t xml:space="preserve"> omówione zostanie pojęcie kredytu walutowego, a także ryzyka powiązane z kredytami walutowymi ze szczególnym uwzględnieniem ryzyka walutowego. Przedstawiona zostanie</w:t>
      </w:r>
      <w:r w:rsidR="00E06355">
        <w:rPr>
          <w:rFonts w:cs="Times New Roman"/>
          <w:szCs w:val="24"/>
        </w:rPr>
        <w:t xml:space="preserve"> również</w:t>
      </w:r>
      <w:r w:rsidRPr="00233A0F">
        <w:rPr>
          <w:rFonts w:cs="Times New Roman"/>
          <w:szCs w:val="24"/>
        </w:rPr>
        <w:t xml:space="preserve"> geneza tego rodzaju finansowania i obecna sytuacja na rynku kredytów walutowych w Polsce.</w:t>
      </w:r>
    </w:p>
    <w:p w14:paraId="43F3FF3C" w14:textId="365DF08A" w:rsidR="00F24841" w:rsidRDefault="00F24841" w:rsidP="00F24841">
      <w:pPr>
        <w:spacing w:after="0" w:line="360" w:lineRule="auto"/>
        <w:ind w:firstLine="708"/>
        <w:jc w:val="both"/>
        <w:rPr>
          <w:rFonts w:cs="Times New Roman"/>
          <w:szCs w:val="24"/>
        </w:rPr>
      </w:pPr>
      <w:r w:rsidRPr="00CF2507">
        <w:rPr>
          <w:rFonts w:cs="Times New Roman"/>
          <w:szCs w:val="24"/>
        </w:rPr>
        <w:t xml:space="preserve">W </w:t>
      </w:r>
      <w:r w:rsidR="0073563D">
        <w:rPr>
          <w:rFonts w:cs="Times New Roman"/>
          <w:szCs w:val="24"/>
        </w:rPr>
        <w:t xml:space="preserve">kolejnej części </w:t>
      </w:r>
      <w:r w:rsidRPr="00CF2507">
        <w:rPr>
          <w:rFonts w:cs="Times New Roman"/>
          <w:szCs w:val="24"/>
        </w:rPr>
        <w:t xml:space="preserve">pracy przedstawione zostaną </w:t>
      </w:r>
      <w:r w:rsidR="004D0274">
        <w:rPr>
          <w:rFonts w:cs="Times New Roman"/>
          <w:szCs w:val="24"/>
        </w:rPr>
        <w:t xml:space="preserve">regulacje prawne dotyczące udzielania kredytów w walutach obcych i dobrych praktyk bankowych w tym zakresie, które zostały </w:t>
      </w:r>
      <w:r w:rsidRPr="00CF2507">
        <w:rPr>
          <w:rFonts w:cs="Times New Roman"/>
          <w:szCs w:val="24"/>
        </w:rPr>
        <w:t xml:space="preserve">wydane przez </w:t>
      </w:r>
      <w:r w:rsidR="004D0274">
        <w:rPr>
          <w:rFonts w:cs="Times New Roman"/>
          <w:szCs w:val="24"/>
        </w:rPr>
        <w:t>polskie</w:t>
      </w:r>
      <w:r w:rsidRPr="00CF2507">
        <w:rPr>
          <w:rFonts w:cs="Times New Roman"/>
          <w:szCs w:val="24"/>
        </w:rPr>
        <w:t xml:space="preserve"> i europejskie instytucje nadzoru finansowego</w:t>
      </w:r>
      <w:r w:rsidR="008A7B73">
        <w:rPr>
          <w:rFonts w:cs="Times New Roman"/>
          <w:szCs w:val="24"/>
        </w:rPr>
        <w:t>. Omówiony zostanie faktyczny wpływ tychże rozwiązań</w:t>
      </w:r>
      <w:r w:rsidRPr="00CF2507">
        <w:rPr>
          <w:rFonts w:cs="Times New Roman"/>
          <w:szCs w:val="24"/>
        </w:rPr>
        <w:t xml:space="preserve"> na rynek kredytów walutowych w Pol</w:t>
      </w:r>
      <w:r w:rsidR="0077492C">
        <w:rPr>
          <w:rFonts w:cs="Times New Roman"/>
          <w:szCs w:val="24"/>
        </w:rPr>
        <w:t xml:space="preserve">sce. Poruszone zostaną </w:t>
      </w:r>
      <w:r w:rsidRPr="00CF2507">
        <w:rPr>
          <w:rFonts w:cs="Times New Roman"/>
          <w:szCs w:val="24"/>
        </w:rPr>
        <w:t>także regulacje wprowadzone na stałe do polskiego prawa mające za zadanie chronić kredytobiorców w trudnej sytuacji finan</w:t>
      </w:r>
      <w:r w:rsidR="0077492C">
        <w:rPr>
          <w:rFonts w:cs="Times New Roman"/>
          <w:szCs w:val="24"/>
        </w:rPr>
        <w:t>sowej</w:t>
      </w:r>
      <w:r w:rsidR="00B12983">
        <w:rPr>
          <w:rFonts w:cs="Times New Roman"/>
          <w:szCs w:val="24"/>
        </w:rPr>
        <w:t xml:space="preserve">. </w:t>
      </w:r>
    </w:p>
    <w:p w14:paraId="587ABE0B" w14:textId="3FBF22CD" w:rsidR="00066853" w:rsidRPr="00CF2507" w:rsidRDefault="00066853" w:rsidP="00066853">
      <w:pPr>
        <w:spacing w:after="0" w:line="360" w:lineRule="auto"/>
        <w:ind w:firstLine="708"/>
        <w:jc w:val="both"/>
        <w:rPr>
          <w:rFonts w:cs="Times New Roman"/>
          <w:szCs w:val="24"/>
        </w:rPr>
      </w:pPr>
      <w:r w:rsidRPr="00CF2507">
        <w:rPr>
          <w:rFonts w:cs="Times New Roman"/>
          <w:szCs w:val="24"/>
        </w:rPr>
        <w:t xml:space="preserve">Następnym elementem </w:t>
      </w:r>
      <w:r>
        <w:rPr>
          <w:rFonts w:cs="Times New Roman"/>
          <w:szCs w:val="24"/>
        </w:rPr>
        <w:t xml:space="preserve">pracy </w:t>
      </w:r>
      <w:r w:rsidRPr="00CF2507">
        <w:rPr>
          <w:rFonts w:cs="Times New Roman"/>
          <w:szCs w:val="24"/>
        </w:rPr>
        <w:t>będzie</w:t>
      </w:r>
      <w:r>
        <w:rPr>
          <w:rFonts w:cs="Times New Roman"/>
          <w:szCs w:val="24"/>
        </w:rPr>
        <w:t xml:space="preserve"> porównanie rynku kredytów walutowych w Polsce i na terenie Unii Europejskiej. Oprócz tego zostaną omówione rozwiązania</w:t>
      </w:r>
      <w:r w:rsidRPr="00CF2507">
        <w:rPr>
          <w:rFonts w:cs="Times New Roman"/>
          <w:szCs w:val="24"/>
        </w:rPr>
        <w:t xml:space="preserve"> zastosowane </w:t>
      </w:r>
      <w:r w:rsidR="004335C5">
        <w:rPr>
          <w:rFonts w:cs="Times New Roman"/>
          <w:szCs w:val="24"/>
        </w:rPr>
        <w:t xml:space="preserve">do rozwiązania </w:t>
      </w:r>
      <w:r w:rsidRPr="00CF2507">
        <w:rPr>
          <w:rFonts w:cs="Times New Roman"/>
          <w:szCs w:val="24"/>
        </w:rPr>
        <w:t>problemu zadłu</w:t>
      </w:r>
      <w:r w:rsidR="004335C5">
        <w:rPr>
          <w:rFonts w:cs="Times New Roman"/>
          <w:szCs w:val="24"/>
        </w:rPr>
        <w:t>żenia</w:t>
      </w:r>
      <w:r w:rsidRPr="00CF2507">
        <w:rPr>
          <w:rFonts w:cs="Times New Roman"/>
          <w:szCs w:val="24"/>
        </w:rPr>
        <w:t xml:space="preserve"> gospodarstw domowych w walutach obcych w innych krajach U</w:t>
      </w:r>
      <w:r w:rsidR="00AF424F">
        <w:rPr>
          <w:rFonts w:cs="Times New Roman"/>
          <w:szCs w:val="24"/>
        </w:rPr>
        <w:t xml:space="preserve">nii </w:t>
      </w:r>
      <w:r w:rsidRPr="00CF2507">
        <w:rPr>
          <w:rFonts w:cs="Times New Roman"/>
          <w:szCs w:val="24"/>
        </w:rPr>
        <w:t>E</w:t>
      </w:r>
      <w:r w:rsidR="00AF424F">
        <w:rPr>
          <w:rFonts w:cs="Times New Roman"/>
          <w:szCs w:val="24"/>
        </w:rPr>
        <w:t>uropejskiej</w:t>
      </w:r>
      <w:r w:rsidRPr="00CF2507">
        <w:rPr>
          <w:rFonts w:cs="Times New Roman"/>
          <w:szCs w:val="24"/>
        </w:rPr>
        <w:t>, takich jak Hiszpania, Chorwacja, Au</w:t>
      </w:r>
      <w:r w:rsidR="00C1331A">
        <w:rPr>
          <w:rFonts w:cs="Times New Roman"/>
          <w:szCs w:val="24"/>
        </w:rPr>
        <w:t>stria i Węgry.</w:t>
      </w:r>
      <w:r w:rsidRPr="00CF2507">
        <w:rPr>
          <w:rFonts w:cs="Times New Roman"/>
          <w:szCs w:val="24"/>
        </w:rPr>
        <w:t xml:space="preserve"> </w:t>
      </w:r>
    </w:p>
    <w:p w14:paraId="1F9AC02C" w14:textId="1A58AC2F" w:rsidR="00AF424F" w:rsidRPr="00AF424F" w:rsidRDefault="00AF424F" w:rsidP="00AF424F">
      <w:pPr>
        <w:spacing w:after="0" w:line="360" w:lineRule="auto"/>
        <w:ind w:firstLine="708"/>
        <w:jc w:val="both"/>
        <w:rPr>
          <w:rFonts w:cs="Times New Roman"/>
          <w:szCs w:val="24"/>
        </w:rPr>
      </w:pPr>
      <w:r w:rsidRPr="00AF424F">
        <w:rPr>
          <w:rFonts w:cs="Times New Roman"/>
          <w:szCs w:val="24"/>
        </w:rPr>
        <w:t>W ostatnim rozdziale</w:t>
      </w:r>
      <w:r w:rsidR="00F24841" w:rsidRPr="00AF424F">
        <w:rPr>
          <w:rFonts w:cs="Times New Roman"/>
          <w:szCs w:val="24"/>
        </w:rPr>
        <w:t xml:space="preserve"> pracy </w:t>
      </w:r>
      <w:r w:rsidRPr="00AF424F">
        <w:rPr>
          <w:rFonts w:cs="Times New Roman"/>
          <w:szCs w:val="24"/>
        </w:rPr>
        <w:t>zostanie przeprowadzona</w:t>
      </w:r>
      <w:r w:rsidR="00F24841" w:rsidRPr="00AF424F">
        <w:rPr>
          <w:rFonts w:cs="Times New Roman"/>
          <w:szCs w:val="24"/>
        </w:rPr>
        <w:t xml:space="preserve"> szczegółowa analiza i porównanie </w:t>
      </w:r>
      <w:r w:rsidR="00F70C28">
        <w:rPr>
          <w:rFonts w:cs="Times New Roman"/>
          <w:szCs w:val="24"/>
        </w:rPr>
        <w:t xml:space="preserve">propozycji </w:t>
      </w:r>
      <w:r w:rsidR="00F24841" w:rsidRPr="00AF424F">
        <w:rPr>
          <w:rFonts w:cs="Times New Roman"/>
          <w:szCs w:val="24"/>
        </w:rPr>
        <w:t>rozwią</w:t>
      </w:r>
      <w:r w:rsidR="00193FC9">
        <w:rPr>
          <w:rFonts w:cs="Times New Roman"/>
          <w:szCs w:val="24"/>
        </w:rPr>
        <w:t>zania</w:t>
      </w:r>
      <w:r w:rsidR="00F24841" w:rsidRPr="00AF424F">
        <w:rPr>
          <w:rFonts w:cs="Times New Roman"/>
          <w:szCs w:val="24"/>
        </w:rPr>
        <w:t xml:space="preserve"> problemu zadłużenia polskich gospodarstw domowych w walutach obcych przedstawionych przez </w:t>
      </w:r>
      <w:r w:rsidRPr="00AF424F">
        <w:rPr>
          <w:rFonts w:cs="Times New Roman"/>
          <w:szCs w:val="24"/>
        </w:rPr>
        <w:t>instytucje</w:t>
      </w:r>
      <w:r w:rsidR="00F24841" w:rsidRPr="00AF424F">
        <w:rPr>
          <w:rFonts w:cs="Times New Roman"/>
          <w:szCs w:val="24"/>
        </w:rPr>
        <w:t xml:space="preserve"> nadzoru rynku finansowego i </w:t>
      </w:r>
      <w:r w:rsidR="00BF091D" w:rsidRPr="00AF424F">
        <w:rPr>
          <w:rFonts w:cs="Times New Roman"/>
          <w:szCs w:val="24"/>
        </w:rPr>
        <w:t>sektor bankowy</w:t>
      </w:r>
      <w:r w:rsidR="00F24841" w:rsidRPr="00AF424F">
        <w:rPr>
          <w:rFonts w:cs="Times New Roman"/>
          <w:szCs w:val="24"/>
        </w:rPr>
        <w:t xml:space="preserve"> w Pol</w:t>
      </w:r>
      <w:r w:rsidR="00FD4678">
        <w:rPr>
          <w:rFonts w:cs="Times New Roman"/>
          <w:szCs w:val="24"/>
        </w:rPr>
        <w:t>sce. Nastąpi</w:t>
      </w:r>
      <w:r w:rsidR="00F24841" w:rsidRPr="00AF424F">
        <w:rPr>
          <w:rFonts w:cs="Times New Roman"/>
          <w:szCs w:val="24"/>
        </w:rPr>
        <w:t xml:space="preserve"> także próba </w:t>
      </w:r>
      <w:r w:rsidRPr="00AF424F">
        <w:rPr>
          <w:rFonts w:cs="Times New Roman"/>
          <w:szCs w:val="24"/>
        </w:rPr>
        <w:t xml:space="preserve">odpowiedzi na pytanie, czy rozwiązania, które zostały przeprowadzone w innych państwach Unii Europejskiej mogłyby zostać zastosowane także w Polsce. </w:t>
      </w:r>
    </w:p>
    <w:p w14:paraId="5FC243F0" w14:textId="0ECB1B6C" w:rsidR="00F24841" w:rsidRPr="00CF2507" w:rsidRDefault="00F24841" w:rsidP="00F24841">
      <w:pPr>
        <w:spacing w:after="0" w:line="360" w:lineRule="auto"/>
        <w:ind w:firstLine="708"/>
        <w:jc w:val="both"/>
        <w:rPr>
          <w:rFonts w:cs="Times New Roman"/>
          <w:szCs w:val="24"/>
        </w:rPr>
      </w:pPr>
      <w:r w:rsidRPr="00CF2507">
        <w:rPr>
          <w:rFonts w:cs="Times New Roman"/>
          <w:szCs w:val="24"/>
        </w:rPr>
        <w:t xml:space="preserve">Ostatnim punktem, który zostanie poruszony będzie zaprezentowanie czytelnikowi opinii autora na omawiany temat, wyciągnięcie wniosków płynących z analizy omawianego tematu, oraz odpowiedź na pytania postawione w hipotezie głównej i hipotezach pomocniczych. </w:t>
      </w:r>
    </w:p>
    <w:p w14:paraId="64C03DA8" w14:textId="77777777" w:rsidR="00F24841" w:rsidRPr="00CF2507" w:rsidRDefault="00F24841" w:rsidP="00F24841">
      <w:pPr>
        <w:spacing w:after="0" w:line="360" w:lineRule="auto"/>
        <w:jc w:val="both"/>
        <w:rPr>
          <w:rFonts w:cs="Times New Roman"/>
          <w:b/>
          <w:szCs w:val="24"/>
        </w:rPr>
      </w:pPr>
      <w:r w:rsidRPr="00CF2507">
        <w:rPr>
          <w:rFonts w:cs="Times New Roman"/>
          <w:b/>
          <w:szCs w:val="24"/>
        </w:rPr>
        <w:t>Metody sprawdzania poprawności hipotez:</w:t>
      </w:r>
    </w:p>
    <w:p w14:paraId="3E0A42AD" w14:textId="39DE1404" w:rsidR="00F24841" w:rsidRDefault="00F24841" w:rsidP="00F24841">
      <w:pPr>
        <w:spacing w:after="0" w:line="360" w:lineRule="auto"/>
        <w:ind w:firstLine="708"/>
        <w:jc w:val="both"/>
        <w:rPr>
          <w:rFonts w:cs="Times New Roman"/>
          <w:szCs w:val="24"/>
        </w:rPr>
      </w:pPr>
      <w:r w:rsidRPr="00CF2507">
        <w:rPr>
          <w:rFonts w:cs="Times New Roman"/>
          <w:szCs w:val="24"/>
        </w:rPr>
        <w:t>Podstawową metodą, która zostanie użyta w celu odpowiedzi na pytania postawione w hipotezie głównej i hipotezach pomocniczych będzie zastosowanie analizy</w:t>
      </w:r>
      <w:r w:rsidR="006F2791">
        <w:rPr>
          <w:rFonts w:cs="Times New Roman"/>
          <w:szCs w:val="24"/>
        </w:rPr>
        <w:t xml:space="preserve"> krajowych</w:t>
      </w:r>
      <w:r w:rsidRPr="00CF2507">
        <w:rPr>
          <w:rFonts w:cs="Times New Roman"/>
          <w:szCs w:val="24"/>
        </w:rPr>
        <w:t xml:space="preserve"> i za</w:t>
      </w:r>
      <w:r w:rsidRPr="00CF2507">
        <w:rPr>
          <w:rFonts w:cs="Times New Roman"/>
          <w:szCs w:val="24"/>
        </w:rPr>
        <w:lastRenderedPageBreak/>
        <w:t>gra</w:t>
      </w:r>
      <w:r w:rsidR="006F2791">
        <w:rPr>
          <w:rFonts w:cs="Times New Roman"/>
          <w:szCs w:val="24"/>
        </w:rPr>
        <w:t>nicznych aktów prawnych,</w:t>
      </w:r>
      <w:r w:rsidR="00D51D82">
        <w:rPr>
          <w:rFonts w:cs="Times New Roman"/>
          <w:szCs w:val="24"/>
        </w:rPr>
        <w:t xml:space="preserve"> literatury naukowej</w:t>
      </w:r>
      <w:r w:rsidR="006F2791">
        <w:rPr>
          <w:rFonts w:cs="Times New Roman"/>
          <w:szCs w:val="24"/>
        </w:rPr>
        <w:t xml:space="preserve">, </w:t>
      </w:r>
      <w:r w:rsidRPr="00CF2507">
        <w:rPr>
          <w:rFonts w:cs="Times New Roman"/>
          <w:szCs w:val="24"/>
        </w:rPr>
        <w:t>artykułów prasowych, publikacji i pozostałych materiałów wydanych przez krajowe i międzynarodowe instytucje odpowiedzialne za poprawne funkcjonowanie polskiego i europejskiego systemu bankowego i stabilność gospodarki Polski i UE jako całości (m.in. KNF, NBP, ZBP, ESRB). Zastosowane zostaną także porównanie i analiza zastosowanych rozwiązań problemu zadłużeń w walutach obcych, które miały miejsce w Hiszpanii, Ch</w:t>
      </w:r>
      <w:r w:rsidR="0069455C">
        <w:rPr>
          <w:rFonts w:cs="Times New Roman"/>
          <w:szCs w:val="24"/>
        </w:rPr>
        <w:t>orwacji, Austrii i na Węgrzech.</w:t>
      </w:r>
    </w:p>
    <w:p w14:paraId="52AAA8C8" w14:textId="44733D82" w:rsidR="00A041C1" w:rsidRPr="00CF2507" w:rsidRDefault="00A041C1" w:rsidP="00D80D68">
      <w:pPr>
        <w:spacing w:line="360" w:lineRule="auto"/>
        <w:jc w:val="both"/>
        <w:rPr>
          <w:rFonts w:cs="Times New Roman"/>
          <w:b/>
          <w:szCs w:val="24"/>
        </w:rPr>
      </w:pPr>
      <w:r w:rsidRPr="00CF2507">
        <w:rPr>
          <w:rFonts w:cs="Times New Roman"/>
          <w:b/>
          <w:szCs w:val="24"/>
        </w:rPr>
        <w:br w:type="page"/>
      </w:r>
    </w:p>
    <w:p w14:paraId="6A753FBA" w14:textId="6D0CF337" w:rsidR="00920BA4" w:rsidRPr="00CF2507" w:rsidRDefault="00920BA4" w:rsidP="00D80D68">
      <w:pPr>
        <w:pStyle w:val="Nagwek1"/>
        <w:spacing w:line="360" w:lineRule="auto"/>
        <w:jc w:val="both"/>
      </w:pPr>
      <w:bookmarkStart w:id="3" w:name="_Toc513545741"/>
      <w:r w:rsidRPr="00CF2507">
        <w:lastRenderedPageBreak/>
        <w:t>I. Rynek kredytów walutowych w Polsce</w:t>
      </w:r>
      <w:r w:rsidR="00A24377">
        <w:t>.</w:t>
      </w:r>
      <w:bookmarkEnd w:id="3"/>
      <w:r w:rsidRPr="00CF2507">
        <w:t xml:space="preserve"> </w:t>
      </w:r>
    </w:p>
    <w:p w14:paraId="2F1AB968" w14:textId="7C4281AB" w:rsidR="00920BA4" w:rsidRPr="00CF2507" w:rsidRDefault="00920BA4" w:rsidP="00D80D68">
      <w:pPr>
        <w:pStyle w:val="Nagwek2"/>
        <w:spacing w:line="360" w:lineRule="auto"/>
        <w:jc w:val="both"/>
      </w:pPr>
      <w:bookmarkStart w:id="4" w:name="_Toc513545742"/>
      <w:r w:rsidRPr="00CF2507">
        <w:t>I.1 Pojęcie kredytu walutowego</w:t>
      </w:r>
      <w:r w:rsidR="00A24377">
        <w:t>.</w:t>
      </w:r>
      <w:bookmarkEnd w:id="4"/>
    </w:p>
    <w:p w14:paraId="2F47A7C5" w14:textId="6E1989E7" w:rsidR="00920BA4" w:rsidRPr="00CF2507" w:rsidRDefault="00920BA4" w:rsidP="00D80D68">
      <w:pPr>
        <w:spacing w:after="0" w:line="360" w:lineRule="auto"/>
        <w:jc w:val="both"/>
        <w:rPr>
          <w:rFonts w:cs="Times New Roman"/>
          <w:szCs w:val="24"/>
        </w:rPr>
      </w:pPr>
      <w:r w:rsidRPr="00CF2507">
        <w:rPr>
          <w:rFonts w:cs="Times New Roman"/>
          <w:szCs w:val="24"/>
        </w:rPr>
        <w:tab/>
        <w:t>Na mocy Prawa bankowego udzielanie kredytów jest podstawową operacją wykonywaną przez banki sensu stricto. Według Prawa bankowego poprzez umowę kredytu bank zobowiązany jest do przekazania kredytobiorcy na czas określony w podpisanej umowie ustaloną liczbę środków pieniężnych, które muszą zostać przeznaczone przez dłużnika na konkretny cel</w:t>
      </w:r>
      <w:r w:rsidR="0039424E" w:rsidRPr="00CF2507">
        <w:rPr>
          <w:rStyle w:val="Odwoanieprzypisudolnego"/>
          <w:rFonts w:cs="Times New Roman"/>
          <w:szCs w:val="24"/>
        </w:rPr>
        <w:footnoteReference w:id="1"/>
      </w:r>
      <w:r w:rsidRPr="00CF2507">
        <w:rPr>
          <w:rFonts w:cs="Times New Roman"/>
          <w:szCs w:val="24"/>
        </w:rPr>
        <w:t>. Kredytobiorca ma za to obowiązek wykorzystać powierzoną mu kwotę zgodnie z celem jej przeznaczenia, oraz zwrócić ją w całości wraz z naliczonymi przez bank odsetkami. Zobowiązany jest także do zapłaty prowizji. Kredytobiorca zobowiązany jest zaspokoić żądania b</w:t>
      </w:r>
      <w:r w:rsidR="00FD297C" w:rsidRPr="00CF2507">
        <w:rPr>
          <w:rFonts w:cs="Times New Roman"/>
          <w:szCs w:val="24"/>
        </w:rPr>
        <w:t>anku w wyznaczonych terminach. W</w:t>
      </w:r>
      <w:r w:rsidRPr="00CF2507">
        <w:rPr>
          <w:rFonts w:cs="Times New Roman"/>
          <w:szCs w:val="24"/>
        </w:rPr>
        <w:t xml:space="preserve"> przypadku niespłacania rat w ustalonym terminie winien jest spłacić dodatkowe odsetki za zwłokę</w:t>
      </w:r>
      <w:r w:rsidRPr="00CF2507">
        <w:rPr>
          <w:rStyle w:val="Odwoanieprzypisudolnego"/>
          <w:rFonts w:cs="Times New Roman"/>
          <w:szCs w:val="24"/>
        </w:rPr>
        <w:footnoteReference w:id="2"/>
      </w:r>
      <w:r w:rsidRPr="00CF2507">
        <w:rPr>
          <w:rFonts w:cs="Times New Roman"/>
          <w:szCs w:val="24"/>
        </w:rPr>
        <w:t xml:space="preserve">. </w:t>
      </w:r>
    </w:p>
    <w:p w14:paraId="6AFBF400" w14:textId="2BB987A2" w:rsidR="00920BA4" w:rsidRPr="00CF2507" w:rsidRDefault="00920BA4" w:rsidP="00D80D68">
      <w:pPr>
        <w:spacing w:after="0" w:line="360" w:lineRule="auto"/>
        <w:ind w:firstLine="708"/>
        <w:jc w:val="both"/>
        <w:rPr>
          <w:rFonts w:cs="Times New Roman"/>
          <w:szCs w:val="24"/>
        </w:rPr>
      </w:pPr>
      <w:r w:rsidRPr="00CF2507">
        <w:rPr>
          <w:rFonts w:cs="Times New Roman"/>
          <w:szCs w:val="24"/>
        </w:rPr>
        <w:t>Kredyt wa</w:t>
      </w:r>
      <w:r w:rsidR="00FD297C" w:rsidRPr="00CF2507">
        <w:rPr>
          <w:rFonts w:cs="Times New Roman"/>
          <w:szCs w:val="24"/>
        </w:rPr>
        <w:t>lutowy, zwany także inaczej</w:t>
      </w:r>
      <w:r w:rsidRPr="00CF2507">
        <w:rPr>
          <w:rFonts w:cs="Times New Roman"/>
          <w:szCs w:val="24"/>
        </w:rPr>
        <w:t xml:space="preserve"> kredyt</w:t>
      </w:r>
      <w:r w:rsidR="00FD297C" w:rsidRPr="00CF2507">
        <w:rPr>
          <w:rFonts w:cs="Times New Roman"/>
          <w:szCs w:val="24"/>
        </w:rPr>
        <w:t>em</w:t>
      </w:r>
      <w:r w:rsidRPr="00CF2507">
        <w:rPr>
          <w:rFonts w:cs="Times New Roman"/>
          <w:szCs w:val="24"/>
        </w:rPr>
        <w:t xml:space="preserve"> dewizowy</w:t>
      </w:r>
      <w:r w:rsidR="00FD297C" w:rsidRPr="00CF2507">
        <w:rPr>
          <w:rFonts w:cs="Times New Roman"/>
          <w:szCs w:val="24"/>
        </w:rPr>
        <w:t>m</w:t>
      </w:r>
      <w:r w:rsidRPr="00CF2507">
        <w:rPr>
          <w:rFonts w:cs="Times New Roman"/>
          <w:szCs w:val="24"/>
        </w:rPr>
        <w:t>, to kredyt udzielony przez bank w walucie innej niż złoty polski. Istnieją dwa główne typy kredytów walutowych, walutowych: indeksowane oraz denominowane</w:t>
      </w:r>
      <w:r w:rsidR="00EB3F41" w:rsidRPr="00CF2507">
        <w:rPr>
          <w:rStyle w:val="Odwoanieprzypisudolnego"/>
          <w:rFonts w:cs="Times New Roman"/>
          <w:szCs w:val="24"/>
        </w:rPr>
        <w:footnoteReference w:id="3"/>
      </w:r>
      <w:r w:rsidRPr="00CF2507">
        <w:rPr>
          <w:rFonts w:cs="Times New Roman"/>
          <w:szCs w:val="24"/>
        </w:rPr>
        <w:t xml:space="preserve">. </w:t>
      </w:r>
    </w:p>
    <w:p w14:paraId="5ECC901F" w14:textId="149C377B" w:rsidR="00920BA4" w:rsidRPr="00CF2507" w:rsidRDefault="00920BA4" w:rsidP="00D80D68">
      <w:pPr>
        <w:spacing w:after="0" w:line="360" w:lineRule="auto"/>
        <w:jc w:val="both"/>
        <w:rPr>
          <w:rFonts w:cs="Times New Roman"/>
          <w:szCs w:val="24"/>
        </w:rPr>
      </w:pPr>
      <w:r w:rsidRPr="00CF2507">
        <w:rPr>
          <w:rFonts w:cs="Times New Roman"/>
          <w:szCs w:val="24"/>
        </w:rPr>
        <w:tab/>
        <w:t>Kredyt indeksowany w walucie obcej jest to kredyt dewizowy, w którym wielkość środków pieniężnych wypłacanych kredytobiorcy przez bank wyrażona jest w złotych polskich. Kwota przeliczana jest na podstawie kursu kupna waluty w dniu wypłaty kredytu. Taka procedura z perspektywy kredytobiorcy oznacza, że podczas zaciągania kredytu indeksowanego pojawia się ryzyko walutowe, ponieważ kurs waluty, w której otrzymuje on kredyt</w:t>
      </w:r>
      <w:r w:rsidR="001A67DA">
        <w:rPr>
          <w:rFonts w:cs="Times New Roman"/>
          <w:szCs w:val="24"/>
        </w:rPr>
        <w:t>,</w:t>
      </w:r>
      <w:r w:rsidRPr="00CF2507">
        <w:rPr>
          <w:rFonts w:cs="Times New Roman"/>
          <w:szCs w:val="24"/>
        </w:rPr>
        <w:t xml:space="preserve"> może różnić się od kursu z dnia podpisania umowy. Jeżeli kurs waluty</w:t>
      </w:r>
      <w:r w:rsidR="001A67DA">
        <w:rPr>
          <w:rFonts w:cs="Times New Roman"/>
          <w:szCs w:val="24"/>
        </w:rPr>
        <w:t xml:space="preserve"> kredytu</w:t>
      </w:r>
      <w:r w:rsidRPr="00CF2507">
        <w:rPr>
          <w:rFonts w:cs="Times New Roman"/>
          <w:szCs w:val="24"/>
        </w:rPr>
        <w:t xml:space="preserve"> spadnie, kredytobiorca naraża się na ryzyko, że otrzymane pieniądze okażą się niewystarczające do zrealizowania celu ustalonego w umowie kredytu, np. zakupu nieruchomości</w:t>
      </w:r>
      <w:r w:rsidRPr="00CF2507">
        <w:rPr>
          <w:rStyle w:val="Odwoanieprzypisudolnego"/>
          <w:rFonts w:cs="Times New Roman"/>
          <w:szCs w:val="24"/>
        </w:rPr>
        <w:footnoteReference w:id="4"/>
      </w:r>
      <w:r w:rsidRPr="00CF2507">
        <w:rPr>
          <w:rFonts w:cs="Times New Roman"/>
          <w:szCs w:val="24"/>
        </w:rPr>
        <w:t>. W przypadku niedostatku wypłaconych środków kredytobiorca zobowiązany jest pokryć brakują kwotę we własnym zakresie. W odwrotnym przypadku, gdy kurs walutowy ulegnie aprecjacji w stosunku do dnia podpisania umowy</w:t>
      </w:r>
      <w:r w:rsidR="001A67DA">
        <w:rPr>
          <w:rFonts w:cs="Times New Roman"/>
          <w:szCs w:val="24"/>
        </w:rPr>
        <w:t>,</w:t>
      </w:r>
      <w:r w:rsidRPr="00CF2507">
        <w:rPr>
          <w:rFonts w:cs="Times New Roman"/>
          <w:szCs w:val="24"/>
        </w:rPr>
        <w:t xml:space="preserve"> kredytobiorca otrzyma większą kwotę w porównaniu do tej, o którą ubiegał się we wniosku kredytowym. Dla dłużnika oznacza to konieczność spłaty większych odsetek. </w:t>
      </w:r>
    </w:p>
    <w:p w14:paraId="68C1D34B" w14:textId="1DC90A11" w:rsidR="00920BA4" w:rsidRPr="00CF2507" w:rsidRDefault="00920BA4" w:rsidP="00D80D68">
      <w:pPr>
        <w:spacing w:after="0" w:line="360" w:lineRule="auto"/>
        <w:jc w:val="both"/>
        <w:rPr>
          <w:rFonts w:cs="Times New Roman"/>
          <w:szCs w:val="24"/>
        </w:rPr>
      </w:pPr>
      <w:r w:rsidRPr="00CF2507">
        <w:rPr>
          <w:rFonts w:cs="Times New Roman"/>
          <w:szCs w:val="24"/>
        </w:rPr>
        <w:tab/>
        <w:t xml:space="preserve">Natomiast w przypadku kredytu denominowanego w walucie obcej wielkość wypłacanych środków pieniężnych jest ustalana w walucie obcej na podstawie kursu kupna waluty </w:t>
      </w:r>
      <w:r w:rsidRPr="00CF2507">
        <w:rPr>
          <w:rFonts w:cs="Times New Roman"/>
          <w:szCs w:val="24"/>
        </w:rPr>
        <w:lastRenderedPageBreak/>
        <w:t>w dniu, w którym obie strony podpisują umowę kredytową</w:t>
      </w:r>
      <w:r w:rsidRPr="00CF2507">
        <w:rPr>
          <w:rStyle w:val="Odwoanieprzypisudolnego"/>
          <w:rFonts w:cs="Times New Roman"/>
          <w:szCs w:val="24"/>
        </w:rPr>
        <w:footnoteReference w:id="5"/>
      </w:r>
      <w:r w:rsidRPr="00CF2507">
        <w:rPr>
          <w:rFonts w:cs="Times New Roman"/>
          <w:szCs w:val="24"/>
        </w:rPr>
        <w:t>. Zatem</w:t>
      </w:r>
      <w:r w:rsidR="001A67DA">
        <w:rPr>
          <w:rFonts w:cs="Times New Roman"/>
          <w:szCs w:val="24"/>
        </w:rPr>
        <w:t xml:space="preserve"> </w:t>
      </w:r>
      <w:r w:rsidRPr="00CF2507">
        <w:rPr>
          <w:rFonts w:cs="Times New Roman"/>
          <w:szCs w:val="24"/>
        </w:rPr>
        <w:t xml:space="preserve">podczas zaciągania kredytu denominowanego kredytobiorca również musi liczyć się z ryzykiem walutowym, związanym z aprecjacją bądź deprecjacją waluty udzielanego kredytu. Ryzyko to jest szczególnie istotne w przypadku, gdy kredyt wypłacany jest w transzach, ponieważ wahania kursu pomiędzy wypłatami kolejnych transz mogą znacząco wpłynąć na wielkość wypłacanych środków. </w:t>
      </w:r>
    </w:p>
    <w:p w14:paraId="6ED3E2DF" w14:textId="4493F5A8" w:rsidR="00920BA4" w:rsidRPr="00CF2507" w:rsidRDefault="00920BA4" w:rsidP="00D80D68">
      <w:pPr>
        <w:spacing w:after="0" w:line="360" w:lineRule="auto"/>
        <w:jc w:val="both"/>
        <w:rPr>
          <w:rFonts w:cs="Times New Roman"/>
          <w:szCs w:val="24"/>
        </w:rPr>
      </w:pPr>
      <w:r w:rsidRPr="00CF2507">
        <w:rPr>
          <w:rFonts w:cs="Times New Roman"/>
          <w:szCs w:val="24"/>
        </w:rPr>
        <w:tab/>
      </w:r>
      <w:r w:rsidR="001A67DA">
        <w:rPr>
          <w:rFonts w:cs="Times New Roman"/>
          <w:szCs w:val="24"/>
        </w:rPr>
        <w:t>K</w:t>
      </w:r>
      <w:r w:rsidRPr="00CF2507">
        <w:rPr>
          <w:rFonts w:cs="Times New Roman"/>
          <w:szCs w:val="24"/>
        </w:rPr>
        <w:t>redyt indeksowany jest stosunkowo bezpieczniejszy dla gospodarstwa domowego, ponieważ ryzyko walutowe jest relatywnie mniejsze niż w przypadku kredytu denominowanego. Kredyt denominowany natomiast stwarza</w:t>
      </w:r>
      <w:r w:rsidR="001F36FE" w:rsidRPr="00CF2507">
        <w:rPr>
          <w:rFonts w:cs="Times New Roman"/>
          <w:szCs w:val="24"/>
        </w:rPr>
        <w:t xml:space="preserve"> znacznie większe</w:t>
      </w:r>
      <w:r w:rsidRPr="00CF2507">
        <w:rPr>
          <w:rFonts w:cs="Times New Roman"/>
          <w:szCs w:val="24"/>
        </w:rPr>
        <w:t xml:space="preserve"> pole do spekulacji dla kredytobiorcy, który chce skorzystać z niższej stopy oprocentowania kredytu w walucie obcej, bądź nie udało mu się pozyskać wystarczających środków finansowych i chce uzyskać ich więcej licząc na aprecjację waluty, w której otrzyma kredyt.</w:t>
      </w:r>
    </w:p>
    <w:p w14:paraId="51B3842A" w14:textId="77777777" w:rsidR="00920BA4" w:rsidRPr="00CF2507" w:rsidRDefault="00920BA4" w:rsidP="00D80D68">
      <w:pPr>
        <w:spacing w:after="0" w:line="360" w:lineRule="auto"/>
        <w:jc w:val="both"/>
        <w:rPr>
          <w:rFonts w:cs="Times New Roman"/>
          <w:szCs w:val="24"/>
        </w:rPr>
      </w:pPr>
      <w:r w:rsidRPr="00CF2507">
        <w:rPr>
          <w:rFonts w:cs="Times New Roman"/>
          <w:szCs w:val="24"/>
        </w:rPr>
        <w:tab/>
        <w:t>Obydwa rodzaje kredytów zgodnie z prawami bankowego są oprocentowane. Jednakże, wysokość odsetek ani oprocentowania nie jest w żaden sposób regulowane przez prawo bankowe i wyłącznie w kwestii banku pozostaje ustalenie wysokości oprocentowania</w:t>
      </w:r>
      <w:r w:rsidRPr="00CF2507">
        <w:rPr>
          <w:rStyle w:val="Odwoanieprzypisudolnego"/>
          <w:rFonts w:cs="Times New Roman"/>
          <w:szCs w:val="24"/>
        </w:rPr>
        <w:footnoteReference w:id="6"/>
      </w:r>
      <w:r w:rsidRPr="00CF2507">
        <w:rPr>
          <w:rFonts w:cs="Times New Roman"/>
          <w:szCs w:val="24"/>
        </w:rPr>
        <w:t>. Na wysokość oprocentowania ustalanego przez bank składa się marża, oraz stawka referencyjna.</w:t>
      </w:r>
    </w:p>
    <w:p w14:paraId="0FC2EDA8" w14:textId="1D050E7C" w:rsidR="00643242" w:rsidRPr="00CF2507" w:rsidRDefault="00920BA4" w:rsidP="00D80D68">
      <w:pPr>
        <w:spacing w:after="0" w:line="360" w:lineRule="auto"/>
        <w:jc w:val="both"/>
        <w:rPr>
          <w:rFonts w:cs="Times New Roman"/>
          <w:szCs w:val="24"/>
        </w:rPr>
      </w:pPr>
      <w:r w:rsidRPr="00CF2507">
        <w:rPr>
          <w:rFonts w:cs="Times New Roman"/>
          <w:szCs w:val="24"/>
        </w:rPr>
        <w:tab/>
        <w:t>Marża kredytowa to składowy parametr oprocentowania kredytu w skali roku. Jest to wyznacznik przedstawiający wartość pieniędzy zarobionych przez bank dzięki ud</w:t>
      </w:r>
      <w:r w:rsidR="00F67DF8" w:rsidRPr="00CF2507">
        <w:rPr>
          <w:rFonts w:cs="Times New Roman"/>
          <w:szCs w:val="24"/>
        </w:rPr>
        <w:t>zieleniu kredytu. Wysokość marż</w:t>
      </w:r>
      <w:r w:rsidRPr="00CF2507">
        <w:rPr>
          <w:rFonts w:cs="Times New Roman"/>
          <w:szCs w:val="24"/>
        </w:rPr>
        <w:t xml:space="preserve"> ustalanych przez bank</w:t>
      </w:r>
      <w:r w:rsidR="00131325" w:rsidRPr="00CF2507">
        <w:rPr>
          <w:rFonts w:cs="Times New Roman"/>
          <w:szCs w:val="24"/>
        </w:rPr>
        <w:t>i różni się i zależy w głównej m</w:t>
      </w:r>
      <w:r w:rsidRPr="00CF2507">
        <w:rPr>
          <w:rFonts w:cs="Times New Roman"/>
          <w:szCs w:val="24"/>
        </w:rPr>
        <w:t>ierze od wyznacz</w:t>
      </w:r>
      <w:r w:rsidR="009553D8">
        <w:rPr>
          <w:rFonts w:cs="Times New Roman"/>
          <w:szCs w:val="24"/>
        </w:rPr>
        <w:t>o</w:t>
      </w:r>
      <w:r w:rsidRPr="00CF2507">
        <w:rPr>
          <w:rFonts w:cs="Times New Roman"/>
          <w:szCs w:val="24"/>
        </w:rPr>
        <w:t>nej polityki udzielania kredytów. Do głównych kryteriów analizowanych przez banki podczas wyznaczania marży należą m.in. kwota kredytu, współczynnik LTV</w:t>
      </w:r>
      <w:r w:rsidRPr="00CF2507">
        <w:rPr>
          <w:rStyle w:val="Odwoanieprzypisudolnego"/>
          <w:rFonts w:cs="Times New Roman"/>
          <w:szCs w:val="24"/>
        </w:rPr>
        <w:footnoteReference w:id="7"/>
      </w:r>
      <w:r w:rsidRPr="00CF2507">
        <w:rPr>
          <w:rFonts w:cs="Times New Roman"/>
          <w:szCs w:val="24"/>
        </w:rPr>
        <w:t>, okres kredytowania. Marża kredytu może zostać zmieniona jedynie na mocy porozumienia obydwu stron umowy kredytu. Marża kredytowa, co istotne dla kredytobiorcy może być negocjowana przed udzieleniem kredytu, jak i renegocjo</w:t>
      </w:r>
      <w:r w:rsidR="00AF2F48" w:rsidRPr="00CF2507">
        <w:rPr>
          <w:rFonts w:cs="Times New Roman"/>
          <w:szCs w:val="24"/>
        </w:rPr>
        <w:t xml:space="preserve">wana podczas spłacania długu. </w:t>
      </w:r>
      <w:r w:rsidR="00AF2F48" w:rsidRPr="00CF2507">
        <w:rPr>
          <w:rFonts w:cs="Times New Roman"/>
          <w:szCs w:val="24"/>
        </w:rPr>
        <w:tab/>
      </w:r>
    </w:p>
    <w:p w14:paraId="7453D575" w14:textId="1048A595" w:rsidR="00920BA4" w:rsidRPr="00CF2507" w:rsidRDefault="00643242" w:rsidP="00D80D68">
      <w:pPr>
        <w:spacing w:after="0" w:line="360" w:lineRule="auto"/>
        <w:ind w:firstLine="708"/>
        <w:jc w:val="both"/>
        <w:rPr>
          <w:rFonts w:cs="Times New Roman"/>
          <w:szCs w:val="24"/>
        </w:rPr>
      </w:pPr>
      <w:r w:rsidRPr="00CF2507">
        <w:rPr>
          <w:rFonts w:cs="Times New Roman"/>
          <w:szCs w:val="24"/>
        </w:rPr>
        <w:t>Stop</w:t>
      </w:r>
      <w:r w:rsidR="000C57F4">
        <w:rPr>
          <w:rFonts w:cs="Times New Roman"/>
          <w:szCs w:val="24"/>
        </w:rPr>
        <w:t xml:space="preserve">a oprocentowania kredytu zazwyczaj jest wyznaczana w oparciu o indeksy określające </w:t>
      </w:r>
      <w:r w:rsidR="00920BA4" w:rsidRPr="00CF2507">
        <w:rPr>
          <w:rFonts w:cs="Times New Roman"/>
          <w:szCs w:val="24"/>
        </w:rPr>
        <w:t xml:space="preserve">średni koszt pieniądza, jaki jest pożyczony przez banki innym bankom. </w:t>
      </w:r>
      <w:r w:rsidRPr="00CF2507">
        <w:rPr>
          <w:rFonts w:cs="Times New Roman"/>
          <w:szCs w:val="24"/>
        </w:rPr>
        <w:t>Stopy</w:t>
      </w:r>
      <w:r w:rsidR="00920BA4" w:rsidRPr="00CF2507">
        <w:rPr>
          <w:rFonts w:cs="Times New Roman"/>
          <w:szCs w:val="24"/>
        </w:rPr>
        <w:t xml:space="preserve"> różnią się w zależności od waluty, a także od okresu, na jak</w:t>
      </w:r>
      <w:r w:rsidRPr="00CF2507">
        <w:rPr>
          <w:rFonts w:cs="Times New Roman"/>
          <w:szCs w:val="24"/>
        </w:rPr>
        <w:t xml:space="preserve">i pożyczane są pieniądze. </w:t>
      </w:r>
      <w:r w:rsidR="00EB569C">
        <w:rPr>
          <w:rFonts w:cs="Times New Roman"/>
          <w:szCs w:val="24"/>
        </w:rPr>
        <w:t>Stopa oprocentowanie</w:t>
      </w:r>
      <w:r w:rsidR="00DF0516">
        <w:rPr>
          <w:rFonts w:cs="Times New Roman"/>
          <w:szCs w:val="24"/>
        </w:rPr>
        <w:t xml:space="preserve"> zwykle</w:t>
      </w:r>
      <w:r w:rsidR="00920BA4" w:rsidRPr="00CF2507">
        <w:rPr>
          <w:rFonts w:cs="Times New Roman"/>
          <w:szCs w:val="24"/>
        </w:rPr>
        <w:t xml:space="preserve"> jest wyznaczana jako średnia arytmetyczna oprocentowania kredytów ustalanych przez banki, po odrzuceniu pojedynczych wartości skrajnych, które bezpodstawnie mogłyby zaburzać wynik stawki. W Polsce najważniejszym miernikiem oprocentowania kredy</w:t>
      </w:r>
      <w:r w:rsidR="00920BA4" w:rsidRPr="00CF2507">
        <w:rPr>
          <w:rFonts w:cs="Times New Roman"/>
          <w:szCs w:val="24"/>
        </w:rPr>
        <w:lastRenderedPageBreak/>
        <w:t>tów jest stawka WIBOR, czyli benchmark średnich wartości op</w:t>
      </w:r>
      <w:r w:rsidR="006960A5" w:rsidRPr="00CF2507">
        <w:rPr>
          <w:rFonts w:cs="Times New Roman"/>
          <w:szCs w:val="24"/>
        </w:rPr>
        <w:t>rocentowania kredytów udzielanych sobie nawzajem</w:t>
      </w:r>
      <w:r w:rsidR="00920BA4" w:rsidRPr="00CF2507">
        <w:rPr>
          <w:rFonts w:cs="Times New Roman"/>
          <w:szCs w:val="24"/>
        </w:rPr>
        <w:t xml:space="preserve"> przez największe banki w Polsce</w:t>
      </w:r>
      <w:r w:rsidR="00920BA4" w:rsidRPr="00CF2507">
        <w:rPr>
          <w:rStyle w:val="Odwoanieprzypisudolnego"/>
          <w:rFonts w:cs="Times New Roman"/>
          <w:szCs w:val="24"/>
        </w:rPr>
        <w:footnoteReference w:id="8"/>
      </w:r>
      <w:r w:rsidR="00920BA4" w:rsidRPr="00CF2507">
        <w:rPr>
          <w:rFonts w:cs="Times New Roman"/>
          <w:szCs w:val="24"/>
        </w:rPr>
        <w:t xml:space="preserve">. WIBOR jest podstawowym składnikiem ustalania oprocentowania dla zdecydowanej części kredytów w PLN sprzedawanych przez banki działające w Polsce, w tym także dla gospodarstw domowych, które są głównym tematem poruszonym w pracy. Stawki referencyjne oprocentowania kredytów dewizowych są jednak określane nie przez WIBOR, ale inne </w:t>
      </w:r>
      <w:r w:rsidR="00F851C0">
        <w:rPr>
          <w:rFonts w:cs="Times New Roman"/>
          <w:szCs w:val="24"/>
        </w:rPr>
        <w:t>indeksy</w:t>
      </w:r>
      <w:r w:rsidR="00920BA4" w:rsidRPr="00CF2507">
        <w:rPr>
          <w:rFonts w:cs="Times New Roman"/>
          <w:szCs w:val="24"/>
        </w:rPr>
        <w:t>, z czego najważniejszymi są EURIBOR (benchmark średniej wysokości oprocentowania kredytów udzielanych przez banki w strefie euro</w:t>
      </w:r>
      <w:r w:rsidR="00920BA4" w:rsidRPr="00CF2507">
        <w:rPr>
          <w:rStyle w:val="Odwoanieprzypisudolnego"/>
          <w:rFonts w:cs="Times New Roman"/>
          <w:szCs w:val="24"/>
        </w:rPr>
        <w:footnoteReference w:id="9"/>
      </w:r>
      <w:r w:rsidR="00920BA4" w:rsidRPr="00CF2507">
        <w:rPr>
          <w:rFonts w:cs="Times New Roman"/>
          <w:szCs w:val="24"/>
        </w:rPr>
        <w:t>), dla kredytów dewizowych udzielanych w EUR, oraz LIBOR (benchmark średniej wysokości oprocentowania kredytów udzielanych na rynku międzybankowym w Londynie</w:t>
      </w:r>
      <w:r w:rsidR="00920BA4" w:rsidRPr="00CF2507">
        <w:rPr>
          <w:rStyle w:val="Odwoanieprzypisudolnego"/>
          <w:rFonts w:cs="Times New Roman"/>
          <w:szCs w:val="24"/>
        </w:rPr>
        <w:footnoteReference w:id="10"/>
      </w:r>
      <w:r w:rsidR="00920BA4" w:rsidRPr="00CF2507">
        <w:rPr>
          <w:rFonts w:cs="Times New Roman"/>
          <w:szCs w:val="24"/>
        </w:rPr>
        <w:t>). Stawki LIBOR wyznaczane są dla USD, EUR, CHF, GBP, JPY na okresy pożyczkowe od 1 dnia do roku. Dla całości pracy najważniejszą stawką jest LIBOR</w:t>
      </w:r>
      <w:r w:rsidR="009E1BE1" w:rsidRPr="00CF2507">
        <w:rPr>
          <w:rFonts w:cs="Times New Roman"/>
          <w:szCs w:val="24"/>
        </w:rPr>
        <w:t xml:space="preserve"> CHF</w:t>
      </w:r>
      <w:r w:rsidR="00D71F3A" w:rsidRPr="00CF2507">
        <w:rPr>
          <w:rFonts w:cs="Times New Roman"/>
          <w:szCs w:val="24"/>
        </w:rPr>
        <w:t xml:space="preserve"> 3M, wyznaczany</w:t>
      </w:r>
      <w:r w:rsidR="00920BA4" w:rsidRPr="00CF2507">
        <w:rPr>
          <w:rFonts w:cs="Times New Roman"/>
          <w:szCs w:val="24"/>
        </w:rPr>
        <w:t xml:space="preserve"> jako średnie oprocentowanie kredytów udzielanych we franku szwajcarskim na okres 3 miesięcy na londyńskim rynku międzybankowym. Stawkę tę autor przyjmuje za kluczową, ponieważ na jej podstawie wyznaczane jest m.in. oprocentowanie kredytów w CHF</w:t>
      </w:r>
      <w:r w:rsidR="004D3D4D">
        <w:rPr>
          <w:rFonts w:cs="Times New Roman"/>
          <w:szCs w:val="24"/>
        </w:rPr>
        <w:t>. K</w:t>
      </w:r>
      <w:r w:rsidR="00920BA4" w:rsidRPr="00CF2507">
        <w:rPr>
          <w:rFonts w:cs="Times New Roman"/>
          <w:szCs w:val="24"/>
        </w:rPr>
        <w:t>redyty</w:t>
      </w:r>
      <w:r w:rsidR="00F20F8F">
        <w:rPr>
          <w:rFonts w:cs="Times New Roman"/>
          <w:szCs w:val="24"/>
        </w:rPr>
        <w:t xml:space="preserve"> udzielone</w:t>
      </w:r>
      <w:r w:rsidR="00920BA4" w:rsidRPr="00CF2507">
        <w:rPr>
          <w:rFonts w:cs="Times New Roman"/>
          <w:szCs w:val="24"/>
        </w:rPr>
        <w:t xml:space="preserve"> w</w:t>
      </w:r>
      <w:r w:rsidR="0028532D">
        <w:rPr>
          <w:rFonts w:cs="Times New Roman"/>
          <w:szCs w:val="24"/>
        </w:rPr>
        <w:t xml:space="preserve"> CHF</w:t>
      </w:r>
      <w:r w:rsidR="00920BA4" w:rsidRPr="00CF2507">
        <w:rPr>
          <w:rFonts w:cs="Times New Roman"/>
          <w:szCs w:val="24"/>
        </w:rPr>
        <w:t xml:space="preserve"> stanowią największy udział w kredytach dewizowych w portfelach banków (średnio 13% wszystkich kredytów i pożyczek w 2017</w:t>
      </w:r>
      <w:r w:rsidR="006C3F8C">
        <w:rPr>
          <w:rFonts w:cs="Times New Roman"/>
          <w:szCs w:val="24"/>
        </w:rPr>
        <w:t xml:space="preserve"> </w:t>
      </w:r>
      <w:r w:rsidR="00920BA4" w:rsidRPr="00CF2507">
        <w:rPr>
          <w:rFonts w:cs="Times New Roman"/>
          <w:szCs w:val="24"/>
        </w:rPr>
        <w:t>r.</w:t>
      </w:r>
      <w:r w:rsidR="00920BA4" w:rsidRPr="00CF2507">
        <w:rPr>
          <w:rStyle w:val="Odwoanieprzypisudolnego"/>
          <w:rFonts w:cs="Times New Roman"/>
          <w:szCs w:val="24"/>
        </w:rPr>
        <w:footnoteReference w:id="11"/>
      </w:r>
      <w:r w:rsidR="00920BA4" w:rsidRPr="00CF2507">
        <w:rPr>
          <w:rFonts w:cs="Times New Roman"/>
          <w:szCs w:val="24"/>
        </w:rPr>
        <w:t xml:space="preserve">). Stawki referencyjne w odróżnieniu od marży nie mogą być w żaden sposób negocjowane przez kredytobiorców. </w:t>
      </w:r>
    </w:p>
    <w:p w14:paraId="2CFE2041" w14:textId="517B8067" w:rsidR="00920BA4" w:rsidRDefault="00920BA4" w:rsidP="00D80D68">
      <w:pPr>
        <w:spacing w:after="0" w:line="360" w:lineRule="auto"/>
        <w:jc w:val="both"/>
        <w:rPr>
          <w:rFonts w:cs="Times New Roman"/>
          <w:szCs w:val="24"/>
        </w:rPr>
      </w:pPr>
      <w:r w:rsidRPr="00CF2507">
        <w:rPr>
          <w:rFonts w:cs="Times New Roman"/>
          <w:szCs w:val="24"/>
        </w:rPr>
        <w:tab/>
        <w:t>Różnice pomiędzy stawkami oprocentowania kredytów przekładają się bezpośrednio na koszt kredytu. W zależności od waluty są one różne. Różnice te stanowią podstawę dla kredytobiorcy do spekulacji i poszukiwania możliwie najkorzystniejszego rozwiązania pozyskania finansowania. Możliwo</w:t>
      </w:r>
      <w:r w:rsidR="00D37D4C" w:rsidRPr="00CF2507">
        <w:rPr>
          <w:rFonts w:cs="Times New Roman"/>
          <w:szCs w:val="24"/>
        </w:rPr>
        <w:t>ść pozyskania tańszego pieniądza</w:t>
      </w:r>
      <w:r w:rsidRPr="00CF2507">
        <w:rPr>
          <w:rFonts w:cs="Times New Roman"/>
          <w:szCs w:val="24"/>
        </w:rPr>
        <w:t xml:space="preserve"> dzięki kredytom dewizowym, zamiast złotowym stanowiła przed wprowadzeniem stosownych regulacji główną przyczynę atrakcyjności kredytów walutowych. Są one jednak obarczone ryzykiem walutowym, ponieważ kredytobiorca nie może być pewien wartości całkowitej kwoty do spłaty. Mianowicie, deprecjacja krajowej lub aprecjacja zagranicznej waluty, w której zaciągany jest kredyt wpływa na wysokość</w:t>
      </w:r>
      <w:r w:rsidR="00BE01FA" w:rsidRPr="00CF2507">
        <w:rPr>
          <w:rFonts w:cs="Times New Roman"/>
          <w:szCs w:val="24"/>
        </w:rPr>
        <w:t xml:space="preserve"> kwoty kapitału, oraz</w:t>
      </w:r>
      <w:r w:rsidRPr="00CF2507">
        <w:rPr>
          <w:rFonts w:cs="Times New Roman"/>
          <w:szCs w:val="24"/>
        </w:rPr>
        <w:t xml:space="preserve"> odsetek, które należy oddać z powrotem bankowi. Ryzyko walutowe może stanowić zagrożenie zarówno dla kredytobiorcy, jak i banku udzielającego kredyt. </w:t>
      </w:r>
    </w:p>
    <w:p w14:paraId="02C833E8" w14:textId="77777777" w:rsidR="00AE75C6" w:rsidRPr="00CF2507" w:rsidRDefault="00AE75C6" w:rsidP="00D80D68">
      <w:pPr>
        <w:spacing w:after="0" w:line="360" w:lineRule="auto"/>
        <w:jc w:val="both"/>
        <w:rPr>
          <w:rFonts w:cs="Times New Roman"/>
          <w:szCs w:val="24"/>
        </w:rPr>
      </w:pPr>
    </w:p>
    <w:p w14:paraId="69D0BB78" w14:textId="41A9831A" w:rsidR="00920BA4" w:rsidRPr="00CF2507" w:rsidRDefault="00920BA4" w:rsidP="00D80D68">
      <w:pPr>
        <w:pStyle w:val="Nagwek2"/>
        <w:spacing w:line="360" w:lineRule="auto"/>
        <w:jc w:val="both"/>
      </w:pPr>
      <w:bookmarkStart w:id="5" w:name="_Toc513545743"/>
      <w:r w:rsidRPr="00CF2507">
        <w:lastRenderedPageBreak/>
        <w:t>I.2 Pojęcie ryzyka walutowego</w:t>
      </w:r>
      <w:r w:rsidR="00A24377">
        <w:t>.</w:t>
      </w:r>
      <w:bookmarkEnd w:id="5"/>
    </w:p>
    <w:p w14:paraId="07B4E541" w14:textId="77777777" w:rsidR="00920BA4" w:rsidRPr="00CF2507" w:rsidRDefault="00920BA4" w:rsidP="00D80D68">
      <w:pPr>
        <w:spacing w:after="0" w:line="360" w:lineRule="auto"/>
        <w:jc w:val="both"/>
        <w:rPr>
          <w:rFonts w:cs="Times New Roman"/>
          <w:szCs w:val="24"/>
        </w:rPr>
      </w:pPr>
      <w:r w:rsidRPr="00CF2507">
        <w:rPr>
          <w:rFonts w:cs="Times New Roman"/>
          <w:szCs w:val="24"/>
        </w:rPr>
        <w:tab/>
        <w:t>Ryzyko walutowe, inaczej nazywane także ryzykiem kursowym to ryzyko spowodowane wahaniami kursu waluty w stosunku do innej waluty. W zależności od kierunku wahań może ono pogorszyć, bądź poprawić sytuację finansową podmiotu, który jest bezpośrednio objęty ryzykiem kursowym. Źródłem ryzyka jest fakt, że zaangażowany podmiot nie ma możliwości dokładnego przewidzenia zarówno kierunku, jak i skali wahań kursu walut</w:t>
      </w:r>
      <w:r w:rsidRPr="00CF2507">
        <w:rPr>
          <w:rStyle w:val="Odwoanieprzypisudolnego"/>
          <w:rFonts w:cs="Times New Roman"/>
          <w:szCs w:val="24"/>
        </w:rPr>
        <w:footnoteReference w:id="12"/>
      </w:r>
      <w:r w:rsidRPr="00CF2507">
        <w:rPr>
          <w:rFonts w:cs="Times New Roman"/>
          <w:szCs w:val="24"/>
        </w:rPr>
        <w:t>. Z perspektywy kredytobiorcy problem wynika z braku możliwości ustalenia wahań kursu waluty zagranicznej, w której otrzymał kredyt do waluty, w której otrzymuje dochody niezbędne do spłaty rat i odsetek. Co więcej, kredytobiorca nie ma praktycznie żadnego wpływu na wahania, jest to ryzyko całkowicie zewnętrzne</w:t>
      </w:r>
      <w:r w:rsidRPr="00CF2507">
        <w:rPr>
          <w:rStyle w:val="Odwoanieprzypisudolnego"/>
          <w:rFonts w:cs="Times New Roman"/>
          <w:szCs w:val="24"/>
        </w:rPr>
        <w:footnoteReference w:id="13"/>
      </w:r>
      <w:r w:rsidRPr="00CF2507">
        <w:rPr>
          <w:rFonts w:cs="Times New Roman"/>
          <w:szCs w:val="24"/>
        </w:rPr>
        <w:t>. Ryzyko walutowe jest szczególnie wysokie w długim okresie, a zobowiązanie z tytułu kredytu hipotecznego z reguły jest zobowiązaniem długoterminowym</w:t>
      </w:r>
      <w:r w:rsidRPr="00CF2507">
        <w:rPr>
          <w:rStyle w:val="Odwoanieprzypisudolnego"/>
          <w:rFonts w:cs="Times New Roman"/>
          <w:szCs w:val="24"/>
        </w:rPr>
        <w:footnoteReference w:id="14"/>
      </w:r>
      <w:r w:rsidRPr="00CF2507">
        <w:rPr>
          <w:rFonts w:cs="Times New Roman"/>
          <w:szCs w:val="24"/>
        </w:rPr>
        <w:t>.</w:t>
      </w:r>
    </w:p>
    <w:p w14:paraId="41CBAF5A" w14:textId="39D12260" w:rsidR="00920BA4" w:rsidRPr="00CF2507" w:rsidRDefault="00920BA4" w:rsidP="00D80D68">
      <w:pPr>
        <w:spacing w:after="0" w:line="360" w:lineRule="auto"/>
        <w:jc w:val="both"/>
        <w:rPr>
          <w:rFonts w:cs="Times New Roman"/>
          <w:szCs w:val="24"/>
        </w:rPr>
      </w:pPr>
      <w:r w:rsidRPr="00CF2507">
        <w:rPr>
          <w:rFonts w:cs="Times New Roman"/>
          <w:szCs w:val="24"/>
        </w:rPr>
        <w:tab/>
        <w:t>Z punktu widzenia kredytobiorcy ryzyko walutowe</w:t>
      </w:r>
      <w:r w:rsidR="001A1F4D">
        <w:rPr>
          <w:rFonts w:cs="Times New Roman"/>
          <w:szCs w:val="24"/>
        </w:rPr>
        <w:t xml:space="preserve"> może pogorszyć</w:t>
      </w:r>
      <w:r w:rsidRPr="00CF2507">
        <w:rPr>
          <w:rFonts w:cs="Times New Roman"/>
          <w:szCs w:val="24"/>
        </w:rPr>
        <w:t xml:space="preserve"> pogorszenia sytuacj</w:t>
      </w:r>
      <w:r w:rsidR="001A1F4D">
        <w:rPr>
          <w:rFonts w:cs="Times New Roman"/>
          <w:szCs w:val="24"/>
        </w:rPr>
        <w:t>ę</w:t>
      </w:r>
      <w:r w:rsidRPr="00CF2507">
        <w:rPr>
          <w:rFonts w:cs="Times New Roman"/>
          <w:szCs w:val="24"/>
        </w:rPr>
        <w:t xml:space="preserve"> finansow</w:t>
      </w:r>
      <w:r w:rsidR="001A1F4D">
        <w:rPr>
          <w:rFonts w:cs="Times New Roman"/>
          <w:szCs w:val="24"/>
        </w:rPr>
        <w:t>ą</w:t>
      </w:r>
      <w:r w:rsidRPr="00CF2507">
        <w:rPr>
          <w:rFonts w:cs="Times New Roman"/>
          <w:szCs w:val="24"/>
        </w:rPr>
        <w:t xml:space="preserve"> spowodowane niekorzystnymi wahaniami kursu waluty kredytu. Taki scenariusz ma miejsce w przypadku aprecjacji tejże waluty, gdy dłużnik jest zobowiązany do spłaty odp</w:t>
      </w:r>
      <w:r w:rsidR="00AC6A60" w:rsidRPr="00CF2507">
        <w:rPr>
          <w:rFonts w:cs="Times New Roman"/>
          <w:szCs w:val="24"/>
        </w:rPr>
        <w:t>owiednio większych rat</w:t>
      </w:r>
      <w:r w:rsidRPr="00CF2507">
        <w:rPr>
          <w:rFonts w:cs="Times New Roman"/>
          <w:szCs w:val="24"/>
        </w:rPr>
        <w:t>, co w przypadku przekroczenia jego zdolności kredytowej może skutkować zmniejszeniem zdolności regulacji zobowiązań. Taki scenariusz może doprowadzić do nieterminowego bądź niepełnego spłacania kredytu, co w dalszej kolejności może skutkować rozwiązaniem umowy kredytowej przez bank i rozpoczęciem egzekucji komorniczej długu, co w najgorszym scenariuszu może nawet doprowadzić do utraty zabezpieczenia kredytu, czyli nieruchomości. Natomiast w przypadku deprecjacji waluty kredytu</w:t>
      </w:r>
      <w:r w:rsidR="001C40F5">
        <w:rPr>
          <w:rFonts w:cs="Times New Roman"/>
          <w:szCs w:val="24"/>
        </w:rPr>
        <w:t xml:space="preserve"> </w:t>
      </w:r>
      <w:r w:rsidRPr="00CF2507">
        <w:rPr>
          <w:rFonts w:cs="Times New Roman"/>
          <w:szCs w:val="24"/>
        </w:rPr>
        <w:t xml:space="preserve">dłużnik korzysta </w:t>
      </w:r>
      <w:r w:rsidR="001C40F5">
        <w:rPr>
          <w:rFonts w:cs="Times New Roman"/>
          <w:szCs w:val="24"/>
        </w:rPr>
        <w:t>ze spadku</w:t>
      </w:r>
      <w:r w:rsidRPr="00CF2507">
        <w:rPr>
          <w:rFonts w:cs="Times New Roman"/>
          <w:szCs w:val="24"/>
        </w:rPr>
        <w:t xml:space="preserve"> kursu, ponieważ spłacane przez niego raty kapitałowe i odsetki są odpowiednio mniejsze, co oznacza pozyskanie tańszego finansowania. Zatem, wahania kursu mogą mieć zarówno pozytywne, jak i negatywne konsekwencje dla kredytobiorcy. </w:t>
      </w:r>
    </w:p>
    <w:p w14:paraId="1D47D10F" w14:textId="65A63AD3" w:rsidR="00481DB0" w:rsidRDefault="00920BA4" w:rsidP="00D80D68">
      <w:pPr>
        <w:spacing w:after="0" w:line="360" w:lineRule="auto"/>
        <w:ind w:firstLine="708"/>
        <w:jc w:val="both"/>
        <w:rPr>
          <w:rFonts w:cs="Times New Roman"/>
          <w:szCs w:val="24"/>
        </w:rPr>
      </w:pPr>
      <w:r w:rsidRPr="00CF2507">
        <w:rPr>
          <w:rFonts w:cs="Times New Roman"/>
          <w:szCs w:val="24"/>
        </w:rPr>
        <w:t>Z punktu widzenia banku ryzyko walutowe to zagrożenie pogorszenia wyniku finansowego spowodowane ni</w:t>
      </w:r>
      <w:r w:rsidR="008D3979" w:rsidRPr="00CF2507">
        <w:rPr>
          <w:rFonts w:cs="Times New Roman"/>
          <w:szCs w:val="24"/>
        </w:rPr>
        <w:t>ekorzystnymi</w:t>
      </w:r>
      <w:r w:rsidRPr="00CF2507">
        <w:rPr>
          <w:rFonts w:cs="Times New Roman"/>
          <w:szCs w:val="24"/>
        </w:rPr>
        <w:t xml:space="preserve"> wahaniami kursów walutowych na rynku międzynarodowym. Największe znaczenie ma tutaj kurs między walutą krajową i zagraniczną. Ryzyko kursowe w kontekście kredytów dewizowych pojawia się w momencie, gdy dłużnicy nie są w stanie terminowo, bądź w całości spłacać rat kredytów dewizowych, które zostały im udzielone przez bank. To powoduje zmniejszenie wielkości wpływu oczekiwanych strumieni pie</w:t>
      </w:r>
      <w:r w:rsidRPr="00CF2507">
        <w:rPr>
          <w:rFonts w:cs="Times New Roman"/>
          <w:szCs w:val="24"/>
        </w:rPr>
        <w:lastRenderedPageBreak/>
        <w:t>niężnych, lub opóźnienie ich wpływu do banku</w:t>
      </w:r>
      <w:r w:rsidRPr="00CF2507">
        <w:rPr>
          <w:rStyle w:val="Odwoanieprzypisudolnego"/>
          <w:rFonts w:cs="Times New Roman"/>
          <w:szCs w:val="24"/>
        </w:rPr>
        <w:footnoteReference w:id="15"/>
      </w:r>
      <w:r w:rsidRPr="00CF2507">
        <w:rPr>
          <w:rFonts w:cs="Times New Roman"/>
          <w:szCs w:val="24"/>
        </w:rPr>
        <w:t xml:space="preserve">. Taka sytuacja może wystąpić, gdy waluty </w:t>
      </w:r>
      <w:r w:rsidR="00437CC2">
        <w:rPr>
          <w:rFonts w:cs="Times New Roman"/>
          <w:szCs w:val="24"/>
        </w:rPr>
        <w:t>udzielonych</w:t>
      </w:r>
      <w:r w:rsidRPr="00CF2507">
        <w:rPr>
          <w:rFonts w:cs="Times New Roman"/>
          <w:szCs w:val="24"/>
        </w:rPr>
        <w:t xml:space="preserve"> kredytów ule</w:t>
      </w:r>
      <w:r w:rsidR="0047138F" w:rsidRPr="00CF2507">
        <w:rPr>
          <w:rFonts w:cs="Times New Roman"/>
          <w:szCs w:val="24"/>
        </w:rPr>
        <w:t>gają aprecjacji i wysokość obsługiwanych rat</w:t>
      </w:r>
      <w:r w:rsidRPr="00CF2507">
        <w:rPr>
          <w:rFonts w:cs="Times New Roman"/>
          <w:szCs w:val="24"/>
        </w:rPr>
        <w:t xml:space="preserve"> wzrasta ponad możliwości finansowe kredytobiorców. Ryzyko walutowe jest jednym z elementów, które wpływają na ryzyko kredytowe i wpływa na zagrożenie zmniejszenia wygenerowanych zysków, a w skrajnych wypadkach może nawet spowodować wystąpienie straty. To z kolei może zagrozić płynności banku, a co za tym idzie stworzyć niebezpieczeństwo nieterminowego, lub niepełnego regulowania zobowiązań przez bank. Ryzykiem kursowym nie są objęte jedynie kredyty, ale także pozostałe pozycje walutowe, jak np. depozyty, papiery wartościowe, czy inwestycje w dewizach. Ryzyko walutowe, mimo, że stanowi jeden z głównym elementów działalności bankowej w nadmiernym stopniu jest wysoce niepożądane przez banki, jak i przez instytucje nadzoru finansowe. Dlatego banki i nadzór finansowy ograniczają i kontrolują ryzyko walutowe, m.in. poprzez analizę wypłacalności kredytobiorcy przed </w:t>
      </w:r>
      <w:r w:rsidR="00D50F92">
        <w:rPr>
          <w:rFonts w:cs="Times New Roman"/>
          <w:szCs w:val="24"/>
        </w:rPr>
        <w:t>udzieleniem</w:t>
      </w:r>
      <w:r w:rsidRPr="00CF2507">
        <w:rPr>
          <w:rFonts w:cs="Times New Roman"/>
          <w:szCs w:val="24"/>
        </w:rPr>
        <w:t xml:space="preserve"> kredytu, ubezpieczenie ryzyka walutowego, zabezpieczenie przy użyciu instrumentów pochodnych i ustalenie limitów koncentracji zaangażowa</w:t>
      </w:r>
      <w:r w:rsidR="008B2C4F">
        <w:rPr>
          <w:rFonts w:cs="Times New Roman"/>
          <w:szCs w:val="24"/>
        </w:rPr>
        <w:t>nia</w:t>
      </w:r>
      <w:r w:rsidRPr="00CF2507">
        <w:rPr>
          <w:rStyle w:val="Odwoanieprzypisudolnego"/>
          <w:rFonts w:cs="Times New Roman"/>
          <w:szCs w:val="24"/>
        </w:rPr>
        <w:footnoteReference w:id="16"/>
      </w:r>
      <w:r w:rsidRPr="00CF2507">
        <w:rPr>
          <w:rFonts w:cs="Times New Roman"/>
          <w:szCs w:val="24"/>
        </w:rPr>
        <w:t>.</w:t>
      </w:r>
    </w:p>
    <w:p w14:paraId="3559178A" w14:textId="77777777" w:rsidR="008E6269" w:rsidRPr="00CF2507" w:rsidRDefault="008E6269" w:rsidP="00D80D68">
      <w:pPr>
        <w:spacing w:after="0" w:line="360" w:lineRule="auto"/>
        <w:ind w:firstLine="708"/>
        <w:jc w:val="both"/>
        <w:rPr>
          <w:rFonts w:cs="Times New Roman"/>
          <w:szCs w:val="24"/>
        </w:rPr>
      </w:pPr>
    </w:p>
    <w:p w14:paraId="763A0294" w14:textId="7155C6AF" w:rsidR="00920BA4" w:rsidRPr="00CF2507" w:rsidRDefault="00920BA4" w:rsidP="00D80D68">
      <w:pPr>
        <w:pStyle w:val="Nagwek2"/>
        <w:spacing w:line="360" w:lineRule="auto"/>
        <w:jc w:val="both"/>
      </w:pPr>
      <w:bookmarkStart w:id="6" w:name="_Toc513545744"/>
      <w:r w:rsidRPr="00CF2507">
        <w:t>I.3 Geneza kredytów walutowych w Polsce</w:t>
      </w:r>
      <w:r w:rsidR="00A24377">
        <w:t>.</w:t>
      </w:r>
      <w:bookmarkEnd w:id="6"/>
    </w:p>
    <w:p w14:paraId="741E3246" w14:textId="32E5913B" w:rsidR="00920BA4" w:rsidRPr="00CF2507" w:rsidRDefault="00920BA4" w:rsidP="00D80D68">
      <w:pPr>
        <w:spacing w:after="0" w:line="360" w:lineRule="auto"/>
        <w:ind w:firstLine="708"/>
        <w:jc w:val="both"/>
        <w:rPr>
          <w:rFonts w:cs="Times New Roman"/>
          <w:szCs w:val="24"/>
        </w:rPr>
      </w:pPr>
      <w:r w:rsidRPr="00CF2507">
        <w:rPr>
          <w:rFonts w:cs="Times New Roman"/>
          <w:szCs w:val="24"/>
        </w:rPr>
        <w:t>Wydarzeniem, które zap</w:t>
      </w:r>
      <w:r w:rsidR="000A4D00" w:rsidRPr="00CF2507">
        <w:rPr>
          <w:rFonts w:cs="Times New Roman"/>
          <w:szCs w:val="24"/>
        </w:rPr>
        <w:t>oczątkowało możliwość udzielania</w:t>
      </w:r>
      <w:r w:rsidRPr="00CF2507">
        <w:rPr>
          <w:rFonts w:cs="Times New Roman"/>
          <w:szCs w:val="24"/>
        </w:rPr>
        <w:t xml:space="preserve"> przez banki kredytów denominowanych w walutach było uchwalenie przez sejm ustawy Prawo Dew</w:t>
      </w:r>
      <w:r w:rsidR="004A466C" w:rsidRPr="00CF2507">
        <w:rPr>
          <w:rFonts w:cs="Times New Roman"/>
          <w:szCs w:val="24"/>
        </w:rPr>
        <w:t>izowe w dniu 27.07.2002</w:t>
      </w:r>
      <w:r w:rsidR="001B19AF">
        <w:rPr>
          <w:rFonts w:cs="Times New Roman"/>
          <w:szCs w:val="24"/>
        </w:rPr>
        <w:t xml:space="preserve"> </w:t>
      </w:r>
      <w:r w:rsidR="004A466C" w:rsidRPr="00CF2507">
        <w:rPr>
          <w:rFonts w:cs="Times New Roman"/>
          <w:szCs w:val="24"/>
        </w:rPr>
        <w:t>r., która</w:t>
      </w:r>
      <w:r w:rsidRPr="00CF2507">
        <w:rPr>
          <w:rFonts w:cs="Times New Roman"/>
          <w:szCs w:val="24"/>
        </w:rPr>
        <w:t xml:space="preserve"> umożliwiła bankom czynności takie jak: obrót wartościami dewizowymi w kraju i rozliczanie się w walutach obcych między rezydentami i nierezydentami, oraz zawieranie takich umów</w:t>
      </w:r>
      <w:r w:rsidRPr="00CF2507">
        <w:rPr>
          <w:rStyle w:val="Odwoanieprzypisudolnego"/>
          <w:rFonts w:cs="Times New Roman"/>
          <w:szCs w:val="24"/>
        </w:rPr>
        <w:footnoteReference w:id="17"/>
      </w:r>
      <w:r w:rsidRPr="00CF2507">
        <w:rPr>
          <w:rFonts w:cs="Times New Roman"/>
          <w:szCs w:val="24"/>
        </w:rPr>
        <w:t>.</w:t>
      </w:r>
      <w:r w:rsidR="002B4F0E">
        <w:rPr>
          <w:rFonts w:cs="Times New Roman"/>
          <w:szCs w:val="24"/>
        </w:rPr>
        <w:t xml:space="preserve"> Zatem, regulacje zawarte w ustawie </w:t>
      </w:r>
      <w:r w:rsidRPr="00CF2507">
        <w:rPr>
          <w:rFonts w:cs="Times New Roman"/>
          <w:szCs w:val="24"/>
        </w:rPr>
        <w:t>umożliwił</w:t>
      </w:r>
      <w:r w:rsidR="002B4F0E">
        <w:rPr>
          <w:rFonts w:cs="Times New Roman"/>
          <w:szCs w:val="24"/>
        </w:rPr>
        <w:t>y</w:t>
      </w:r>
      <w:r w:rsidRPr="00CF2507">
        <w:rPr>
          <w:rFonts w:cs="Times New Roman"/>
          <w:szCs w:val="24"/>
        </w:rPr>
        <w:t xml:space="preserve"> bankom sprzedaż kredytów walutowych. Kolejnym wydarzeniem, które zwiększyło dostęp do kredytów dewizowych na polskim rynku było przystąpienie Polski do Unii Europejskie 1.05.2004</w:t>
      </w:r>
      <w:r w:rsidR="00927AB2">
        <w:rPr>
          <w:rFonts w:cs="Times New Roman"/>
          <w:szCs w:val="24"/>
        </w:rPr>
        <w:t xml:space="preserve"> </w:t>
      </w:r>
      <w:r w:rsidRPr="00CF2507">
        <w:rPr>
          <w:rFonts w:cs="Times New Roman"/>
          <w:szCs w:val="24"/>
        </w:rPr>
        <w:t>r</w:t>
      </w:r>
      <w:r w:rsidR="00C15C5F" w:rsidRPr="00CF2507">
        <w:rPr>
          <w:rStyle w:val="Odwoanieprzypisudolnego"/>
          <w:rFonts w:cs="Times New Roman"/>
          <w:szCs w:val="24"/>
        </w:rPr>
        <w:footnoteReference w:id="18"/>
      </w:r>
      <w:r w:rsidRPr="00CF2507">
        <w:rPr>
          <w:rFonts w:cs="Times New Roman"/>
          <w:szCs w:val="24"/>
        </w:rPr>
        <w:t xml:space="preserve">. </w:t>
      </w:r>
    </w:p>
    <w:p w14:paraId="32BE3054" w14:textId="54564A1F" w:rsidR="00920BA4" w:rsidRPr="00CF2507" w:rsidRDefault="00920BA4" w:rsidP="00D80D68">
      <w:pPr>
        <w:spacing w:after="0" w:line="360" w:lineRule="auto"/>
        <w:ind w:firstLine="708"/>
        <w:jc w:val="both"/>
        <w:rPr>
          <w:rFonts w:cs="Times New Roman"/>
          <w:szCs w:val="24"/>
        </w:rPr>
      </w:pPr>
      <w:r w:rsidRPr="00CF2507">
        <w:rPr>
          <w:rFonts w:cs="Times New Roman"/>
          <w:szCs w:val="24"/>
        </w:rPr>
        <w:t xml:space="preserve">Duże znaczenie miał także zapowiadany rychły scenariusz wstąpienia Polski do strefy euro mający na celu zastopowanie nadmiernego umacniania się złotego w stosunku do innych walut. Wypowiedzi ekspertów i osób piastujących wysokie stanowiska państwowe i odpowiedzialnych za kierowanie krajem (w tym stanowisko ówczesnego prezesa rady ministrów, Leszka Millera, który twierdził, że Polska może przystąpić do unii monetarnej pomiędzy 2007 </w:t>
      </w:r>
      <w:r w:rsidRPr="00CF2507">
        <w:rPr>
          <w:rFonts w:cs="Times New Roman"/>
          <w:szCs w:val="24"/>
        </w:rPr>
        <w:lastRenderedPageBreak/>
        <w:t>a 2009 rokiem</w:t>
      </w:r>
      <w:r w:rsidR="00810648" w:rsidRPr="00CF2507">
        <w:rPr>
          <w:rStyle w:val="Odwoanieprzypisudolnego"/>
          <w:rFonts w:cs="Times New Roman"/>
          <w:szCs w:val="24"/>
        </w:rPr>
        <w:footnoteReference w:id="19"/>
      </w:r>
      <w:r w:rsidRPr="00CF2507">
        <w:rPr>
          <w:rFonts w:cs="Times New Roman"/>
          <w:szCs w:val="24"/>
        </w:rPr>
        <w:t>) sugerowały, że ryzyko walutowe w kolejnych latach zostanie znacznie ograniczone, jeżeli nie całkowicie zlikwidowane</w:t>
      </w:r>
      <w:r w:rsidRPr="00CF2507">
        <w:rPr>
          <w:rStyle w:val="Odwoanieprzypisudolnego"/>
          <w:rFonts w:cs="Times New Roman"/>
          <w:szCs w:val="24"/>
        </w:rPr>
        <w:footnoteReference w:id="20"/>
      </w:r>
      <w:r w:rsidRPr="00CF2507">
        <w:rPr>
          <w:rFonts w:cs="Times New Roman"/>
          <w:szCs w:val="24"/>
        </w:rPr>
        <w:t xml:space="preserve">. </w:t>
      </w:r>
    </w:p>
    <w:p w14:paraId="2A81D1F1" w14:textId="7BB90B65" w:rsidR="00920BA4" w:rsidRDefault="00920BA4" w:rsidP="00D80D68">
      <w:pPr>
        <w:spacing w:after="0" w:line="360" w:lineRule="auto"/>
        <w:ind w:firstLine="708"/>
        <w:jc w:val="both"/>
        <w:rPr>
          <w:rFonts w:cs="Times New Roman"/>
          <w:szCs w:val="24"/>
        </w:rPr>
      </w:pPr>
      <w:r w:rsidRPr="00CF2507">
        <w:rPr>
          <w:rFonts w:cs="Times New Roman"/>
          <w:szCs w:val="24"/>
        </w:rPr>
        <w:t xml:space="preserve">Możliwość uzyskania kredytu hipotecznego w walucie zagranicznej spotkała się w Polsce z dużym zainteresowaniem. Spowodowane było głównie bardzo dużą różnicą pomiędzy stopami </w:t>
      </w:r>
      <w:r w:rsidR="00290E8C">
        <w:rPr>
          <w:rFonts w:cs="Times New Roman"/>
          <w:szCs w:val="24"/>
        </w:rPr>
        <w:t>oprocentowania kredytów</w:t>
      </w:r>
      <w:r w:rsidRPr="00CF2507">
        <w:rPr>
          <w:rFonts w:cs="Times New Roman"/>
          <w:szCs w:val="24"/>
        </w:rPr>
        <w:t xml:space="preserve"> w PLN i walutach zagranicznych, </w:t>
      </w:r>
      <w:r w:rsidR="00600B08" w:rsidRPr="00CF2507">
        <w:rPr>
          <w:rFonts w:cs="Times New Roman"/>
          <w:szCs w:val="24"/>
        </w:rPr>
        <w:t xml:space="preserve">oraz </w:t>
      </w:r>
      <w:r w:rsidRPr="00CF2507">
        <w:rPr>
          <w:rFonts w:cs="Times New Roman"/>
          <w:szCs w:val="24"/>
        </w:rPr>
        <w:t>regularn</w:t>
      </w:r>
      <w:r w:rsidR="00600B08" w:rsidRPr="00CF2507">
        <w:rPr>
          <w:rFonts w:cs="Times New Roman"/>
          <w:szCs w:val="24"/>
        </w:rPr>
        <w:t>ym</w:t>
      </w:r>
      <w:r w:rsidRPr="00CF2507">
        <w:rPr>
          <w:rFonts w:cs="Times New Roman"/>
          <w:szCs w:val="24"/>
        </w:rPr>
        <w:t xml:space="preserve"> umacnianie</w:t>
      </w:r>
      <w:r w:rsidR="00600B08" w:rsidRPr="00CF2507">
        <w:rPr>
          <w:rFonts w:cs="Times New Roman"/>
          <w:szCs w:val="24"/>
        </w:rPr>
        <w:t>m</w:t>
      </w:r>
      <w:r w:rsidRPr="00CF2507">
        <w:rPr>
          <w:rFonts w:cs="Times New Roman"/>
          <w:szCs w:val="24"/>
        </w:rPr>
        <w:t xml:space="preserve"> się złotego w stosunku do walut zagranicznych, takich jak </w:t>
      </w:r>
      <w:r w:rsidR="000A2FFD">
        <w:rPr>
          <w:rFonts w:cs="Times New Roman"/>
          <w:szCs w:val="24"/>
        </w:rPr>
        <w:t>CHF</w:t>
      </w:r>
      <w:r w:rsidRPr="00CF2507">
        <w:rPr>
          <w:rFonts w:cs="Times New Roman"/>
          <w:szCs w:val="24"/>
        </w:rPr>
        <w:t xml:space="preserve">, </w:t>
      </w:r>
      <w:r w:rsidR="000A2FFD">
        <w:rPr>
          <w:rFonts w:cs="Times New Roman"/>
          <w:szCs w:val="24"/>
        </w:rPr>
        <w:t>EUR</w:t>
      </w:r>
      <w:r w:rsidRPr="00CF2507">
        <w:rPr>
          <w:rFonts w:cs="Times New Roman"/>
          <w:szCs w:val="24"/>
        </w:rPr>
        <w:t xml:space="preserve">, </w:t>
      </w:r>
      <w:r w:rsidR="000A2FFD">
        <w:rPr>
          <w:rFonts w:cs="Times New Roman"/>
          <w:szCs w:val="24"/>
        </w:rPr>
        <w:t xml:space="preserve">GBP, </w:t>
      </w:r>
      <w:r w:rsidRPr="00CF2507">
        <w:rPr>
          <w:rFonts w:cs="Times New Roman"/>
          <w:szCs w:val="24"/>
        </w:rPr>
        <w:t xml:space="preserve">czy </w:t>
      </w:r>
      <w:r w:rsidR="000A2FFD">
        <w:rPr>
          <w:rFonts w:cs="Times New Roman"/>
          <w:szCs w:val="24"/>
        </w:rPr>
        <w:t>USD</w:t>
      </w:r>
      <w:r w:rsidRPr="00CF2507">
        <w:rPr>
          <w:rFonts w:cs="Times New Roman"/>
          <w:szCs w:val="24"/>
        </w:rPr>
        <w:t>. Główną przyczyną wysokich cen kredytów złotowych</w:t>
      </w:r>
      <w:r w:rsidR="00F86F38" w:rsidRPr="00CF2507">
        <w:rPr>
          <w:rFonts w:cs="Times New Roman"/>
          <w:szCs w:val="24"/>
        </w:rPr>
        <w:t xml:space="preserve"> </w:t>
      </w:r>
      <w:r w:rsidRPr="00CF2507">
        <w:rPr>
          <w:rFonts w:cs="Times New Roman"/>
          <w:szCs w:val="24"/>
        </w:rPr>
        <w:t xml:space="preserve">były działania </w:t>
      </w:r>
      <w:r w:rsidR="00A106DA">
        <w:rPr>
          <w:rFonts w:cs="Times New Roman"/>
          <w:szCs w:val="24"/>
        </w:rPr>
        <w:t>banku centralnego</w:t>
      </w:r>
      <w:r w:rsidR="00A106DA" w:rsidRPr="00CF2507">
        <w:rPr>
          <w:rFonts w:cs="Times New Roman"/>
          <w:szCs w:val="24"/>
        </w:rPr>
        <w:t xml:space="preserve"> </w:t>
      </w:r>
      <w:r w:rsidRPr="00CF2507">
        <w:rPr>
          <w:rFonts w:cs="Times New Roman"/>
          <w:szCs w:val="24"/>
        </w:rPr>
        <w:t xml:space="preserve">i prowadzona przez niego polityka deflacyjna, której głównym narzędziem było utrzymywanie wysokiej referencyjnej stopy procentowej, która wynosiła nawet kilkanaście procent. Na mocy decyzji Rady Polityki Pieniężnej w </w:t>
      </w:r>
      <w:r w:rsidR="002D60EC">
        <w:rPr>
          <w:rFonts w:cs="Times New Roman"/>
          <w:szCs w:val="24"/>
        </w:rPr>
        <w:t xml:space="preserve">sierpniu </w:t>
      </w:r>
      <w:r w:rsidRPr="00CF2507">
        <w:rPr>
          <w:rFonts w:cs="Times New Roman"/>
          <w:szCs w:val="24"/>
        </w:rPr>
        <w:t>2000 roku podwyższono stopy procentowe do 19% (co stanowiło wzrost o 5% w porównaniu do</w:t>
      </w:r>
      <w:r w:rsidR="005613A6" w:rsidRPr="00CF2507">
        <w:rPr>
          <w:rFonts w:cs="Times New Roman"/>
          <w:szCs w:val="24"/>
        </w:rPr>
        <w:t xml:space="preserve"> IX.</w:t>
      </w:r>
      <w:r w:rsidRPr="00CF2507">
        <w:rPr>
          <w:rFonts w:cs="Times New Roman"/>
          <w:szCs w:val="24"/>
        </w:rPr>
        <w:t>1999 roku</w:t>
      </w:r>
      <w:r w:rsidR="005613A6" w:rsidRPr="00CF2507">
        <w:rPr>
          <w:rFonts w:cs="Times New Roman"/>
          <w:szCs w:val="24"/>
        </w:rPr>
        <w:t xml:space="preserve"> i maksymalną wartość w XXI wieku</w:t>
      </w:r>
      <w:r w:rsidRPr="00CF2507">
        <w:rPr>
          <w:rFonts w:cs="Times New Roman"/>
          <w:szCs w:val="24"/>
        </w:rPr>
        <w:t>)</w:t>
      </w:r>
      <w:r w:rsidRPr="00CF2507">
        <w:rPr>
          <w:rStyle w:val="Odwoanieprzypisudolnego"/>
          <w:rFonts w:cs="Times New Roman"/>
          <w:szCs w:val="24"/>
        </w:rPr>
        <w:footnoteReference w:id="21"/>
      </w:r>
      <w:r w:rsidRPr="00CF2507">
        <w:rPr>
          <w:rFonts w:cs="Times New Roman"/>
          <w:szCs w:val="24"/>
        </w:rPr>
        <w:t>. Wysokie koszty uzyskania kredytu sprawiły zatem, że coraz więcej Polaków zaczęło poszukiwać innych źródeł uzyskania pieniędzy w innych walutach.</w:t>
      </w:r>
    </w:p>
    <w:p w14:paraId="2989A200" w14:textId="77777777" w:rsidR="008E6D35" w:rsidRPr="008E6D35" w:rsidRDefault="008E6D35" w:rsidP="008E6D35">
      <w:pPr>
        <w:pStyle w:val="Legenda"/>
        <w:keepNext/>
        <w:spacing w:line="360" w:lineRule="auto"/>
        <w:jc w:val="both"/>
        <w:rPr>
          <w:i w:val="0"/>
          <w:sz w:val="24"/>
        </w:rPr>
      </w:pPr>
    </w:p>
    <w:p w14:paraId="31ABA800" w14:textId="5DD33DBE" w:rsidR="002E797D" w:rsidRPr="002E797D" w:rsidRDefault="002E797D" w:rsidP="002E797D">
      <w:pPr>
        <w:pStyle w:val="Legenda"/>
        <w:keepNext/>
        <w:spacing w:line="360" w:lineRule="auto"/>
        <w:jc w:val="both"/>
        <w:rPr>
          <w:i w:val="0"/>
          <w:color w:val="auto"/>
          <w:sz w:val="24"/>
        </w:rPr>
      </w:pPr>
      <w:bookmarkStart w:id="7" w:name="_Toc513544695"/>
      <w:r w:rsidRPr="002E797D">
        <w:rPr>
          <w:i w:val="0"/>
          <w:color w:val="auto"/>
          <w:sz w:val="24"/>
        </w:rPr>
        <w:t xml:space="preserve">Wykres </w:t>
      </w:r>
      <w:r w:rsidRPr="002E797D">
        <w:rPr>
          <w:i w:val="0"/>
          <w:color w:val="auto"/>
          <w:sz w:val="24"/>
        </w:rPr>
        <w:fldChar w:fldCharType="begin"/>
      </w:r>
      <w:r w:rsidRPr="002E797D">
        <w:rPr>
          <w:i w:val="0"/>
          <w:color w:val="auto"/>
          <w:sz w:val="24"/>
        </w:rPr>
        <w:instrText xml:space="preserve"> SEQ Wykres \* ARABIC </w:instrText>
      </w:r>
      <w:r w:rsidRPr="002E797D">
        <w:rPr>
          <w:i w:val="0"/>
          <w:color w:val="auto"/>
          <w:sz w:val="24"/>
        </w:rPr>
        <w:fldChar w:fldCharType="separate"/>
      </w:r>
      <w:r w:rsidR="00C046DB">
        <w:rPr>
          <w:i w:val="0"/>
          <w:noProof/>
          <w:color w:val="auto"/>
          <w:sz w:val="24"/>
        </w:rPr>
        <w:t>1</w:t>
      </w:r>
      <w:r w:rsidRPr="002E797D">
        <w:rPr>
          <w:i w:val="0"/>
          <w:color w:val="auto"/>
          <w:sz w:val="24"/>
        </w:rPr>
        <w:fldChar w:fldCharType="end"/>
      </w:r>
      <w:r w:rsidRPr="002E797D">
        <w:rPr>
          <w:i w:val="0"/>
          <w:color w:val="auto"/>
          <w:sz w:val="24"/>
        </w:rPr>
        <w:t>. Wybrane referencyjne stopy procentowe w latach 2000-2017.</w:t>
      </w:r>
      <w:bookmarkEnd w:id="7"/>
    </w:p>
    <w:p w14:paraId="4D60D511" w14:textId="65088CAD" w:rsidR="00F97294" w:rsidRPr="00313DF5" w:rsidRDefault="00651469" w:rsidP="00313DF5">
      <w:pPr>
        <w:keepNext/>
        <w:spacing w:after="0" w:line="360" w:lineRule="auto"/>
        <w:jc w:val="both"/>
        <w:rPr>
          <w:rFonts w:asciiTheme="minorHAnsi" w:hAnsiTheme="minorHAnsi"/>
          <w:sz w:val="22"/>
        </w:rPr>
      </w:pPr>
      <w:r>
        <w:rPr>
          <w:noProof/>
        </w:rPr>
        <w:drawing>
          <wp:inline distT="0" distB="0" distL="0" distR="0" wp14:anchorId="1409C11C" wp14:editId="5F88594D">
            <wp:extent cx="5760085" cy="3095625"/>
            <wp:effectExtent l="0" t="0" r="12065" b="9525"/>
            <wp:docPr id="1" name="Wykres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B8609F0" w14:textId="712D12E9" w:rsidR="00920BA4" w:rsidRPr="00CF2507" w:rsidRDefault="00920BA4" w:rsidP="00D80D68">
      <w:pPr>
        <w:spacing w:after="0" w:line="360" w:lineRule="auto"/>
        <w:jc w:val="both"/>
        <w:rPr>
          <w:rFonts w:cs="Times New Roman"/>
          <w:szCs w:val="24"/>
        </w:rPr>
      </w:pPr>
      <w:r w:rsidRPr="00CF2507">
        <w:rPr>
          <w:rFonts w:cs="Times New Roman"/>
          <w:szCs w:val="24"/>
        </w:rPr>
        <w:t xml:space="preserve">Źródło: Opracowanie własne na podstawie sprawozdań </w:t>
      </w:r>
      <w:r w:rsidR="007F686A" w:rsidRPr="00CF2507">
        <w:rPr>
          <w:rFonts w:cs="Times New Roman"/>
          <w:szCs w:val="24"/>
        </w:rPr>
        <w:t>kwartalnych udostępnionych przez witryny www.stooq.pl i www.global-rates.com</w:t>
      </w:r>
      <w:r w:rsidRPr="00CF2507">
        <w:rPr>
          <w:rFonts w:cs="Times New Roman"/>
          <w:szCs w:val="24"/>
        </w:rPr>
        <w:t xml:space="preserve"> </w:t>
      </w:r>
      <w:r w:rsidR="007F686A" w:rsidRPr="00CF2507">
        <w:rPr>
          <w:rFonts w:cs="Times New Roman"/>
          <w:szCs w:val="24"/>
        </w:rPr>
        <w:t>z lat</w:t>
      </w:r>
      <w:r w:rsidRPr="00CF2507">
        <w:rPr>
          <w:rFonts w:cs="Times New Roman"/>
          <w:szCs w:val="24"/>
        </w:rPr>
        <w:t xml:space="preserve"> 2000-2017</w:t>
      </w:r>
      <w:r w:rsidR="00937A86">
        <w:rPr>
          <w:rStyle w:val="Odwoanieprzypisudolnego"/>
          <w:rFonts w:cs="Times New Roman"/>
          <w:szCs w:val="24"/>
        </w:rPr>
        <w:footnoteReference w:id="22"/>
      </w:r>
      <w:r w:rsidRPr="00CF2507">
        <w:rPr>
          <w:rFonts w:cs="Times New Roman"/>
          <w:szCs w:val="24"/>
        </w:rPr>
        <w:t>.</w:t>
      </w:r>
    </w:p>
    <w:p w14:paraId="63430A9B" w14:textId="0D6244DC" w:rsidR="00920BA4" w:rsidRPr="00CF2507" w:rsidRDefault="00920BA4" w:rsidP="00D80D68">
      <w:pPr>
        <w:spacing w:after="0" w:line="360" w:lineRule="auto"/>
        <w:jc w:val="both"/>
        <w:rPr>
          <w:rFonts w:cs="Times New Roman"/>
          <w:szCs w:val="24"/>
        </w:rPr>
      </w:pPr>
      <w:r w:rsidRPr="00CF2507">
        <w:rPr>
          <w:rFonts w:cs="Times New Roman"/>
          <w:b/>
          <w:szCs w:val="24"/>
        </w:rPr>
        <w:lastRenderedPageBreak/>
        <w:tab/>
      </w:r>
      <w:r w:rsidR="00081BC4" w:rsidRPr="00CF2507">
        <w:rPr>
          <w:rFonts w:cs="Times New Roman"/>
          <w:szCs w:val="24"/>
        </w:rPr>
        <w:t xml:space="preserve">Na </w:t>
      </w:r>
      <w:r w:rsidR="00AE643E">
        <w:rPr>
          <w:rFonts w:cs="Times New Roman"/>
          <w:szCs w:val="24"/>
        </w:rPr>
        <w:t>w</w:t>
      </w:r>
      <w:r w:rsidR="00081BC4" w:rsidRPr="00CF2507">
        <w:rPr>
          <w:rFonts w:cs="Times New Roman"/>
          <w:szCs w:val="24"/>
        </w:rPr>
        <w:t>ykresie</w:t>
      </w:r>
      <w:r w:rsidRPr="00CF2507">
        <w:rPr>
          <w:rFonts w:cs="Times New Roman"/>
          <w:szCs w:val="24"/>
        </w:rPr>
        <w:t xml:space="preserve"> </w:t>
      </w:r>
      <w:r w:rsidR="00081BC4" w:rsidRPr="00CF2507">
        <w:rPr>
          <w:rFonts w:cs="Times New Roman"/>
          <w:szCs w:val="24"/>
        </w:rPr>
        <w:t>1</w:t>
      </w:r>
      <w:r w:rsidRPr="00CF2507">
        <w:rPr>
          <w:rFonts w:cs="Times New Roman"/>
          <w:szCs w:val="24"/>
        </w:rPr>
        <w:t xml:space="preserve"> zobrazowano stopy procentowe ustalane na rynku międzybankowym na przestrzeni lat 2000-2017</w:t>
      </w:r>
      <w:r w:rsidR="00524FE3" w:rsidRPr="00CF2507">
        <w:rPr>
          <w:rFonts w:cs="Times New Roman"/>
          <w:szCs w:val="24"/>
        </w:rPr>
        <w:t>, które były używane do ustalania oprocentowania kredytów przyznawanym polskim gospodarstwom domowym. Jak widać, WIBOR 3</w:t>
      </w:r>
      <w:r w:rsidR="00BF2BD9">
        <w:rPr>
          <w:rFonts w:cs="Times New Roman"/>
          <w:szCs w:val="24"/>
        </w:rPr>
        <w:t>M</w:t>
      </w:r>
      <w:r w:rsidR="00524FE3" w:rsidRPr="00CF2507">
        <w:rPr>
          <w:rFonts w:cs="Times New Roman"/>
          <w:szCs w:val="24"/>
        </w:rPr>
        <w:t xml:space="preserve"> do</w:t>
      </w:r>
      <w:r w:rsidR="00600340">
        <w:rPr>
          <w:rFonts w:cs="Times New Roman"/>
          <w:szCs w:val="24"/>
        </w:rPr>
        <w:t xml:space="preserve"> </w:t>
      </w:r>
      <w:r w:rsidR="00524FE3" w:rsidRPr="00CF2507">
        <w:rPr>
          <w:rFonts w:cs="Times New Roman"/>
          <w:szCs w:val="24"/>
        </w:rPr>
        <w:t>20</w:t>
      </w:r>
      <w:r w:rsidR="000E44E5">
        <w:rPr>
          <w:rFonts w:cs="Times New Roman"/>
          <w:szCs w:val="24"/>
        </w:rPr>
        <w:t>0</w:t>
      </w:r>
      <w:r w:rsidR="00524FE3" w:rsidRPr="00CF2507">
        <w:rPr>
          <w:rFonts w:cs="Times New Roman"/>
          <w:szCs w:val="24"/>
        </w:rPr>
        <w:t>5</w:t>
      </w:r>
      <w:r w:rsidR="006962EB">
        <w:rPr>
          <w:rFonts w:cs="Times New Roman"/>
          <w:szCs w:val="24"/>
        </w:rPr>
        <w:t xml:space="preserve"> </w:t>
      </w:r>
      <w:r w:rsidR="00524FE3" w:rsidRPr="00CF2507">
        <w:rPr>
          <w:rFonts w:cs="Times New Roman"/>
          <w:szCs w:val="24"/>
        </w:rPr>
        <w:t xml:space="preserve">r. kształtował się na wyższym poziomie, niż odpowiedniki dla walut zagranicznych. Szczególnie korzystnie kształtowała się stopa oprocentowania dla franka szwajcarskiego – LIBOR CHF 3M, który w momencie otworzenia rynku w Polsce na kredyty walutowe znajdował się na poziomie niższym o około 8 punktów procentowych w porównaniu do WIBOR 3M. Ten stosunek </w:t>
      </w:r>
      <w:r w:rsidR="003229DC" w:rsidRPr="00CF2507">
        <w:rPr>
          <w:rFonts w:cs="Times New Roman"/>
          <w:szCs w:val="24"/>
        </w:rPr>
        <w:t xml:space="preserve">był jednak z najważniejszych czynników, które zadecydowały o popularności CHF wśród kredytobiorców w tym okresie. </w:t>
      </w:r>
    </w:p>
    <w:p w14:paraId="23A7CFAC" w14:textId="0DF87342" w:rsidR="003229DC" w:rsidRPr="00CF2507" w:rsidRDefault="00920BA4" w:rsidP="00D80D68">
      <w:pPr>
        <w:spacing w:after="0" w:line="360" w:lineRule="auto"/>
        <w:ind w:firstLine="708"/>
        <w:jc w:val="both"/>
        <w:rPr>
          <w:rFonts w:cs="Times New Roman"/>
          <w:szCs w:val="24"/>
        </w:rPr>
      </w:pPr>
      <w:r w:rsidRPr="00CF2507">
        <w:rPr>
          <w:rFonts w:cs="Times New Roman"/>
          <w:szCs w:val="24"/>
        </w:rPr>
        <w:t xml:space="preserve">Sytuacja ta miała miejsce przed rokiem </w:t>
      </w:r>
      <w:r w:rsidR="001D262A">
        <w:rPr>
          <w:rFonts w:cs="Times New Roman"/>
          <w:szCs w:val="24"/>
        </w:rPr>
        <w:t xml:space="preserve">kryzysem finansowym z </w:t>
      </w:r>
      <w:r w:rsidRPr="00CF2507">
        <w:rPr>
          <w:rFonts w:cs="Times New Roman"/>
          <w:szCs w:val="24"/>
        </w:rPr>
        <w:t>2008</w:t>
      </w:r>
      <w:r w:rsidR="006962EB">
        <w:rPr>
          <w:rFonts w:cs="Times New Roman"/>
          <w:szCs w:val="24"/>
        </w:rPr>
        <w:t xml:space="preserve"> </w:t>
      </w:r>
      <w:r w:rsidRPr="00CF2507">
        <w:rPr>
          <w:rFonts w:cs="Times New Roman"/>
          <w:szCs w:val="24"/>
        </w:rPr>
        <w:t xml:space="preserve">r., kiedy udzielanie kredytów walutowych </w:t>
      </w:r>
      <w:r w:rsidR="00616813">
        <w:rPr>
          <w:rFonts w:cs="Times New Roman"/>
          <w:szCs w:val="24"/>
        </w:rPr>
        <w:t xml:space="preserve">w Polsce </w:t>
      </w:r>
      <w:r w:rsidRPr="00CF2507">
        <w:rPr>
          <w:rFonts w:cs="Times New Roman"/>
          <w:szCs w:val="24"/>
        </w:rPr>
        <w:t>nie zostało jeszcze w żaden sposób uregulowane. Optymistyczna atmosfera na światowych rynkach, przyzwolenie ze strony instytucji nadzoru finansowego i bardzo dobra koniunktura gospodarcza w Polsce sprawiały, że banki chętnie udzielały kredytów w walutach zagranicznych nie wymagając od aplikujących wykazania dochodów w dewizach. Wysokie koszty uzyskania kredytu złotowego i atrakcyjne ceny kredytów dewizowych sprawiły, że Polacy chętnie sięgali po tańsze kredyty</w:t>
      </w:r>
      <w:r w:rsidR="008E57CE">
        <w:rPr>
          <w:rFonts w:cs="Times New Roman"/>
          <w:szCs w:val="24"/>
        </w:rPr>
        <w:t xml:space="preserve"> w walutach obcych</w:t>
      </w:r>
      <w:r w:rsidRPr="00CF2507">
        <w:rPr>
          <w:rFonts w:cs="Times New Roman"/>
          <w:szCs w:val="24"/>
        </w:rPr>
        <w:t xml:space="preserve">. </w:t>
      </w:r>
    </w:p>
    <w:p w14:paraId="5527B1C1" w14:textId="03FE3249" w:rsidR="007F686A" w:rsidRPr="00CF2507" w:rsidRDefault="00920BA4" w:rsidP="00D80D68">
      <w:pPr>
        <w:spacing w:after="0" w:line="360" w:lineRule="auto"/>
        <w:ind w:firstLine="708"/>
        <w:jc w:val="both"/>
        <w:rPr>
          <w:rFonts w:cs="Times New Roman"/>
          <w:szCs w:val="24"/>
        </w:rPr>
      </w:pPr>
      <w:r w:rsidRPr="00CF2507">
        <w:rPr>
          <w:rFonts w:cs="Times New Roman"/>
          <w:szCs w:val="24"/>
        </w:rPr>
        <w:t>Dodatkowym argumentem przemawiającym na korzyść kredytów walutowych były bardzo niskie kursy walut obcych, takich jak CHF, EUR, USD i GBP i regularne umacnianie się PLN. Taka okoliczność sprawiała, że aplikujący o kredyty mogli wykazać większą zdolność kredytową w walucie zagranicznej, niż w złotym. Kredytobiorcy często nie mogli sprostać wymaganiom stawianym przez banki do otrzymania kredytów złotowych, dlatego sięgali po alternatywę i ubiegali się o kredyty w innych walutach, głównie w CHF.</w:t>
      </w:r>
    </w:p>
    <w:p w14:paraId="0D3CE49E" w14:textId="7A8EB5D3" w:rsidR="004D4391" w:rsidRPr="004D4391" w:rsidRDefault="004D4391" w:rsidP="004D4391">
      <w:pPr>
        <w:pStyle w:val="Legenda"/>
        <w:keepNext/>
        <w:spacing w:line="360" w:lineRule="auto"/>
        <w:jc w:val="both"/>
        <w:rPr>
          <w:i w:val="0"/>
          <w:color w:val="auto"/>
          <w:sz w:val="24"/>
        </w:rPr>
      </w:pPr>
      <w:bookmarkStart w:id="8" w:name="_Toc513544696"/>
      <w:r w:rsidRPr="004D4391">
        <w:rPr>
          <w:i w:val="0"/>
          <w:color w:val="auto"/>
          <w:sz w:val="24"/>
        </w:rPr>
        <w:lastRenderedPageBreak/>
        <w:t xml:space="preserve">Wykres </w:t>
      </w:r>
      <w:r w:rsidRPr="004D4391">
        <w:rPr>
          <w:i w:val="0"/>
          <w:color w:val="auto"/>
          <w:sz w:val="24"/>
        </w:rPr>
        <w:fldChar w:fldCharType="begin"/>
      </w:r>
      <w:r w:rsidRPr="004D4391">
        <w:rPr>
          <w:i w:val="0"/>
          <w:color w:val="auto"/>
          <w:sz w:val="24"/>
        </w:rPr>
        <w:instrText xml:space="preserve"> SEQ Wykres \* ARABIC </w:instrText>
      </w:r>
      <w:r w:rsidRPr="004D4391">
        <w:rPr>
          <w:i w:val="0"/>
          <w:color w:val="auto"/>
          <w:sz w:val="24"/>
        </w:rPr>
        <w:fldChar w:fldCharType="separate"/>
      </w:r>
      <w:r w:rsidR="00C046DB">
        <w:rPr>
          <w:i w:val="0"/>
          <w:noProof/>
          <w:color w:val="auto"/>
          <w:sz w:val="24"/>
        </w:rPr>
        <w:t>2</w:t>
      </w:r>
      <w:r w:rsidRPr="004D4391">
        <w:rPr>
          <w:i w:val="0"/>
          <w:color w:val="auto"/>
          <w:sz w:val="24"/>
        </w:rPr>
        <w:fldChar w:fldCharType="end"/>
      </w:r>
      <w:r w:rsidRPr="004D4391">
        <w:rPr>
          <w:i w:val="0"/>
          <w:color w:val="auto"/>
          <w:sz w:val="24"/>
        </w:rPr>
        <w:t>. Kursy wybranych walut zagranicznych do PLN w latach 2000-2017.</w:t>
      </w:r>
      <w:bookmarkEnd w:id="8"/>
    </w:p>
    <w:p w14:paraId="2706D6E8" w14:textId="2D9A9FA1" w:rsidR="00D64841" w:rsidRPr="00D64841" w:rsidRDefault="008F6177" w:rsidP="00F846E7">
      <w:pPr>
        <w:keepNext/>
        <w:spacing w:after="0" w:line="360" w:lineRule="auto"/>
        <w:jc w:val="both"/>
        <w:rPr>
          <w:rFonts w:cs="Times New Roman"/>
          <w:szCs w:val="24"/>
        </w:rPr>
      </w:pPr>
      <w:r>
        <w:rPr>
          <w:noProof/>
        </w:rPr>
        <w:drawing>
          <wp:inline distT="0" distB="0" distL="0" distR="0" wp14:anchorId="1FEA9BE9" wp14:editId="71FC8FAE">
            <wp:extent cx="5760085" cy="3133725"/>
            <wp:effectExtent l="0" t="0" r="12065" b="9525"/>
            <wp:docPr id="8" name="Wykres 8" descr="Opracowanie własne na podstawie danych NBP">
              <a:extLst xmlns:a="http://schemas.openxmlformats.org/drawingml/2006/main">
                <a:ext uri="{FF2B5EF4-FFF2-40B4-BE49-F238E27FC236}">
                  <a16:creationId xmlns:a16="http://schemas.microsoft.com/office/drawing/2014/main" id="{55EE9A99-B3E9-4C2A-BAA6-CFE8E66E1E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1B9D67A" w14:textId="1A7ED2EF" w:rsidR="00920BA4" w:rsidRPr="00CF2507" w:rsidRDefault="00081BC4" w:rsidP="00D80D68">
      <w:pPr>
        <w:spacing w:after="0" w:line="360" w:lineRule="auto"/>
        <w:jc w:val="both"/>
        <w:rPr>
          <w:rFonts w:cs="Times New Roman"/>
          <w:szCs w:val="24"/>
        </w:rPr>
      </w:pPr>
      <w:r w:rsidRPr="00CF2507">
        <w:rPr>
          <w:rFonts w:cs="Times New Roman"/>
          <w:szCs w:val="24"/>
        </w:rPr>
        <w:t>Źródło: Opraco</w:t>
      </w:r>
      <w:r w:rsidR="007F686A" w:rsidRPr="00CF2507">
        <w:rPr>
          <w:rFonts w:cs="Times New Roman"/>
          <w:szCs w:val="24"/>
        </w:rPr>
        <w:t>wanie własne na podstawie sprawozdań miesięcznych NBP</w:t>
      </w:r>
      <w:r w:rsidR="00C1231C">
        <w:rPr>
          <w:rStyle w:val="Odwoanieprzypisudolnego"/>
          <w:rFonts w:cs="Times New Roman"/>
          <w:szCs w:val="24"/>
        </w:rPr>
        <w:footnoteReference w:id="23"/>
      </w:r>
      <w:r w:rsidR="007F686A" w:rsidRPr="00CF2507">
        <w:rPr>
          <w:rFonts w:cs="Times New Roman"/>
          <w:szCs w:val="24"/>
        </w:rPr>
        <w:t>.</w:t>
      </w:r>
    </w:p>
    <w:p w14:paraId="7165C4F5" w14:textId="449C39D5" w:rsidR="00920BA4" w:rsidRPr="00CF2507" w:rsidRDefault="00EC666B" w:rsidP="00D80D68">
      <w:pPr>
        <w:spacing w:after="0" w:line="360" w:lineRule="auto"/>
        <w:ind w:firstLine="708"/>
        <w:jc w:val="both"/>
        <w:rPr>
          <w:rFonts w:cs="Times New Roman"/>
          <w:szCs w:val="24"/>
        </w:rPr>
      </w:pPr>
      <w:r w:rsidRPr="00CF2507">
        <w:rPr>
          <w:rFonts w:cs="Times New Roman"/>
          <w:szCs w:val="24"/>
        </w:rPr>
        <w:t xml:space="preserve">Na </w:t>
      </w:r>
      <w:r w:rsidR="00E36F72">
        <w:rPr>
          <w:rFonts w:cs="Times New Roman"/>
          <w:szCs w:val="24"/>
        </w:rPr>
        <w:t>w</w:t>
      </w:r>
      <w:r w:rsidRPr="00CF2507">
        <w:rPr>
          <w:rFonts w:cs="Times New Roman"/>
          <w:szCs w:val="24"/>
        </w:rPr>
        <w:t>ykresie</w:t>
      </w:r>
      <w:r w:rsidR="004A1120" w:rsidRPr="00CF2507">
        <w:rPr>
          <w:rFonts w:cs="Times New Roman"/>
          <w:szCs w:val="24"/>
        </w:rPr>
        <w:t xml:space="preserve"> 2</w:t>
      </w:r>
      <w:r w:rsidRPr="00CF2507">
        <w:rPr>
          <w:rFonts w:cs="Times New Roman"/>
          <w:szCs w:val="24"/>
        </w:rPr>
        <w:t xml:space="preserve"> zobrazowano kursy najpopularniejszych walut kredytów dewizowych w latach 2000-2017. </w:t>
      </w:r>
      <w:r w:rsidR="004A1120" w:rsidRPr="00CF2507">
        <w:rPr>
          <w:rFonts w:cs="Times New Roman"/>
          <w:szCs w:val="24"/>
        </w:rPr>
        <w:t>Zaprezentowane dane obrazują regularny spadek kursów walut zagranicznych w stosunku do PLN, szczególnie widoczny w latach 2004-2007</w:t>
      </w:r>
      <w:r w:rsidR="003B1F7F" w:rsidRPr="00CF2507">
        <w:rPr>
          <w:rFonts w:cs="Times New Roman"/>
          <w:szCs w:val="24"/>
        </w:rPr>
        <w:t xml:space="preserve">. Spadki kursów wpływały na obniżenie kosztów kredytów dewizowych i podniesienie zdolności kredytowej aplikujących o </w:t>
      </w:r>
      <w:r w:rsidR="00E76923">
        <w:rPr>
          <w:rFonts w:cs="Times New Roman"/>
          <w:szCs w:val="24"/>
        </w:rPr>
        <w:t xml:space="preserve">kolejne, lub nowe </w:t>
      </w:r>
      <w:r w:rsidR="003B1F7F" w:rsidRPr="00CF2507">
        <w:rPr>
          <w:rFonts w:cs="Times New Roman"/>
          <w:szCs w:val="24"/>
        </w:rPr>
        <w:t xml:space="preserve">kredyty. </w:t>
      </w:r>
      <w:r w:rsidR="00015BDE" w:rsidRPr="00CF2507">
        <w:rPr>
          <w:rFonts w:cs="Times New Roman"/>
          <w:szCs w:val="24"/>
        </w:rPr>
        <w:t xml:space="preserve">Dla przykładu, kurs CHF/PLN w latach 2004-2008 spadł o 24,41%, co z perspektywy </w:t>
      </w:r>
      <w:r w:rsidR="00923B5B">
        <w:rPr>
          <w:rFonts w:cs="Times New Roman"/>
          <w:szCs w:val="24"/>
        </w:rPr>
        <w:t xml:space="preserve">obsługujących kredyty w CHF </w:t>
      </w:r>
      <w:r w:rsidR="00015BDE" w:rsidRPr="00CF2507">
        <w:rPr>
          <w:rFonts w:cs="Times New Roman"/>
          <w:szCs w:val="24"/>
        </w:rPr>
        <w:t xml:space="preserve">było bardzo korzystnym zjawiskiem i dodatkowo </w:t>
      </w:r>
      <w:r w:rsidR="00CE248D" w:rsidRPr="00CF2507">
        <w:rPr>
          <w:rFonts w:cs="Times New Roman"/>
          <w:szCs w:val="24"/>
        </w:rPr>
        <w:t xml:space="preserve">podniosło atrakcyjność franka szwajcarskiego jako waluty kredytów obcych. </w:t>
      </w:r>
      <w:r w:rsidR="00B37073" w:rsidRPr="00CF2507">
        <w:rPr>
          <w:rFonts w:cs="Times New Roman"/>
          <w:szCs w:val="24"/>
        </w:rPr>
        <w:t xml:space="preserve">Wyżej omówione powody sprawiły, że CHF </w:t>
      </w:r>
      <w:r w:rsidR="00674258" w:rsidRPr="00CF2507">
        <w:rPr>
          <w:rFonts w:cs="Times New Roman"/>
          <w:szCs w:val="24"/>
        </w:rPr>
        <w:t>stał się najpopularniejszą walutą</w:t>
      </w:r>
      <w:r w:rsidR="00B37073" w:rsidRPr="00CF2507">
        <w:rPr>
          <w:rFonts w:cs="Times New Roman"/>
          <w:szCs w:val="24"/>
        </w:rPr>
        <w:t xml:space="preserve"> zagraniczną</w:t>
      </w:r>
      <w:r w:rsidR="00674258" w:rsidRPr="00CF2507">
        <w:rPr>
          <w:rFonts w:cs="Times New Roman"/>
          <w:szCs w:val="24"/>
        </w:rPr>
        <w:t xml:space="preserve">, w której przyzwane były kredyty Polakom. </w:t>
      </w:r>
    </w:p>
    <w:p w14:paraId="74D5E199" w14:textId="3CA2DDD9" w:rsidR="005D6BAE" w:rsidRPr="005D6BAE" w:rsidRDefault="005D6BAE" w:rsidP="005D6BAE">
      <w:pPr>
        <w:pStyle w:val="Legenda"/>
        <w:keepNext/>
        <w:spacing w:line="360" w:lineRule="auto"/>
        <w:jc w:val="both"/>
        <w:rPr>
          <w:i w:val="0"/>
          <w:color w:val="auto"/>
          <w:sz w:val="24"/>
        </w:rPr>
      </w:pPr>
      <w:bookmarkStart w:id="9" w:name="_Toc513544697"/>
      <w:r w:rsidRPr="005D6BAE">
        <w:rPr>
          <w:i w:val="0"/>
          <w:color w:val="auto"/>
          <w:sz w:val="24"/>
        </w:rPr>
        <w:lastRenderedPageBreak/>
        <w:t xml:space="preserve">Wykres </w:t>
      </w:r>
      <w:r w:rsidRPr="005D6BAE">
        <w:rPr>
          <w:i w:val="0"/>
          <w:color w:val="auto"/>
          <w:sz w:val="24"/>
        </w:rPr>
        <w:fldChar w:fldCharType="begin"/>
      </w:r>
      <w:r w:rsidRPr="005D6BAE">
        <w:rPr>
          <w:i w:val="0"/>
          <w:color w:val="auto"/>
          <w:sz w:val="24"/>
        </w:rPr>
        <w:instrText xml:space="preserve"> SEQ Wykres \* ARABIC </w:instrText>
      </w:r>
      <w:r w:rsidRPr="005D6BAE">
        <w:rPr>
          <w:i w:val="0"/>
          <w:color w:val="auto"/>
          <w:sz w:val="24"/>
        </w:rPr>
        <w:fldChar w:fldCharType="separate"/>
      </w:r>
      <w:r w:rsidR="00C046DB">
        <w:rPr>
          <w:i w:val="0"/>
          <w:noProof/>
          <w:color w:val="auto"/>
          <w:sz w:val="24"/>
        </w:rPr>
        <w:t>3</w:t>
      </w:r>
      <w:r w:rsidRPr="005D6BAE">
        <w:rPr>
          <w:i w:val="0"/>
          <w:color w:val="auto"/>
          <w:sz w:val="24"/>
        </w:rPr>
        <w:fldChar w:fldCharType="end"/>
      </w:r>
      <w:r w:rsidRPr="005D6BAE">
        <w:rPr>
          <w:i w:val="0"/>
          <w:color w:val="auto"/>
          <w:sz w:val="24"/>
        </w:rPr>
        <w:t>. Liczba udzielonych kredytów mieszkaniowych w sztukach według walut w latach 2005-2015</w:t>
      </w:r>
      <w:r w:rsidR="008436DB">
        <w:rPr>
          <w:i w:val="0"/>
          <w:color w:val="auto"/>
          <w:sz w:val="24"/>
        </w:rPr>
        <w:t xml:space="preserve"> w Polsce</w:t>
      </w:r>
      <w:r w:rsidRPr="005D6BAE">
        <w:rPr>
          <w:i w:val="0"/>
          <w:color w:val="auto"/>
          <w:sz w:val="24"/>
        </w:rPr>
        <w:t>.</w:t>
      </w:r>
      <w:bookmarkEnd w:id="9"/>
    </w:p>
    <w:p w14:paraId="4D77AA6C" w14:textId="3CCE98C0" w:rsidR="0038262A" w:rsidRPr="00CF2507" w:rsidRDefault="00F80340" w:rsidP="00014F40">
      <w:pPr>
        <w:keepNext/>
        <w:spacing w:after="0" w:line="360" w:lineRule="auto"/>
        <w:jc w:val="both"/>
        <w:rPr>
          <w:rFonts w:cs="Times New Roman"/>
          <w:b/>
          <w:szCs w:val="24"/>
        </w:rPr>
      </w:pPr>
      <w:r w:rsidRPr="00CF2507">
        <w:rPr>
          <w:noProof/>
          <w:szCs w:val="24"/>
          <w:lang w:eastAsia="pl-PL"/>
        </w:rPr>
        <w:drawing>
          <wp:inline distT="0" distB="0" distL="0" distR="0" wp14:anchorId="5CC6CD66" wp14:editId="6B4723AF">
            <wp:extent cx="5724525" cy="2741930"/>
            <wp:effectExtent l="0" t="0" r="9525" b="1270"/>
            <wp:docPr id="13" name="Wykres 13">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FA10693" w14:textId="776DBAA7" w:rsidR="002F6CDE" w:rsidRPr="00CF2507" w:rsidRDefault="00151C1E" w:rsidP="00D80D68">
      <w:pPr>
        <w:spacing w:after="0" w:line="360" w:lineRule="auto"/>
        <w:jc w:val="both"/>
        <w:rPr>
          <w:rFonts w:cs="Times New Roman"/>
          <w:szCs w:val="24"/>
        </w:rPr>
      </w:pPr>
      <w:r w:rsidRPr="00CF2507">
        <w:rPr>
          <w:rFonts w:cs="Times New Roman"/>
          <w:szCs w:val="24"/>
        </w:rPr>
        <w:t xml:space="preserve">Źródło: Opracowanie własne na podstawie </w:t>
      </w:r>
      <w:r w:rsidR="00E27536">
        <w:rPr>
          <w:rFonts w:cs="Times New Roman"/>
          <w:szCs w:val="24"/>
        </w:rPr>
        <w:t>sprawozdania</w:t>
      </w:r>
      <w:r w:rsidRPr="00CF2507">
        <w:rPr>
          <w:rFonts w:cs="Times New Roman"/>
          <w:szCs w:val="24"/>
        </w:rPr>
        <w:t xml:space="preserve"> </w:t>
      </w:r>
      <w:r w:rsidR="00216BA1" w:rsidRPr="00CF2507">
        <w:rPr>
          <w:rFonts w:cs="Times New Roman"/>
          <w:szCs w:val="24"/>
        </w:rPr>
        <w:t>BIK</w:t>
      </w:r>
      <w:r w:rsidR="006749A9">
        <w:rPr>
          <w:rStyle w:val="Odwoanieprzypisudolnego"/>
          <w:rFonts w:cs="Times New Roman"/>
          <w:szCs w:val="24"/>
        </w:rPr>
        <w:footnoteReference w:id="24"/>
      </w:r>
      <w:r w:rsidRPr="00CF2507">
        <w:rPr>
          <w:rFonts w:cs="Times New Roman"/>
          <w:szCs w:val="24"/>
        </w:rPr>
        <w:t>.</w:t>
      </w:r>
    </w:p>
    <w:p w14:paraId="6507F69C" w14:textId="21A40120" w:rsidR="00AE75C6" w:rsidRDefault="00151C1E" w:rsidP="00D80D68">
      <w:pPr>
        <w:spacing w:after="0" w:line="360" w:lineRule="auto"/>
        <w:ind w:firstLine="708"/>
        <w:jc w:val="both"/>
        <w:rPr>
          <w:rFonts w:cs="Times New Roman"/>
          <w:szCs w:val="24"/>
        </w:rPr>
      </w:pPr>
      <w:r w:rsidRPr="00CF2507">
        <w:rPr>
          <w:rFonts w:cs="Times New Roman"/>
          <w:szCs w:val="24"/>
        </w:rPr>
        <w:t xml:space="preserve">Na </w:t>
      </w:r>
      <w:r w:rsidR="00E36F72">
        <w:rPr>
          <w:rFonts w:cs="Times New Roman"/>
          <w:szCs w:val="24"/>
        </w:rPr>
        <w:t>w</w:t>
      </w:r>
      <w:r w:rsidRPr="00CF2507">
        <w:rPr>
          <w:rFonts w:cs="Times New Roman"/>
          <w:szCs w:val="24"/>
        </w:rPr>
        <w:t>ykresie 3 zobrazowano liczbę udzielonych kredytów mieszkaniowych w sztukach według określonych walut i według roku udzielenia</w:t>
      </w:r>
      <w:r w:rsidR="0060574B">
        <w:rPr>
          <w:rFonts w:cs="Times New Roman"/>
          <w:szCs w:val="24"/>
        </w:rPr>
        <w:t xml:space="preserve"> w Polsce</w:t>
      </w:r>
      <w:r w:rsidRPr="00CF2507">
        <w:rPr>
          <w:rFonts w:cs="Times New Roman"/>
          <w:szCs w:val="24"/>
        </w:rPr>
        <w:t>. Jak widać, kredyty mieszkaniowe w CHF obok kredytów złotowych w latach 2005-2008 cieszyły się największą popularnością wśród Polaków.</w:t>
      </w:r>
      <w:r w:rsidR="00582D30" w:rsidRPr="00CF2507">
        <w:rPr>
          <w:rFonts w:cs="Times New Roman"/>
          <w:szCs w:val="24"/>
        </w:rPr>
        <w:t xml:space="preserve"> Kredyty w pozostałych walutach, poza chwilowym wzrostem popularności EUR w latach 2009-2012</w:t>
      </w:r>
      <w:r w:rsidR="00D85471">
        <w:rPr>
          <w:rFonts w:cs="Times New Roman"/>
          <w:szCs w:val="24"/>
        </w:rPr>
        <w:t>,</w:t>
      </w:r>
      <w:r w:rsidR="00582D30" w:rsidRPr="00CF2507">
        <w:rPr>
          <w:rFonts w:cs="Times New Roman"/>
          <w:szCs w:val="24"/>
        </w:rPr>
        <w:t xml:space="preserve"> nie odgrywały</w:t>
      </w:r>
      <w:r w:rsidR="008C6A6D">
        <w:rPr>
          <w:rFonts w:cs="Times New Roman"/>
          <w:szCs w:val="24"/>
        </w:rPr>
        <w:t xml:space="preserve"> </w:t>
      </w:r>
      <w:r w:rsidR="00582D30" w:rsidRPr="00CF2507">
        <w:rPr>
          <w:rFonts w:cs="Times New Roman"/>
          <w:szCs w:val="24"/>
        </w:rPr>
        <w:t>znaczącej roli w portfelach kredytowych polskich banków.</w:t>
      </w:r>
      <w:r w:rsidRPr="00CF2507">
        <w:rPr>
          <w:rFonts w:cs="Times New Roman"/>
          <w:szCs w:val="24"/>
        </w:rPr>
        <w:t xml:space="preserve"> </w:t>
      </w:r>
      <w:r w:rsidR="00BB7A4B" w:rsidRPr="00CF2507">
        <w:rPr>
          <w:rFonts w:cs="Times New Roman"/>
          <w:szCs w:val="24"/>
        </w:rPr>
        <w:t xml:space="preserve">W 2005 roku </w:t>
      </w:r>
      <w:r w:rsidR="002C4352" w:rsidRPr="00CF2507">
        <w:rPr>
          <w:rFonts w:cs="Times New Roman"/>
          <w:szCs w:val="24"/>
        </w:rPr>
        <w:t xml:space="preserve">kredyty w CHF </w:t>
      </w:r>
      <w:r w:rsidR="00BB7A4B" w:rsidRPr="00CF2507">
        <w:rPr>
          <w:rFonts w:cs="Times New Roman"/>
          <w:szCs w:val="24"/>
        </w:rPr>
        <w:t>stanowi</w:t>
      </w:r>
      <w:r w:rsidR="005B218F" w:rsidRPr="00CF2507">
        <w:rPr>
          <w:rFonts w:cs="Times New Roman"/>
          <w:szCs w:val="24"/>
        </w:rPr>
        <w:t>ły</w:t>
      </w:r>
      <w:r w:rsidR="00BB7A4B" w:rsidRPr="00CF2507">
        <w:rPr>
          <w:rFonts w:cs="Times New Roman"/>
          <w:szCs w:val="24"/>
        </w:rPr>
        <w:t xml:space="preserve"> </w:t>
      </w:r>
      <w:r w:rsidR="003B43A8" w:rsidRPr="00CF2507">
        <w:rPr>
          <w:rFonts w:cs="Times New Roman"/>
          <w:szCs w:val="24"/>
        </w:rPr>
        <w:t>aż 60,58%</w:t>
      </w:r>
      <w:r w:rsidR="00BB7A4B" w:rsidRPr="00CF2507">
        <w:rPr>
          <w:rFonts w:cs="Times New Roman"/>
          <w:szCs w:val="24"/>
        </w:rPr>
        <w:t xml:space="preserve"> całkowi</w:t>
      </w:r>
      <w:r w:rsidR="00AA35B7" w:rsidRPr="00CF2507">
        <w:rPr>
          <w:rFonts w:cs="Times New Roman"/>
          <w:szCs w:val="24"/>
        </w:rPr>
        <w:t>tej sumy</w:t>
      </w:r>
      <w:r w:rsidR="00BB7A4B" w:rsidRPr="00CF2507">
        <w:rPr>
          <w:rFonts w:cs="Times New Roman"/>
          <w:szCs w:val="24"/>
        </w:rPr>
        <w:t xml:space="preserve"> udzielonych kredytów mieszkanio</w:t>
      </w:r>
      <w:r w:rsidR="00714814" w:rsidRPr="00CF2507">
        <w:rPr>
          <w:rFonts w:cs="Times New Roman"/>
          <w:szCs w:val="24"/>
        </w:rPr>
        <w:t>wych, w 2006 roku 48,65%</w:t>
      </w:r>
      <w:r w:rsidR="002E4C0B" w:rsidRPr="00CF2507">
        <w:rPr>
          <w:rFonts w:cs="Times New Roman"/>
          <w:szCs w:val="24"/>
        </w:rPr>
        <w:t>, w 2007 roku 34,27%</w:t>
      </w:r>
      <w:r w:rsidR="00BB7A4B" w:rsidRPr="00CF2507">
        <w:rPr>
          <w:rFonts w:cs="Times New Roman"/>
          <w:szCs w:val="24"/>
        </w:rPr>
        <w:t>, nato</w:t>
      </w:r>
      <w:r w:rsidR="008E65ED" w:rsidRPr="00CF2507">
        <w:rPr>
          <w:rFonts w:cs="Times New Roman"/>
          <w:szCs w:val="24"/>
        </w:rPr>
        <w:t>miast w roku 2008 zanotowano ponowny wzrost</w:t>
      </w:r>
      <w:r w:rsidR="001C6DE4" w:rsidRPr="00CF2507">
        <w:rPr>
          <w:rFonts w:cs="Times New Roman"/>
          <w:szCs w:val="24"/>
        </w:rPr>
        <w:t>, do</w:t>
      </w:r>
      <w:r w:rsidR="00524D7F" w:rsidRPr="00CF2507">
        <w:rPr>
          <w:rFonts w:cs="Times New Roman"/>
          <w:szCs w:val="24"/>
        </w:rPr>
        <w:t xml:space="preserve"> 59,33%</w:t>
      </w:r>
      <w:r w:rsidR="00BB7A4B" w:rsidRPr="00CF2507">
        <w:rPr>
          <w:rFonts w:cs="Times New Roman"/>
          <w:szCs w:val="24"/>
        </w:rPr>
        <w:t xml:space="preserve"> całkowitej </w:t>
      </w:r>
      <w:r w:rsidR="008E65ED" w:rsidRPr="00CF2507">
        <w:rPr>
          <w:rFonts w:cs="Times New Roman"/>
          <w:szCs w:val="24"/>
        </w:rPr>
        <w:t>sumy</w:t>
      </w:r>
      <w:r w:rsidR="00BB7A4B" w:rsidRPr="00CF2507">
        <w:rPr>
          <w:rFonts w:cs="Times New Roman"/>
          <w:szCs w:val="24"/>
        </w:rPr>
        <w:t xml:space="preserve"> sprzedanych kredytów</w:t>
      </w:r>
      <w:r w:rsidR="008E65ED" w:rsidRPr="00CF2507">
        <w:rPr>
          <w:rFonts w:cs="Times New Roman"/>
          <w:szCs w:val="24"/>
        </w:rPr>
        <w:t xml:space="preserve"> hipotecznych</w:t>
      </w:r>
      <w:r w:rsidR="00BB7A4B" w:rsidRPr="00CF2507">
        <w:rPr>
          <w:rFonts w:cs="Times New Roman"/>
          <w:szCs w:val="24"/>
        </w:rPr>
        <w:t xml:space="preserve">. </w:t>
      </w:r>
      <w:r w:rsidR="0086040A" w:rsidRPr="00CF2507">
        <w:rPr>
          <w:rFonts w:cs="Times New Roman"/>
          <w:szCs w:val="24"/>
        </w:rPr>
        <w:t>Popularność franka szwajcarskiego jako waluty kredytowej zakończyła się dopiero w 2008</w:t>
      </w:r>
      <w:r w:rsidR="004C7361">
        <w:rPr>
          <w:rFonts w:cs="Times New Roman"/>
          <w:szCs w:val="24"/>
        </w:rPr>
        <w:t xml:space="preserve"> </w:t>
      </w:r>
      <w:r w:rsidR="0086040A" w:rsidRPr="00CF2507">
        <w:rPr>
          <w:rFonts w:cs="Times New Roman"/>
          <w:szCs w:val="24"/>
        </w:rPr>
        <w:t>r.</w:t>
      </w:r>
      <w:r w:rsidR="00394A8E" w:rsidRPr="00CF2507">
        <w:rPr>
          <w:rFonts w:cs="Times New Roman"/>
          <w:szCs w:val="24"/>
        </w:rPr>
        <w:t xml:space="preserve"> Od 2012</w:t>
      </w:r>
      <w:r w:rsidR="004C7361">
        <w:rPr>
          <w:rFonts w:cs="Times New Roman"/>
          <w:szCs w:val="24"/>
        </w:rPr>
        <w:t xml:space="preserve"> </w:t>
      </w:r>
      <w:r w:rsidR="00394A8E" w:rsidRPr="00CF2507">
        <w:rPr>
          <w:rFonts w:cs="Times New Roman"/>
          <w:szCs w:val="24"/>
        </w:rPr>
        <w:t>r. udział kredytów mieszkaniowych w CHF</w:t>
      </w:r>
      <w:r w:rsidR="00142306" w:rsidRPr="00CF2507">
        <w:rPr>
          <w:rFonts w:cs="Times New Roman"/>
          <w:szCs w:val="24"/>
        </w:rPr>
        <w:t xml:space="preserve"> pod względem liczby wszystkich kredytów hipotecznych w Polsce nie przekracza 0,5%. P</w:t>
      </w:r>
      <w:r w:rsidR="0086040A" w:rsidRPr="00CF2507">
        <w:rPr>
          <w:rFonts w:cs="Times New Roman"/>
          <w:szCs w:val="24"/>
        </w:rPr>
        <w:t>owo</w:t>
      </w:r>
      <w:r w:rsidR="00142306" w:rsidRPr="00CF2507">
        <w:rPr>
          <w:rFonts w:cs="Times New Roman"/>
          <w:szCs w:val="24"/>
        </w:rPr>
        <w:t>dem drastycznego spadku znaczenia franka szwajcarskiego w portfelach kredytowych banków był</w:t>
      </w:r>
      <w:r w:rsidR="0086040A" w:rsidRPr="00CF2507">
        <w:rPr>
          <w:rFonts w:cs="Times New Roman"/>
          <w:szCs w:val="24"/>
        </w:rPr>
        <w:t xml:space="preserve"> wybu</w:t>
      </w:r>
      <w:r w:rsidR="00142306" w:rsidRPr="00CF2507">
        <w:rPr>
          <w:rFonts w:cs="Times New Roman"/>
          <w:szCs w:val="24"/>
        </w:rPr>
        <w:t>ch</w:t>
      </w:r>
      <w:r w:rsidR="0086040A" w:rsidRPr="00CF2507">
        <w:rPr>
          <w:rFonts w:cs="Times New Roman"/>
          <w:szCs w:val="24"/>
        </w:rPr>
        <w:t xml:space="preserve"> kryzysu finansowego na światowych rynkach</w:t>
      </w:r>
      <w:r w:rsidR="000D471B">
        <w:rPr>
          <w:rFonts w:cs="Times New Roman"/>
          <w:szCs w:val="24"/>
        </w:rPr>
        <w:t xml:space="preserve"> w 2008</w:t>
      </w:r>
      <w:r w:rsidR="009E6E96">
        <w:rPr>
          <w:rFonts w:cs="Times New Roman"/>
          <w:szCs w:val="24"/>
        </w:rPr>
        <w:t xml:space="preserve"> </w:t>
      </w:r>
      <w:r w:rsidR="000D471B">
        <w:rPr>
          <w:rFonts w:cs="Times New Roman"/>
          <w:szCs w:val="24"/>
        </w:rPr>
        <w:t>r.</w:t>
      </w:r>
      <w:r w:rsidR="0086040A" w:rsidRPr="00CF2507">
        <w:rPr>
          <w:rFonts w:cs="Times New Roman"/>
          <w:szCs w:val="24"/>
        </w:rPr>
        <w:t xml:space="preserve">, który wywołał między innymi </w:t>
      </w:r>
      <w:r w:rsidR="00174B5B" w:rsidRPr="00CF2507">
        <w:rPr>
          <w:rFonts w:cs="Times New Roman"/>
          <w:szCs w:val="24"/>
        </w:rPr>
        <w:t xml:space="preserve">aprecjację CHF. To z kolei sprawiło, że koszty </w:t>
      </w:r>
      <w:r w:rsidR="003856A2" w:rsidRPr="00CF2507">
        <w:rPr>
          <w:rFonts w:cs="Times New Roman"/>
          <w:szCs w:val="24"/>
        </w:rPr>
        <w:t>obsługi</w:t>
      </w:r>
      <w:r w:rsidR="00174B5B" w:rsidRPr="00CF2507">
        <w:rPr>
          <w:rFonts w:cs="Times New Roman"/>
          <w:szCs w:val="24"/>
        </w:rPr>
        <w:t xml:space="preserve"> kredytów w CHF znacznie wzrosły. </w:t>
      </w:r>
      <w:r w:rsidR="007429E0">
        <w:rPr>
          <w:rFonts w:cs="Times New Roman"/>
          <w:szCs w:val="24"/>
        </w:rPr>
        <w:t>Od 2009 r. s</w:t>
      </w:r>
      <w:r w:rsidR="00174B5B" w:rsidRPr="00CF2507">
        <w:rPr>
          <w:rFonts w:cs="Times New Roman"/>
          <w:szCs w:val="24"/>
        </w:rPr>
        <w:t xml:space="preserve">padła także stopa WIBOR, co sprawiło, że kredyty złotowe stały się znacznie tańsze, do tego nie były one obarczone ryzykiem walutowym. </w:t>
      </w:r>
      <w:r w:rsidR="00E31C94" w:rsidRPr="00CF2507">
        <w:rPr>
          <w:rFonts w:cs="Times New Roman"/>
          <w:szCs w:val="24"/>
        </w:rPr>
        <w:t xml:space="preserve">Duże znaczenie na spadek liczby udzielanych kredytów walutowych odegrały regulacje wprowadzone </w:t>
      </w:r>
      <w:r w:rsidR="005C6F6F">
        <w:rPr>
          <w:rFonts w:cs="Times New Roman"/>
          <w:szCs w:val="24"/>
        </w:rPr>
        <w:t xml:space="preserve">w 2010 r. </w:t>
      </w:r>
      <w:r w:rsidR="00E31C94" w:rsidRPr="00CF2507">
        <w:rPr>
          <w:rFonts w:cs="Times New Roman"/>
          <w:szCs w:val="24"/>
        </w:rPr>
        <w:t>przez KNF w postaci</w:t>
      </w:r>
      <w:r w:rsidR="00BC2676" w:rsidRPr="00CF2507">
        <w:rPr>
          <w:rFonts w:cs="Times New Roman"/>
          <w:szCs w:val="24"/>
        </w:rPr>
        <w:t xml:space="preserve"> Rekomendacj</w:t>
      </w:r>
      <w:r w:rsidR="00E31C94" w:rsidRPr="00CF2507">
        <w:rPr>
          <w:rFonts w:cs="Times New Roman"/>
          <w:szCs w:val="24"/>
        </w:rPr>
        <w:t>i</w:t>
      </w:r>
      <w:r w:rsidR="00BC2676" w:rsidRPr="00CF2507">
        <w:rPr>
          <w:rFonts w:cs="Times New Roman"/>
          <w:szCs w:val="24"/>
        </w:rPr>
        <w:t xml:space="preserve"> S</w:t>
      </w:r>
      <w:r w:rsidR="00AE450C">
        <w:rPr>
          <w:rFonts w:cs="Times New Roman"/>
          <w:szCs w:val="24"/>
        </w:rPr>
        <w:t xml:space="preserve"> (2006 r.)</w:t>
      </w:r>
      <w:r w:rsidR="00BC2676" w:rsidRPr="00CF2507">
        <w:rPr>
          <w:rFonts w:cs="Times New Roman"/>
          <w:szCs w:val="24"/>
        </w:rPr>
        <w:t xml:space="preserve"> i </w:t>
      </w:r>
      <w:r w:rsidR="00E31C94" w:rsidRPr="00CF2507">
        <w:rPr>
          <w:rFonts w:cs="Times New Roman"/>
          <w:szCs w:val="24"/>
        </w:rPr>
        <w:t>Rekomendacji T</w:t>
      </w:r>
      <w:r w:rsidR="00AE450C">
        <w:rPr>
          <w:rFonts w:cs="Times New Roman"/>
          <w:szCs w:val="24"/>
        </w:rPr>
        <w:t xml:space="preserve"> (2010 r.)</w:t>
      </w:r>
      <w:r w:rsidR="00E31C94" w:rsidRPr="00CF2507">
        <w:rPr>
          <w:rFonts w:cs="Times New Roman"/>
          <w:szCs w:val="24"/>
        </w:rPr>
        <w:t>, które znacznie zaostrzyły politykę kre</w:t>
      </w:r>
      <w:r w:rsidR="00E31C94" w:rsidRPr="00CF2507">
        <w:rPr>
          <w:rFonts w:cs="Times New Roman"/>
          <w:szCs w:val="24"/>
        </w:rPr>
        <w:lastRenderedPageBreak/>
        <w:t>dytową banków i ograniczyły dostęp do kredytów w walutach zagranicznych (m.in. zapis o konieczności otrzymywania dochodów w walucie, w przypadku chęci aplikowania o kredyt dewizowy)</w:t>
      </w:r>
      <w:r w:rsidR="00E31C94" w:rsidRPr="00CF2507">
        <w:rPr>
          <w:rStyle w:val="Odwoanieprzypisudolnego"/>
          <w:rFonts w:cs="Times New Roman"/>
          <w:szCs w:val="24"/>
        </w:rPr>
        <w:footnoteReference w:id="25"/>
      </w:r>
      <w:r w:rsidR="00E31C94" w:rsidRPr="00CF2507">
        <w:rPr>
          <w:rFonts w:cs="Times New Roman"/>
          <w:szCs w:val="24"/>
        </w:rPr>
        <w:t>.</w:t>
      </w:r>
    </w:p>
    <w:p w14:paraId="470A1BA7" w14:textId="77777777" w:rsidR="00892DE7" w:rsidRPr="00CF2507" w:rsidRDefault="00892DE7" w:rsidP="00D80D68">
      <w:pPr>
        <w:spacing w:after="0" w:line="360" w:lineRule="auto"/>
        <w:ind w:firstLine="708"/>
        <w:jc w:val="both"/>
        <w:rPr>
          <w:rFonts w:cs="Times New Roman"/>
          <w:szCs w:val="24"/>
        </w:rPr>
      </w:pPr>
    </w:p>
    <w:p w14:paraId="7A03D780" w14:textId="70763C5A" w:rsidR="008575AD" w:rsidRPr="00CF2507" w:rsidRDefault="006E7EC8" w:rsidP="00D80D68">
      <w:pPr>
        <w:pStyle w:val="Nagwek2"/>
        <w:spacing w:line="360" w:lineRule="auto"/>
        <w:jc w:val="both"/>
      </w:pPr>
      <w:bookmarkStart w:id="10" w:name="_Toc513545745"/>
      <w:r>
        <w:t>I</w:t>
      </w:r>
      <w:r w:rsidR="008575AD" w:rsidRPr="00CF2507">
        <w:t>.</w:t>
      </w:r>
      <w:r w:rsidR="004E026F">
        <w:t>4</w:t>
      </w:r>
      <w:r w:rsidR="008575AD" w:rsidRPr="00CF2507">
        <w:t xml:space="preserve"> Obecna sytuacja na rynku kredytów walutowych w Polsce.</w:t>
      </w:r>
      <w:bookmarkEnd w:id="10"/>
    </w:p>
    <w:p w14:paraId="4066A6EF" w14:textId="618E0F4F" w:rsidR="008575AD" w:rsidRPr="00CF2507" w:rsidRDefault="008166BF" w:rsidP="00D80D68">
      <w:pPr>
        <w:spacing w:after="0" w:line="360" w:lineRule="auto"/>
        <w:ind w:firstLine="708"/>
        <w:jc w:val="both"/>
        <w:rPr>
          <w:rFonts w:cs="Times New Roman"/>
          <w:szCs w:val="24"/>
        </w:rPr>
      </w:pPr>
      <w:r w:rsidRPr="00CF2507">
        <w:rPr>
          <w:rFonts w:cs="Times New Roman"/>
          <w:szCs w:val="24"/>
        </w:rPr>
        <w:t>Dzisiejsza sytuacja na rynku kredytów walutowych w Polsce znacząco różni się od tej, która miała miejsce przed wybuchem kryzysu finansowego w 2008</w:t>
      </w:r>
      <w:r w:rsidR="00BE255F">
        <w:rPr>
          <w:rFonts w:cs="Times New Roman"/>
          <w:szCs w:val="24"/>
        </w:rPr>
        <w:t xml:space="preserve"> </w:t>
      </w:r>
      <w:r w:rsidRPr="00CF2507">
        <w:rPr>
          <w:rFonts w:cs="Times New Roman"/>
          <w:szCs w:val="24"/>
        </w:rPr>
        <w:t xml:space="preserve">r. </w:t>
      </w:r>
      <w:r w:rsidR="00450A8C" w:rsidRPr="00CF2507">
        <w:rPr>
          <w:rFonts w:cs="Times New Roman"/>
          <w:szCs w:val="24"/>
        </w:rPr>
        <w:t>Krach na światowych rynkach zakończył dobrą koniunkturę oraz wysoki popyt na rynku mieszkaniowym</w:t>
      </w:r>
      <w:r w:rsidR="00BC0B2F">
        <w:rPr>
          <w:rFonts w:cs="Times New Roman"/>
          <w:szCs w:val="24"/>
        </w:rPr>
        <w:t xml:space="preserve">. Pogorszył </w:t>
      </w:r>
      <w:r w:rsidR="001E5958">
        <w:rPr>
          <w:rFonts w:cs="Times New Roman"/>
          <w:szCs w:val="24"/>
        </w:rPr>
        <w:t>również</w:t>
      </w:r>
      <w:r w:rsidR="001E5958" w:rsidRPr="00CF2507">
        <w:rPr>
          <w:rFonts w:cs="Times New Roman"/>
          <w:szCs w:val="24"/>
        </w:rPr>
        <w:t xml:space="preserve"> </w:t>
      </w:r>
      <w:r w:rsidR="00450A8C" w:rsidRPr="00CF2507">
        <w:rPr>
          <w:rFonts w:cs="Times New Roman"/>
          <w:szCs w:val="24"/>
        </w:rPr>
        <w:t xml:space="preserve">optymistyczne </w:t>
      </w:r>
      <w:r w:rsidR="00BC0B2F">
        <w:rPr>
          <w:rFonts w:cs="Times New Roman"/>
          <w:szCs w:val="24"/>
        </w:rPr>
        <w:t xml:space="preserve">dotąd </w:t>
      </w:r>
      <w:r w:rsidR="00450A8C" w:rsidRPr="00CF2507">
        <w:rPr>
          <w:rFonts w:cs="Times New Roman"/>
          <w:szCs w:val="24"/>
        </w:rPr>
        <w:t xml:space="preserve">nastroje. </w:t>
      </w:r>
      <w:r w:rsidR="00693C29" w:rsidRPr="00CF2507">
        <w:rPr>
          <w:rFonts w:cs="Times New Roman"/>
          <w:szCs w:val="24"/>
        </w:rPr>
        <w:t xml:space="preserve">Wszystkie te </w:t>
      </w:r>
      <w:r w:rsidR="00356F87" w:rsidRPr="00CF2507">
        <w:rPr>
          <w:rFonts w:cs="Times New Roman"/>
          <w:szCs w:val="24"/>
        </w:rPr>
        <w:t>zdarzenia</w:t>
      </w:r>
      <w:r w:rsidR="00693C29" w:rsidRPr="00CF2507">
        <w:rPr>
          <w:rFonts w:cs="Times New Roman"/>
          <w:szCs w:val="24"/>
        </w:rPr>
        <w:t xml:space="preserve"> miały miejsce również w Polsce. </w:t>
      </w:r>
      <w:r w:rsidR="00D308E1" w:rsidRPr="00CF2507">
        <w:rPr>
          <w:rFonts w:cs="Times New Roman"/>
          <w:szCs w:val="24"/>
        </w:rPr>
        <w:t>Instytucje</w:t>
      </w:r>
      <w:r w:rsidR="00A45801">
        <w:rPr>
          <w:rFonts w:cs="Times New Roman"/>
          <w:szCs w:val="24"/>
        </w:rPr>
        <w:t xml:space="preserve"> nadzoru finansowego</w:t>
      </w:r>
      <w:r w:rsidR="001A67DA">
        <w:rPr>
          <w:rFonts w:cs="Times New Roman"/>
          <w:szCs w:val="24"/>
        </w:rPr>
        <w:t>,</w:t>
      </w:r>
      <w:r w:rsidR="001E1D97">
        <w:rPr>
          <w:rFonts w:cs="Times New Roman"/>
          <w:szCs w:val="24"/>
        </w:rPr>
        <w:t xml:space="preserve"> w odpowiedzi na rosnącą skalę zadłużenia gospodarstw domowych w walutach obcych</w:t>
      </w:r>
      <w:r w:rsidR="001A67DA">
        <w:rPr>
          <w:rFonts w:cs="Times New Roman"/>
          <w:szCs w:val="24"/>
        </w:rPr>
        <w:t>,</w:t>
      </w:r>
      <w:r w:rsidR="00D308E1" w:rsidRPr="00CF2507">
        <w:rPr>
          <w:rFonts w:cs="Times New Roman"/>
          <w:szCs w:val="24"/>
        </w:rPr>
        <w:t xml:space="preserve"> wprowadziły regulacje, które utrudniły zaciągnięcie kredytów walutowych i nałożyły na banki wymogi, które doprowadziły do zaostrzenia polityki kredytowej. </w:t>
      </w:r>
      <w:r w:rsidR="004D0D8C" w:rsidRPr="00CF2507">
        <w:rPr>
          <w:rFonts w:cs="Times New Roman"/>
          <w:szCs w:val="24"/>
        </w:rPr>
        <w:t>Utrudniony dostęp do kredytów dewizowych oraz wzrost kursów walut zagranicznych</w:t>
      </w:r>
      <w:r w:rsidR="00ED4CA0">
        <w:rPr>
          <w:rFonts w:cs="Times New Roman"/>
          <w:szCs w:val="24"/>
        </w:rPr>
        <w:t xml:space="preserve"> </w:t>
      </w:r>
      <w:r w:rsidR="004D0D8C" w:rsidRPr="00CF2507">
        <w:rPr>
          <w:rFonts w:cs="Times New Roman"/>
          <w:szCs w:val="24"/>
        </w:rPr>
        <w:t xml:space="preserve">sprawiły, że uzyskanie kredytu walutowego dla dużej części gospodarstw domowych stało się niemożliwe, a co najmniej nieopłacalne. </w:t>
      </w:r>
      <w:r w:rsidR="004E5ED1" w:rsidRPr="00CF2507">
        <w:rPr>
          <w:rFonts w:cs="Times New Roman"/>
          <w:szCs w:val="24"/>
        </w:rPr>
        <w:t>Zmieniła się zwłaszcza sytuacja franka szwajcarskiego, po tym jak 15</w:t>
      </w:r>
      <w:r w:rsidR="003B26EA" w:rsidRPr="00CF2507">
        <w:rPr>
          <w:rFonts w:cs="Times New Roman"/>
          <w:szCs w:val="24"/>
        </w:rPr>
        <w:t>.01.</w:t>
      </w:r>
      <w:r w:rsidR="004E5ED1" w:rsidRPr="00CF2507">
        <w:rPr>
          <w:rFonts w:cs="Times New Roman"/>
          <w:szCs w:val="24"/>
        </w:rPr>
        <w:t>2015</w:t>
      </w:r>
      <w:r w:rsidR="00B16C74">
        <w:rPr>
          <w:rFonts w:cs="Times New Roman"/>
          <w:szCs w:val="24"/>
        </w:rPr>
        <w:t xml:space="preserve"> </w:t>
      </w:r>
      <w:r w:rsidR="003B26EA" w:rsidRPr="00CF2507">
        <w:rPr>
          <w:rFonts w:cs="Times New Roman"/>
          <w:szCs w:val="24"/>
        </w:rPr>
        <w:t xml:space="preserve">r. </w:t>
      </w:r>
      <w:r w:rsidR="004E5ED1" w:rsidRPr="00CF2507">
        <w:rPr>
          <w:rFonts w:cs="Times New Roman"/>
          <w:szCs w:val="24"/>
        </w:rPr>
        <w:t xml:space="preserve">Szwajcarski Bank </w:t>
      </w:r>
      <w:r w:rsidR="0004278E">
        <w:rPr>
          <w:rFonts w:cs="Times New Roman"/>
          <w:szCs w:val="24"/>
        </w:rPr>
        <w:t>Narodowy</w:t>
      </w:r>
      <w:r w:rsidR="004E5ED1" w:rsidRPr="00CF2507">
        <w:rPr>
          <w:rFonts w:cs="Times New Roman"/>
          <w:szCs w:val="24"/>
        </w:rPr>
        <w:t xml:space="preserve"> ogłosił, że </w:t>
      </w:r>
      <w:r w:rsidR="00204F71" w:rsidRPr="00CF2507">
        <w:rPr>
          <w:rFonts w:cs="Times New Roman"/>
          <w:szCs w:val="24"/>
        </w:rPr>
        <w:t xml:space="preserve">nie zamierza dłużej utrzymywać sztucznego powiązania </w:t>
      </w:r>
      <w:r w:rsidR="004E5ED1" w:rsidRPr="00CF2507">
        <w:rPr>
          <w:rFonts w:cs="Times New Roman"/>
          <w:szCs w:val="24"/>
        </w:rPr>
        <w:t>narodowej waluty z euro, co</w:t>
      </w:r>
      <w:r w:rsidR="00204F71" w:rsidRPr="00CF2507">
        <w:rPr>
          <w:rFonts w:cs="Times New Roman"/>
          <w:szCs w:val="24"/>
        </w:rPr>
        <w:t xml:space="preserve"> przełożyło się na jeszcze szybszy wzrost kursu CHF</w:t>
      </w:r>
      <w:r w:rsidR="004E5ED1" w:rsidRPr="00CF2507">
        <w:rPr>
          <w:rStyle w:val="Odwoanieprzypisudolnego"/>
          <w:rFonts w:cs="Times New Roman"/>
          <w:szCs w:val="24"/>
        </w:rPr>
        <w:footnoteReference w:id="26"/>
      </w:r>
      <w:r w:rsidR="004E5ED1" w:rsidRPr="00CF2507">
        <w:rPr>
          <w:rFonts w:cs="Times New Roman"/>
          <w:szCs w:val="24"/>
        </w:rPr>
        <w:t>.</w:t>
      </w:r>
    </w:p>
    <w:p w14:paraId="1B83CCB7" w14:textId="7F9850C0" w:rsidR="006C763C" w:rsidRPr="00CF2507" w:rsidRDefault="00204F71" w:rsidP="00D80D68">
      <w:pPr>
        <w:spacing w:after="0" w:line="360" w:lineRule="auto"/>
        <w:jc w:val="both"/>
        <w:rPr>
          <w:rFonts w:cs="Times New Roman"/>
          <w:szCs w:val="24"/>
        </w:rPr>
      </w:pPr>
      <w:r w:rsidRPr="00CF2507">
        <w:rPr>
          <w:rFonts w:cs="Times New Roman"/>
          <w:szCs w:val="24"/>
        </w:rPr>
        <w:tab/>
        <w:t xml:space="preserve">Aprecjacja walut zagranicznych i </w:t>
      </w:r>
      <w:r w:rsidR="003D61F2" w:rsidRPr="00CF2507">
        <w:rPr>
          <w:rFonts w:cs="Times New Roman"/>
          <w:szCs w:val="24"/>
        </w:rPr>
        <w:t xml:space="preserve">ustabilizowanie się stóp oprocentowania kredytów na rynku międzybankowym </w:t>
      </w:r>
      <w:r w:rsidR="001C2284" w:rsidRPr="00CF2507">
        <w:rPr>
          <w:rFonts w:cs="Times New Roman"/>
          <w:szCs w:val="24"/>
        </w:rPr>
        <w:t xml:space="preserve">uzmysłowiła ówczesnym kredytobiorcom posiadającym kredyty walutowe, a także potencjalnym nowym aplikującym, że </w:t>
      </w:r>
      <w:r w:rsidR="00043F2A" w:rsidRPr="00CF2507">
        <w:rPr>
          <w:rFonts w:cs="Times New Roman"/>
          <w:szCs w:val="24"/>
        </w:rPr>
        <w:t xml:space="preserve">długoterminowe spekulacje i próby przewidzenia kursów walut i stóp oprocentowania są niezwykle trudne, jeśli nie niemożliwe. </w:t>
      </w:r>
      <w:r w:rsidR="003C45B6" w:rsidRPr="00CF2507">
        <w:rPr>
          <w:rFonts w:cs="Times New Roman"/>
          <w:szCs w:val="24"/>
        </w:rPr>
        <w:t>Wystąpienie ryzyka walutowego sprawiło, że koszty obsługi kredytów walutowych znacznie wzrosły w porównaniu do prognoz</w:t>
      </w:r>
      <w:r w:rsidR="00AC2A03" w:rsidRPr="00CF2507">
        <w:rPr>
          <w:rFonts w:cs="Times New Roman"/>
          <w:szCs w:val="24"/>
        </w:rPr>
        <w:t xml:space="preserve"> przed</w:t>
      </w:r>
      <w:r w:rsidR="00440C45" w:rsidRPr="00CF2507">
        <w:rPr>
          <w:rFonts w:cs="Times New Roman"/>
          <w:szCs w:val="24"/>
        </w:rPr>
        <w:t xml:space="preserve"> podpisani</w:t>
      </w:r>
      <w:r w:rsidR="00AC2A03" w:rsidRPr="00CF2507">
        <w:rPr>
          <w:rFonts w:cs="Times New Roman"/>
          <w:szCs w:val="24"/>
        </w:rPr>
        <w:t>em</w:t>
      </w:r>
      <w:r w:rsidR="00440C45" w:rsidRPr="00CF2507">
        <w:rPr>
          <w:rFonts w:cs="Times New Roman"/>
          <w:szCs w:val="24"/>
        </w:rPr>
        <w:t xml:space="preserve"> umów kredytowych</w:t>
      </w:r>
      <w:r w:rsidR="00101F62" w:rsidRPr="00CF2507">
        <w:rPr>
          <w:rFonts w:cs="Times New Roman"/>
          <w:szCs w:val="24"/>
        </w:rPr>
        <w:t>.</w:t>
      </w:r>
      <w:r w:rsidR="006E6395" w:rsidRPr="00CF2507">
        <w:rPr>
          <w:rFonts w:cs="Times New Roman"/>
          <w:szCs w:val="24"/>
        </w:rPr>
        <w:t xml:space="preserve"> </w:t>
      </w:r>
    </w:p>
    <w:p w14:paraId="155545D3" w14:textId="42BB764B" w:rsidR="00131265" w:rsidRPr="00131265" w:rsidRDefault="00131265" w:rsidP="00131265">
      <w:pPr>
        <w:pStyle w:val="Legenda"/>
        <w:keepNext/>
        <w:spacing w:line="360" w:lineRule="auto"/>
        <w:jc w:val="both"/>
        <w:rPr>
          <w:i w:val="0"/>
          <w:color w:val="auto"/>
          <w:sz w:val="24"/>
        </w:rPr>
      </w:pPr>
      <w:bookmarkStart w:id="11" w:name="_Toc513544698"/>
      <w:r w:rsidRPr="00131265">
        <w:rPr>
          <w:i w:val="0"/>
          <w:color w:val="auto"/>
          <w:sz w:val="24"/>
        </w:rPr>
        <w:lastRenderedPageBreak/>
        <w:t xml:space="preserve">Wykres </w:t>
      </w:r>
      <w:r w:rsidRPr="00131265">
        <w:rPr>
          <w:i w:val="0"/>
          <w:color w:val="auto"/>
          <w:sz w:val="24"/>
        </w:rPr>
        <w:fldChar w:fldCharType="begin"/>
      </w:r>
      <w:r w:rsidRPr="00131265">
        <w:rPr>
          <w:i w:val="0"/>
          <w:color w:val="auto"/>
          <w:sz w:val="24"/>
        </w:rPr>
        <w:instrText xml:space="preserve"> SEQ Wykres \* ARABIC </w:instrText>
      </w:r>
      <w:r w:rsidRPr="00131265">
        <w:rPr>
          <w:i w:val="0"/>
          <w:color w:val="auto"/>
          <w:sz w:val="24"/>
        </w:rPr>
        <w:fldChar w:fldCharType="separate"/>
      </w:r>
      <w:r w:rsidR="00C046DB">
        <w:rPr>
          <w:i w:val="0"/>
          <w:noProof/>
          <w:color w:val="auto"/>
          <w:sz w:val="24"/>
        </w:rPr>
        <w:t>4</w:t>
      </w:r>
      <w:r w:rsidRPr="00131265">
        <w:rPr>
          <w:i w:val="0"/>
          <w:color w:val="auto"/>
          <w:sz w:val="24"/>
        </w:rPr>
        <w:fldChar w:fldCharType="end"/>
      </w:r>
      <w:r w:rsidRPr="00131265">
        <w:rPr>
          <w:i w:val="0"/>
          <w:color w:val="auto"/>
          <w:sz w:val="24"/>
        </w:rPr>
        <w:t>. Struktura nowo udzielonych kredytów mieszkaniowych w latach 2005-2015</w:t>
      </w:r>
      <w:r w:rsidR="0047299C">
        <w:rPr>
          <w:i w:val="0"/>
          <w:color w:val="auto"/>
          <w:sz w:val="24"/>
        </w:rPr>
        <w:t xml:space="preserve"> </w:t>
      </w:r>
      <w:r w:rsidR="000F2C71">
        <w:rPr>
          <w:i w:val="0"/>
          <w:color w:val="auto"/>
          <w:sz w:val="24"/>
        </w:rPr>
        <w:t>w Polsce</w:t>
      </w:r>
      <w:r w:rsidRPr="00131265">
        <w:rPr>
          <w:i w:val="0"/>
          <w:color w:val="auto"/>
          <w:sz w:val="24"/>
        </w:rPr>
        <w:t>.</w:t>
      </w:r>
      <w:bookmarkEnd w:id="11"/>
    </w:p>
    <w:p w14:paraId="1CB7E37B" w14:textId="104B6CED" w:rsidR="006C763C" w:rsidRPr="00CF2507" w:rsidRDefault="006B761E" w:rsidP="00A41C71">
      <w:pPr>
        <w:keepNext/>
        <w:spacing w:line="360" w:lineRule="auto"/>
        <w:jc w:val="both"/>
        <w:rPr>
          <w:rFonts w:cs="Times New Roman"/>
          <w:szCs w:val="24"/>
        </w:rPr>
      </w:pPr>
      <w:r w:rsidRPr="00CF2507">
        <w:rPr>
          <w:noProof/>
          <w:szCs w:val="24"/>
          <w:lang w:eastAsia="pl-PL"/>
        </w:rPr>
        <w:drawing>
          <wp:inline distT="0" distB="0" distL="0" distR="0" wp14:anchorId="7D0C16A6" wp14:editId="3F76E83B">
            <wp:extent cx="5781675" cy="2352675"/>
            <wp:effectExtent l="0" t="0" r="9525" b="9525"/>
            <wp:docPr id="14" name="Wykres 14">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5649F95" w14:textId="6E24BC70" w:rsidR="006C763C" w:rsidRPr="00CF2507" w:rsidRDefault="006C763C" w:rsidP="00D80D68">
      <w:pPr>
        <w:spacing w:after="0" w:line="360" w:lineRule="auto"/>
        <w:jc w:val="both"/>
        <w:rPr>
          <w:rFonts w:cs="Times New Roman"/>
          <w:szCs w:val="24"/>
        </w:rPr>
      </w:pPr>
      <w:r w:rsidRPr="00CF2507">
        <w:rPr>
          <w:rFonts w:cs="Times New Roman"/>
          <w:szCs w:val="24"/>
        </w:rPr>
        <w:t>Źródło: Opracowanie własne na podstawie sprawozdania BIK</w:t>
      </w:r>
      <w:r w:rsidR="00004496">
        <w:rPr>
          <w:rStyle w:val="Odwoanieprzypisudolnego"/>
          <w:rFonts w:cs="Times New Roman"/>
          <w:szCs w:val="24"/>
        </w:rPr>
        <w:footnoteReference w:id="27"/>
      </w:r>
      <w:r w:rsidRPr="00CF2507">
        <w:rPr>
          <w:rFonts w:cs="Times New Roman"/>
          <w:szCs w:val="24"/>
        </w:rPr>
        <w:t>.</w:t>
      </w:r>
    </w:p>
    <w:p w14:paraId="53ABA57E" w14:textId="63E0D36F" w:rsidR="001F55B9" w:rsidRPr="00CF2507" w:rsidRDefault="001F55B9" w:rsidP="00D80D68">
      <w:pPr>
        <w:spacing w:after="0" w:line="360" w:lineRule="auto"/>
        <w:jc w:val="both"/>
        <w:rPr>
          <w:rFonts w:cs="Times New Roman"/>
          <w:szCs w:val="24"/>
        </w:rPr>
      </w:pPr>
      <w:r w:rsidRPr="00CF2507">
        <w:rPr>
          <w:rFonts w:cs="Times New Roman"/>
          <w:szCs w:val="24"/>
        </w:rPr>
        <w:tab/>
        <w:t xml:space="preserve">Na </w:t>
      </w:r>
      <w:r w:rsidR="004D27D9">
        <w:rPr>
          <w:rFonts w:cs="Times New Roman"/>
          <w:szCs w:val="24"/>
        </w:rPr>
        <w:t>w</w:t>
      </w:r>
      <w:r w:rsidRPr="00CF2507">
        <w:rPr>
          <w:rFonts w:cs="Times New Roman"/>
          <w:szCs w:val="24"/>
        </w:rPr>
        <w:t>ykresie 4 zobrazowano strukturę</w:t>
      </w:r>
      <w:r w:rsidR="00C019C1">
        <w:rPr>
          <w:rFonts w:cs="Times New Roman"/>
          <w:szCs w:val="24"/>
        </w:rPr>
        <w:t xml:space="preserve"> nowo</w:t>
      </w:r>
      <w:r w:rsidRPr="00CF2507">
        <w:rPr>
          <w:rFonts w:cs="Times New Roman"/>
          <w:szCs w:val="24"/>
        </w:rPr>
        <w:t xml:space="preserve"> udzielonych kredytów mieszkaniowych w latach 2005-2015 w Polsce. Wyraźnie widoczny jest trend spadkowy w liczbie sprzedanych kredytów dewizowych. </w:t>
      </w:r>
    </w:p>
    <w:p w14:paraId="46AAF8C9" w14:textId="54170280" w:rsidR="000C65BF" w:rsidRDefault="006E6395" w:rsidP="00D80D68">
      <w:pPr>
        <w:spacing w:after="0" w:line="360" w:lineRule="auto"/>
        <w:jc w:val="both"/>
        <w:rPr>
          <w:rFonts w:cs="Times New Roman"/>
          <w:szCs w:val="24"/>
        </w:rPr>
      </w:pPr>
      <w:r w:rsidRPr="00CF2507">
        <w:rPr>
          <w:rFonts w:cs="Times New Roman"/>
          <w:szCs w:val="24"/>
        </w:rPr>
        <w:tab/>
        <w:t xml:space="preserve">Wysokie koszty obsługi, regulacje nadzoru finansowe i </w:t>
      </w:r>
      <w:r w:rsidR="002D69F8" w:rsidRPr="00CF2507">
        <w:rPr>
          <w:rFonts w:cs="Times New Roman"/>
          <w:szCs w:val="24"/>
        </w:rPr>
        <w:t xml:space="preserve">duża niepewność sprawiły, że kredyty walutowe nie cieszą się obecnie dużą popularnością. </w:t>
      </w:r>
      <w:r w:rsidR="00BD74A7" w:rsidRPr="00CF2507">
        <w:rPr>
          <w:rFonts w:cs="Times New Roman"/>
          <w:szCs w:val="24"/>
        </w:rPr>
        <w:t>Po wybuchu ostatniego krachu finansowego ich liczba jest bardzo niska</w:t>
      </w:r>
      <w:r w:rsidR="00672906" w:rsidRPr="00CF2507">
        <w:rPr>
          <w:rFonts w:cs="Times New Roman"/>
          <w:szCs w:val="24"/>
        </w:rPr>
        <w:t>. Zmniejszyła się z 179 699 sztuk w 2008r. do zaledwie 2575 w 2015r.</w:t>
      </w:r>
      <w:r w:rsidR="000C37FB" w:rsidRPr="00CF2507">
        <w:rPr>
          <w:rStyle w:val="Odwoanieprzypisudolnego"/>
          <w:rFonts w:cs="Times New Roman"/>
          <w:szCs w:val="24"/>
        </w:rPr>
        <w:footnoteReference w:id="28"/>
      </w:r>
      <w:r w:rsidR="00BD74A7" w:rsidRPr="00CF2507">
        <w:rPr>
          <w:rFonts w:cs="Times New Roman"/>
          <w:szCs w:val="24"/>
        </w:rPr>
        <w:t>.</w:t>
      </w:r>
    </w:p>
    <w:p w14:paraId="46BA54D7" w14:textId="77777777" w:rsidR="00AE75C6" w:rsidRDefault="00AE75C6" w:rsidP="00D80D68">
      <w:pPr>
        <w:spacing w:line="360" w:lineRule="auto"/>
        <w:jc w:val="both"/>
        <w:rPr>
          <w:rFonts w:cs="Times New Roman"/>
          <w:szCs w:val="24"/>
        </w:rPr>
      </w:pPr>
      <w:r>
        <w:rPr>
          <w:rFonts w:cs="Times New Roman"/>
          <w:szCs w:val="24"/>
        </w:rPr>
        <w:br w:type="page"/>
      </w:r>
    </w:p>
    <w:p w14:paraId="3C618AE7" w14:textId="66F66CF0" w:rsidR="00131265" w:rsidRPr="00131265" w:rsidRDefault="00131265" w:rsidP="00131265">
      <w:pPr>
        <w:pStyle w:val="Legenda"/>
        <w:keepNext/>
        <w:spacing w:line="360" w:lineRule="auto"/>
        <w:jc w:val="both"/>
        <w:rPr>
          <w:i w:val="0"/>
          <w:color w:val="auto"/>
          <w:sz w:val="24"/>
          <w:szCs w:val="24"/>
        </w:rPr>
      </w:pPr>
      <w:bookmarkStart w:id="12" w:name="_Toc513544699"/>
      <w:r w:rsidRPr="00131265">
        <w:rPr>
          <w:i w:val="0"/>
          <w:color w:val="auto"/>
          <w:sz w:val="24"/>
          <w:szCs w:val="24"/>
        </w:rPr>
        <w:lastRenderedPageBreak/>
        <w:t xml:space="preserve">Wykres </w:t>
      </w:r>
      <w:r w:rsidRPr="00131265">
        <w:rPr>
          <w:i w:val="0"/>
          <w:color w:val="auto"/>
          <w:sz w:val="24"/>
          <w:szCs w:val="24"/>
        </w:rPr>
        <w:fldChar w:fldCharType="begin"/>
      </w:r>
      <w:r w:rsidRPr="00131265">
        <w:rPr>
          <w:i w:val="0"/>
          <w:color w:val="auto"/>
          <w:sz w:val="24"/>
          <w:szCs w:val="24"/>
        </w:rPr>
        <w:instrText xml:space="preserve"> SEQ Wykres \* ARABIC </w:instrText>
      </w:r>
      <w:r w:rsidRPr="00131265">
        <w:rPr>
          <w:i w:val="0"/>
          <w:color w:val="auto"/>
          <w:sz w:val="24"/>
          <w:szCs w:val="24"/>
        </w:rPr>
        <w:fldChar w:fldCharType="separate"/>
      </w:r>
      <w:r w:rsidR="00C046DB">
        <w:rPr>
          <w:i w:val="0"/>
          <w:noProof/>
          <w:color w:val="auto"/>
          <w:sz w:val="24"/>
          <w:szCs w:val="24"/>
        </w:rPr>
        <w:t>5</w:t>
      </w:r>
      <w:r w:rsidRPr="00131265">
        <w:rPr>
          <w:i w:val="0"/>
          <w:color w:val="auto"/>
          <w:sz w:val="24"/>
          <w:szCs w:val="24"/>
        </w:rPr>
        <w:fldChar w:fldCharType="end"/>
      </w:r>
      <w:r w:rsidRPr="00131265">
        <w:rPr>
          <w:i w:val="0"/>
          <w:color w:val="auto"/>
          <w:sz w:val="24"/>
          <w:szCs w:val="24"/>
        </w:rPr>
        <w:t>. Porównanie wartości (w mld zł) i struktury walutowej kredytów mieszkaniowych w latach 2009-2017 w Polsce.</w:t>
      </w:r>
      <w:bookmarkEnd w:id="12"/>
    </w:p>
    <w:p w14:paraId="02D21954" w14:textId="40D82D7B" w:rsidR="00C14D26" w:rsidRPr="000C65BF" w:rsidRDefault="00D91B3B" w:rsidP="00D27B80">
      <w:pPr>
        <w:keepNext/>
        <w:spacing w:after="0" w:line="360" w:lineRule="auto"/>
        <w:jc w:val="both"/>
        <w:rPr>
          <w:rFonts w:cs="Times New Roman"/>
          <w:szCs w:val="24"/>
        </w:rPr>
      </w:pPr>
      <w:r>
        <w:rPr>
          <w:noProof/>
          <w:lang w:eastAsia="pl-PL"/>
        </w:rPr>
        <w:drawing>
          <wp:inline distT="0" distB="0" distL="0" distR="0" wp14:anchorId="4055910A" wp14:editId="1C73A9BE">
            <wp:extent cx="5762625" cy="2667000"/>
            <wp:effectExtent l="0" t="0" r="9525" b="0"/>
            <wp:docPr id="6" name="Wykres 6">
              <a:extLst xmlns:a="http://schemas.openxmlformats.org/drawingml/2006/main">
                <a:ext uri="{FF2B5EF4-FFF2-40B4-BE49-F238E27FC236}">
                  <a16:creationId xmlns:a16="http://schemas.microsoft.com/office/drawing/2014/main" id="{03BC5605-F038-4817-901B-58F5E2F2D0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C76AB0F" w14:textId="4EF0BDC9" w:rsidR="001A445E" w:rsidRPr="00CF2507" w:rsidRDefault="001A445E" w:rsidP="00D80D68">
      <w:pPr>
        <w:spacing w:after="0" w:line="360" w:lineRule="auto"/>
        <w:jc w:val="both"/>
        <w:rPr>
          <w:rFonts w:cs="Times New Roman"/>
          <w:szCs w:val="24"/>
        </w:rPr>
      </w:pPr>
      <w:r w:rsidRPr="00CF2507">
        <w:rPr>
          <w:rFonts w:cs="Times New Roman"/>
          <w:szCs w:val="24"/>
        </w:rPr>
        <w:t xml:space="preserve">Źródło: </w:t>
      </w:r>
      <w:r w:rsidR="00CF23E2" w:rsidRPr="00CF2507">
        <w:rPr>
          <w:rFonts w:cs="Times New Roman"/>
          <w:szCs w:val="24"/>
        </w:rPr>
        <w:t>Opracowanie własne na podstawie sprawozda</w:t>
      </w:r>
      <w:r w:rsidR="000401E0">
        <w:rPr>
          <w:rFonts w:cs="Times New Roman"/>
          <w:szCs w:val="24"/>
        </w:rPr>
        <w:t>nia</w:t>
      </w:r>
      <w:r w:rsidR="00D75693" w:rsidRPr="00CF2507">
        <w:rPr>
          <w:rFonts w:cs="Times New Roman"/>
          <w:szCs w:val="24"/>
        </w:rPr>
        <w:t xml:space="preserve"> NBP</w:t>
      </w:r>
      <w:r w:rsidR="009E41A9">
        <w:rPr>
          <w:rStyle w:val="Odwoanieprzypisudolnego"/>
          <w:rFonts w:cs="Times New Roman"/>
          <w:szCs w:val="24"/>
        </w:rPr>
        <w:footnoteReference w:id="29"/>
      </w:r>
      <w:r w:rsidRPr="00CF2507">
        <w:rPr>
          <w:rFonts w:cs="Times New Roman"/>
          <w:szCs w:val="24"/>
        </w:rPr>
        <w:t>.</w:t>
      </w:r>
    </w:p>
    <w:p w14:paraId="3A1DDA66" w14:textId="719922A7" w:rsidR="00AC492B" w:rsidRDefault="00F34D65" w:rsidP="00D80D68">
      <w:pPr>
        <w:spacing w:after="0" w:line="360" w:lineRule="auto"/>
        <w:jc w:val="both"/>
        <w:rPr>
          <w:rFonts w:cs="Times New Roman"/>
          <w:szCs w:val="24"/>
        </w:rPr>
      </w:pPr>
      <w:r w:rsidRPr="00CF2507">
        <w:rPr>
          <w:rFonts w:cs="Times New Roman"/>
          <w:szCs w:val="24"/>
        </w:rPr>
        <w:tab/>
        <w:t xml:space="preserve">Na </w:t>
      </w:r>
      <w:r w:rsidR="00767A64">
        <w:rPr>
          <w:rFonts w:cs="Times New Roman"/>
          <w:szCs w:val="24"/>
        </w:rPr>
        <w:t>w</w:t>
      </w:r>
      <w:r w:rsidR="006B7678" w:rsidRPr="00CF2507">
        <w:rPr>
          <w:rFonts w:cs="Times New Roman"/>
          <w:szCs w:val="24"/>
        </w:rPr>
        <w:t>ykres</w:t>
      </w:r>
      <w:r w:rsidR="009D696E">
        <w:rPr>
          <w:rFonts w:cs="Times New Roman"/>
          <w:szCs w:val="24"/>
        </w:rPr>
        <w:t xml:space="preserve">ie </w:t>
      </w:r>
      <w:r w:rsidR="006B7678" w:rsidRPr="00CF2507">
        <w:rPr>
          <w:rFonts w:cs="Times New Roman"/>
          <w:szCs w:val="24"/>
        </w:rPr>
        <w:t xml:space="preserve">5 zobrazowano </w:t>
      </w:r>
      <w:r w:rsidR="000C584C">
        <w:rPr>
          <w:rFonts w:cs="Times New Roman"/>
          <w:szCs w:val="24"/>
        </w:rPr>
        <w:t xml:space="preserve">analizę </w:t>
      </w:r>
      <w:r w:rsidR="006B7678" w:rsidRPr="00CF2507">
        <w:rPr>
          <w:rFonts w:cs="Times New Roman"/>
          <w:szCs w:val="24"/>
        </w:rPr>
        <w:t>wartośc</w:t>
      </w:r>
      <w:r w:rsidR="000C584C">
        <w:rPr>
          <w:rFonts w:cs="Times New Roman"/>
          <w:szCs w:val="24"/>
        </w:rPr>
        <w:t>i i struktury walutowej</w:t>
      </w:r>
      <w:r w:rsidR="006B7678" w:rsidRPr="00CF2507">
        <w:rPr>
          <w:rFonts w:cs="Times New Roman"/>
          <w:szCs w:val="24"/>
        </w:rPr>
        <w:t xml:space="preserve"> kredytów </w:t>
      </w:r>
      <w:r w:rsidR="000C584C">
        <w:rPr>
          <w:rFonts w:cs="Times New Roman"/>
          <w:szCs w:val="24"/>
        </w:rPr>
        <w:t xml:space="preserve">mieszkaniowych </w:t>
      </w:r>
      <w:r w:rsidR="006B7678" w:rsidRPr="00CF2507">
        <w:rPr>
          <w:rFonts w:cs="Times New Roman"/>
          <w:szCs w:val="24"/>
        </w:rPr>
        <w:t xml:space="preserve">w </w:t>
      </w:r>
      <w:r w:rsidR="008E6BF1">
        <w:rPr>
          <w:rFonts w:cs="Times New Roman"/>
          <w:szCs w:val="24"/>
        </w:rPr>
        <w:t xml:space="preserve">latach </w:t>
      </w:r>
      <w:r w:rsidR="006B7678" w:rsidRPr="00CF2507">
        <w:rPr>
          <w:rFonts w:cs="Times New Roman"/>
          <w:szCs w:val="24"/>
        </w:rPr>
        <w:t>2009</w:t>
      </w:r>
      <w:r w:rsidR="008E6BF1">
        <w:rPr>
          <w:rFonts w:cs="Times New Roman"/>
          <w:szCs w:val="24"/>
        </w:rPr>
        <w:t>-2017</w:t>
      </w:r>
      <w:r w:rsidR="000C584C">
        <w:rPr>
          <w:rFonts w:cs="Times New Roman"/>
          <w:szCs w:val="24"/>
        </w:rPr>
        <w:t xml:space="preserve"> w Polsce</w:t>
      </w:r>
      <w:r w:rsidR="006B7678" w:rsidRPr="00CF2507">
        <w:rPr>
          <w:rFonts w:cs="Times New Roman"/>
          <w:szCs w:val="24"/>
        </w:rPr>
        <w:t xml:space="preserve">. </w:t>
      </w:r>
      <w:r w:rsidRPr="00CF2507">
        <w:rPr>
          <w:rFonts w:cs="Times New Roman"/>
          <w:szCs w:val="24"/>
        </w:rPr>
        <w:t>Wykres pokazu</w:t>
      </w:r>
      <w:r w:rsidR="00721607">
        <w:rPr>
          <w:rFonts w:cs="Times New Roman"/>
          <w:szCs w:val="24"/>
        </w:rPr>
        <w:t>je</w:t>
      </w:r>
      <w:r w:rsidRPr="00CF2507">
        <w:rPr>
          <w:rFonts w:cs="Times New Roman"/>
          <w:szCs w:val="24"/>
        </w:rPr>
        <w:t xml:space="preserve"> spadek </w:t>
      </w:r>
      <w:r w:rsidR="000F0D65">
        <w:rPr>
          <w:rFonts w:cs="Times New Roman"/>
          <w:szCs w:val="24"/>
        </w:rPr>
        <w:t xml:space="preserve">wartościowego i </w:t>
      </w:r>
      <w:r w:rsidRPr="00CF2507">
        <w:rPr>
          <w:rFonts w:cs="Times New Roman"/>
          <w:szCs w:val="24"/>
        </w:rPr>
        <w:t>procentowe</w:t>
      </w:r>
      <w:r w:rsidR="000F0D65">
        <w:rPr>
          <w:rFonts w:cs="Times New Roman"/>
          <w:szCs w:val="24"/>
        </w:rPr>
        <w:t>go</w:t>
      </w:r>
      <w:r w:rsidRPr="00CF2507">
        <w:rPr>
          <w:rFonts w:cs="Times New Roman"/>
          <w:szCs w:val="24"/>
        </w:rPr>
        <w:t xml:space="preserve"> </w:t>
      </w:r>
      <w:r w:rsidR="000F0D65">
        <w:rPr>
          <w:rFonts w:cs="Times New Roman"/>
          <w:szCs w:val="24"/>
        </w:rPr>
        <w:t>udziału</w:t>
      </w:r>
      <w:r w:rsidRPr="00CF2507">
        <w:rPr>
          <w:rFonts w:cs="Times New Roman"/>
          <w:szCs w:val="24"/>
        </w:rPr>
        <w:t xml:space="preserve"> kredytów walutowych w strukturze całości kredytów</w:t>
      </w:r>
      <w:r w:rsidR="002E5507">
        <w:rPr>
          <w:rFonts w:cs="Times New Roman"/>
          <w:szCs w:val="24"/>
        </w:rPr>
        <w:t xml:space="preserve"> w latach 2009-2017.</w:t>
      </w:r>
      <w:r w:rsidR="000401E0">
        <w:rPr>
          <w:rFonts w:cs="Times New Roman"/>
          <w:szCs w:val="24"/>
        </w:rPr>
        <w:t xml:space="preserve"> </w:t>
      </w:r>
      <w:r w:rsidR="00C91028">
        <w:rPr>
          <w:rFonts w:cs="Times New Roman"/>
          <w:szCs w:val="24"/>
        </w:rPr>
        <w:t>Wartość takich zobowiązań spadła o</w:t>
      </w:r>
      <w:r w:rsidR="00EA0F04">
        <w:rPr>
          <w:rFonts w:cs="Times New Roman"/>
          <w:szCs w:val="24"/>
        </w:rPr>
        <w:t xml:space="preserve"> </w:t>
      </w:r>
      <w:r w:rsidR="00C91028">
        <w:rPr>
          <w:rFonts w:cs="Times New Roman"/>
          <w:szCs w:val="24"/>
        </w:rPr>
        <w:t>9 mld zł, czyli o około 6,4%</w:t>
      </w:r>
      <w:r w:rsidRPr="00CF2507">
        <w:rPr>
          <w:rFonts w:cs="Times New Roman"/>
          <w:szCs w:val="24"/>
        </w:rPr>
        <w:t>.</w:t>
      </w:r>
      <w:r w:rsidR="00B94B05">
        <w:rPr>
          <w:rFonts w:cs="Times New Roman"/>
          <w:szCs w:val="24"/>
        </w:rPr>
        <w:t xml:space="preserve">Wartość kredytów hipotecznych w CHF spadła w tym czasie o 26 mld zł, </w:t>
      </w:r>
      <w:r w:rsidR="000D53EB">
        <w:rPr>
          <w:rFonts w:cs="Times New Roman"/>
          <w:szCs w:val="24"/>
        </w:rPr>
        <w:t>czyli około o 19,5%.</w:t>
      </w:r>
      <w:r w:rsidR="00EA0F04">
        <w:rPr>
          <w:rFonts w:cs="Times New Roman"/>
          <w:szCs w:val="24"/>
        </w:rPr>
        <w:t xml:space="preserve"> </w:t>
      </w:r>
      <w:r w:rsidR="002E4B16">
        <w:rPr>
          <w:rFonts w:cs="Times New Roman"/>
          <w:szCs w:val="24"/>
        </w:rPr>
        <w:t>Należy zwrócić</w:t>
      </w:r>
      <w:r w:rsidR="008B7D3A">
        <w:rPr>
          <w:rFonts w:cs="Times New Roman"/>
          <w:szCs w:val="24"/>
        </w:rPr>
        <w:t xml:space="preserve"> uwagę </w:t>
      </w:r>
      <w:r w:rsidR="002E4B16">
        <w:rPr>
          <w:rFonts w:cs="Times New Roman"/>
          <w:szCs w:val="24"/>
        </w:rPr>
        <w:t xml:space="preserve">na </w:t>
      </w:r>
      <w:r w:rsidR="008B7D3A">
        <w:rPr>
          <w:rFonts w:cs="Times New Roman"/>
          <w:szCs w:val="24"/>
        </w:rPr>
        <w:t xml:space="preserve">wzrost wartości kredytów hipotecznych w CHF odnotowany w latach 2014-2015. Był on spowodowany znaczącą aprecjacją CHF po uwolnieniu kursu EUR/CHF przez Szwajcarski Bank Narodowy 15.01.2015 r. </w:t>
      </w:r>
      <w:r w:rsidR="00EA0F04">
        <w:rPr>
          <w:rFonts w:cs="Times New Roman"/>
          <w:szCs w:val="24"/>
        </w:rPr>
        <w:t xml:space="preserve">O </w:t>
      </w:r>
      <w:r w:rsidR="005370D1">
        <w:rPr>
          <w:rFonts w:cs="Times New Roman"/>
          <w:szCs w:val="24"/>
        </w:rPr>
        <w:t>17 mld zł, czyli około o</w:t>
      </w:r>
      <w:r w:rsidR="0091734F">
        <w:rPr>
          <w:rFonts w:cs="Times New Roman"/>
          <w:szCs w:val="24"/>
        </w:rPr>
        <w:t xml:space="preserve"> 312,5%</w:t>
      </w:r>
      <w:r w:rsidR="005370D1">
        <w:rPr>
          <w:rFonts w:cs="Times New Roman"/>
          <w:szCs w:val="24"/>
        </w:rPr>
        <w:t xml:space="preserve"> w</w:t>
      </w:r>
      <w:r w:rsidR="00B94B05">
        <w:rPr>
          <w:rFonts w:cs="Times New Roman"/>
          <w:szCs w:val="24"/>
        </w:rPr>
        <w:t>zrosła za to wartość kredytów hipotecznych</w:t>
      </w:r>
      <w:r w:rsidR="005907AE">
        <w:rPr>
          <w:rFonts w:cs="Times New Roman"/>
          <w:szCs w:val="24"/>
        </w:rPr>
        <w:t xml:space="preserve"> udzielonych</w:t>
      </w:r>
      <w:r w:rsidR="00B94B05">
        <w:rPr>
          <w:rFonts w:cs="Times New Roman"/>
          <w:szCs w:val="24"/>
        </w:rPr>
        <w:t xml:space="preserve"> w innych walutach obcych</w:t>
      </w:r>
      <w:r w:rsidR="00A25DFA">
        <w:rPr>
          <w:rFonts w:cs="Times New Roman"/>
          <w:szCs w:val="24"/>
        </w:rPr>
        <w:t xml:space="preserve"> (głównie w EUR)</w:t>
      </w:r>
      <w:r w:rsidR="00A25DFA">
        <w:rPr>
          <w:rStyle w:val="Odwoanieprzypisudolnego"/>
          <w:rFonts w:cs="Times New Roman"/>
          <w:szCs w:val="24"/>
        </w:rPr>
        <w:footnoteReference w:id="30"/>
      </w:r>
      <w:r w:rsidR="00B94B05">
        <w:rPr>
          <w:rFonts w:cs="Times New Roman"/>
          <w:szCs w:val="24"/>
        </w:rPr>
        <w:t>.</w:t>
      </w:r>
      <w:r w:rsidR="009826A7">
        <w:rPr>
          <w:rFonts w:cs="Times New Roman"/>
          <w:szCs w:val="24"/>
        </w:rPr>
        <w:t xml:space="preserve"> </w:t>
      </w:r>
      <w:r w:rsidR="00DA7176">
        <w:rPr>
          <w:rFonts w:cs="Times New Roman"/>
          <w:szCs w:val="24"/>
        </w:rPr>
        <w:t>Znacznie wzrosła również wartość złotowych kredytów hipotecznych. Ich wartość wzrosła o 183 mld zł, czyli około o 340,8%.</w:t>
      </w:r>
      <w:r w:rsidR="00F011AF">
        <w:rPr>
          <w:rFonts w:cs="Times New Roman"/>
          <w:szCs w:val="24"/>
        </w:rPr>
        <w:t xml:space="preserve"> </w:t>
      </w:r>
      <w:r w:rsidR="00A62390" w:rsidRPr="00CF2507">
        <w:rPr>
          <w:rFonts w:cs="Times New Roman"/>
          <w:szCs w:val="24"/>
        </w:rPr>
        <w:t>Powod</w:t>
      </w:r>
      <w:r w:rsidR="00200ACC">
        <w:rPr>
          <w:rFonts w:cs="Times New Roman"/>
          <w:szCs w:val="24"/>
        </w:rPr>
        <w:t>ami</w:t>
      </w:r>
      <w:r w:rsidR="00A62390" w:rsidRPr="00CF2507">
        <w:rPr>
          <w:rFonts w:cs="Times New Roman"/>
          <w:szCs w:val="24"/>
        </w:rPr>
        <w:t xml:space="preserve"> takiej zmiany </w:t>
      </w:r>
      <w:r w:rsidR="00200ACC">
        <w:rPr>
          <w:rFonts w:cs="Times New Roman"/>
          <w:szCs w:val="24"/>
        </w:rPr>
        <w:t xml:space="preserve">struktury walutowej kredytów hipotecznych w Polsce </w:t>
      </w:r>
      <w:r w:rsidR="00A62390" w:rsidRPr="00CF2507">
        <w:rPr>
          <w:rFonts w:cs="Times New Roman"/>
          <w:szCs w:val="24"/>
        </w:rPr>
        <w:t xml:space="preserve">jest </w:t>
      </w:r>
      <w:r w:rsidR="00200ACC">
        <w:rPr>
          <w:rFonts w:cs="Times New Roman"/>
          <w:szCs w:val="24"/>
        </w:rPr>
        <w:t xml:space="preserve">utrudniony dostęp do kredytów walutowych po regulacjach wprowadzonych przez nadzór finansowy, </w:t>
      </w:r>
      <w:r w:rsidR="00DA7176">
        <w:rPr>
          <w:rFonts w:cs="Times New Roman"/>
          <w:szCs w:val="24"/>
        </w:rPr>
        <w:t xml:space="preserve">zmiana polityki kredytowej banków i lepsza świadomość </w:t>
      </w:r>
      <w:r w:rsidR="00EB62A3">
        <w:rPr>
          <w:rFonts w:cs="Times New Roman"/>
          <w:szCs w:val="24"/>
        </w:rPr>
        <w:t>nt.</w:t>
      </w:r>
      <w:r w:rsidR="00DA7176">
        <w:rPr>
          <w:rFonts w:cs="Times New Roman"/>
          <w:szCs w:val="24"/>
        </w:rPr>
        <w:t xml:space="preserve"> zagroże</w:t>
      </w:r>
      <w:r w:rsidR="00EB62A3">
        <w:rPr>
          <w:rFonts w:cs="Times New Roman"/>
          <w:szCs w:val="24"/>
        </w:rPr>
        <w:t>ń</w:t>
      </w:r>
      <w:r w:rsidR="00DA7176">
        <w:rPr>
          <w:rFonts w:cs="Times New Roman"/>
          <w:szCs w:val="24"/>
        </w:rPr>
        <w:t xml:space="preserve"> związanym z ryzykiem walutowym i ryzykiem zmiany procentowej, które wiążą się z zaciągnięciem kredytu hipotecznego dewizowego.</w:t>
      </w:r>
    </w:p>
    <w:p w14:paraId="2F191DCE" w14:textId="635AA801" w:rsidR="005907AE" w:rsidRDefault="00AC492B" w:rsidP="0093164E">
      <w:pPr>
        <w:rPr>
          <w:rFonts w:cs="Times New Roman"/>
          <w:szCs w:val="24"/>
        </w:rPr>
      </w:pPr>
      <w:r>
        <w:rPr>
          <w:rFonts w:cs="Times New Roman"/>
          <w:szCs w:val="24"/>
        </w:rPr>
        <w:br w:type="page"/>
      </w:r>
    </w:p>
    <w:p w14:paraId="1ACDE86A" w14:textId="2BE26A37" w:rsidR="00E2513D" w:rsidRPr="005806B1" w:rsidRDefault="00E2513D" w:rsidP="005806B1">
      <w:pPr>
        <w:pStyle w:val="Legenda"/>
        <w:keepNext/>
        <w:spacing w:line="360" w:lineRule="auto"/>
        <w:jc w:val="both"/>
        <w:rPr>
          <w:i w:val="0"/>
          <w:color w:val="auto"/>
          <w:sz w:val="24"/>
        </w:rPr>
      </w:pPr>
      <w:bookmarkStart w:id="13" w:name="_Toc513544700"/>
      <w:r w:rsidRPr="005806B1">
        <w:rPr>
          <w:i w:val="0"/>
          <w:color w:val="auto"/>
          <w:sz w:val="24"/>
        </w:rPr>
        <w:lastRenderedPageBreak/>
        <w:t xml:space="preserve">Wykres </w:t>
      </w:r>
      <w:r w:rsidRPr="005806B1">
        <w:rPr>
          <w:i w:val="0"/>
          <w:color w:val="auto"/>
          <w:sz w:val="24"/>
        </w:rPr>
        <w:fldChar w:fldCharType="begin"/>
      </w:r>
      <w:r w:rsidRPr="005806B1">
        <w:rPr>
          <w:i w:val="0"/>
          <w:color w:val="auto"/>
          <w:sz w:val="24"/>
        </w:rPr>
        <w:instrText xml:space="preserve"> SEQ Wykres \* ARABIC </w:instrText>
      </w:r>
      <w:r w:rsidRPr="005806B1">
        <w:rPr>
          <w:i w:val="0"/>
          <w:color w:val="auto"/>
          <w:sz w:val="24"/>
        </w:rPr>
        <w:fldChar w:fldCharType="separate"/>
      </w:r>
      <w:r w:rsidR="00C046DB">
        <w:rPr>
          <w:i w:val="0"/>
          <w:noProof/>
          <w:color w:val="auto"/>
          <w:sz w:val="24"/>
        </w:rPr>
        <w:t>6</w:t>
      </w:r>
      <w:r w:rsidRPr="005806B1">
        <w:rPr>
          <w:i w:val="0"/>
          <w:color w:val="auto"/>
          <w:sz w:val="24"/>
        </w:rPr>
        <w:fldChar w:fldCharType="end"/>
      </w:r>
      <w:r w:rsidRPr="005806B1">
        <w:rPr>
          <w:i w:val="0"/>
          <w:color w:val="auto"/>
          <w:sz w:val="24"/>
        </w:rPr>
        <w:t>. Liczba osób obsługujących kredyty mieszkaniowe (w tys</w:t>
      </w:r>
      <w:r w:rsidR="005A7661">
        <w:rPr>
          <w:i w:val="0"/>
          <w:color w:val="auto"/>
          <w:sz w:val="24"/>
        </w:rPr>
        <w:t>.</w:t>
      </w:r>
      <w:r w:rsidRPr="005806B1">
        <w:rPr>
          <w:i w:val="0"/>
          <w:color w:val="auto"/>
          <w:sz w:val="24"/>
        </w:rPr>
        <w:t xml:space="preserve">) w 2017 </w:t>
      </w:r>
      <w:r w:rsidR="005806B1">
        <w:rPr>
          <w:i w:val="0"/>
          <w:color w:val="auto"/>
          <w:sz w:val="24"/>
        </w:rPr>
        <w:t>r. w Polsce</w:t>
      </w:r>
      <w:r w:rsidRPr="005806B1">
        <w:rPr>
          <w:i w:val="0"/>
          <w:color w:val="auto"/>
          <w:sz w:val="24"/>
        </w:rPr>
        <w:t>.</w:t>
      </w:r>
      <w:bookmarkEnd w:id="13"/>
    </w:p>
    <w:p w14:paraId="5D60FA7E" w14:textId="73745599" w:rsidR="001A445E" w:rsidRPr="00CF2507" w:rsidRDefault="002502AA" w:rsidP="00D27B80">
      <w:pPr>
        <w:keepNext/>
        <w:spacing w:line="360" w:lineRule="auto"/>
        <w:jc w:val="both"/>
        <w:rPr>
          <w:rFonts w:cs="Times New Roman"/>
          <w:b/>
          <w:szCs w:val="24"/>
        </w:rPr>
      </w:pPr>
      <w:r>
        <w:rPr>
          <w:noProof/>
          <w:lang w:eastAsia="pl-PL"/>
        </w:rPr>
        <w:drawing>
          <wp:inline distT="0" distB="0" distL="0" distR="0" wp14:anchorId="5104B23C" wp14:editId="23404B4B">
            <wp:extent cx="5686425" cy="2905125"/>
            <wp:effectExtent l="0" t="0" r="9525" b="9525"/>
            <wp:docPr id="17" name="Wykres 17">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8B23541" w14:textId="14962F41" w:rsidR="001A445E" w:rsidRPr="00CF2507" w:rsidRDefault="00740919" w:rsidP="00D80D68">
      <w:pPr>
        <w:spacing w:line="360" w:lineRule="auto"/>
        <w:jc w:val="both"/>
        <w:rPr>
          <w:rFonts w:cs="Times New Roman"/>
          <w:szCs w:val="24"/>
        </w:rPr>
      </w:pPr>
      <w:r w:rsidRPr="00CF2507">
        <w:rPr>
          <w:rFonts w:cs="Times New Roman"/>
          <w:szCs w:val="24"/>
        </w:rPr>
        <w:t>Źródło: Opracowanie własne na podstawie sprawozd</w:t>
      </w:r>
      <w:r w:rsidR="00D72EB3" w:rsidRPr="00CF2507">
        <w:rPr>
          <w:rFonts w:cs="Times New Roman"/>
          <w:szCs w:val="24"/>
        </w:rPr>
        <w:t>ania</w:t>
      </w:r>
      <w:r w:rsidRPr="00CF2507">
        <w:rPr>
          <w:rFonts w:cs="Times New Roman"/>
          <w:szCs w:val="24"/>
        </w:rPr>
        <w:t xml:space="preserve"> BIK</w:t>
      </w:r>
      <w:r w:rsidR="005845C0">
        <w:rPr>
          <w:rStyle w:val="Odwoanieprzypisudolnego"/>
          <w:rFonts w:cs="Times New Roman"/>
          <w:szCs w:val="24"/>
        </w:rPr>
        <w:footnoteReference w:id="31"/>
      </w:r>
      <w:r w:rsidRPr="00CF2507">
        <w:rPr>
          <w:rFonts w:cs="Times New Roman"/>
          <w:szCs w:val="24"/>
        </w:rPr>
        <w:t>.</w:t>
      </w:r>
    </w:p>
    <w:p w14:paraId="3D3E3EBA" w14:textId="5677D082" w:rsidR="00A77DF6" w:rsidRDefault="00D72EB3" w:rsidP="00D80D68">
      <w:pPr>
        <w:spacing w:line="360" w:lineRule="auto"/>
        <w:jc w:val="both"/>
        <w:rPr>
          <w:rFonts w:cs="Times New Roman"/>
          <w:szCs w:val="24"/>
        </w:rPr>
      </w:pPr>
      <w:r w:rsidRPr="00CF2507">
        <w:rPr>
          <w:rFonts w:cs="Times New Roman"/>
          <w:szCs w:val="24"/>
        </w:rPr>
        <w:tab/>
      </w:r>
      <w:r w:rsidR="002F7800" w:rsidRPr="00CF2507">
        <w:rPr>
          <w:rFonts w:cs="Times New Roman"/>
          <w:szCs w:val="24"/>
        </w:rPr>
        <w:t xml:space="preserve">Na </w:t>
      </w:r>
      <w:r w:rsidR="00EC2E70">
        <w:rPr>
          <w:rFonts w:cs="Times New Roman"/>
          <w:szCs w:val="24"/>
        </w:rPr>
        <w:t>w</w:t>
      </w:r>
      <w:r w:rsidR="002F7800" w:rsidRPr="00CF2507">
        <w:rPr>
          <w:rFonts w:cs="Times New Roman"/>
          <w:szCs w:val="24"/>
        </w:rPr>
        <w:t xml:space="preserve">ykresie </w:t>
      </w:r>
      <w:r w:rsidR="00721607">
        <w:rPr>
          <w:rFonts w:cs="Times New Roman"/>
          <w:szCs w:val="24"/>
        </w:rPr>
        <w:t>6</w:t>
      </w:r>
      <w:r w:rsidR="002F7800" w:rsidRPr="00CF2507">
        <w:rPr>
          <w:rFonts w:cs="Times New Roman"/>
          <w:szCs w:val="24"/>
        </w:rPr>
        <w:t xml:space="preserve"> zobrazowano liczbę osób obsługujących kredyty hipoteczne złotowe i walutowe w 2017</w:t>
      </w:r>
      <w:r w:rsidR="00E957AD">
        <w:rPr>
          <w:rFonts w:cs="Times New Roman"/>
          <w:szCs w:val="24"/>
        </w:rPr>
        <w:t xml:space="preserve"> </w:t>
      </w:r>
      <w:r w:rsidR="002F7800" w:rsidRPr="00CF2507">
        <w:rPr>
          <w:rFonts w:cs="Times New Roman"/>
          <w:szCs w:val="24"/>
        </w:rPr>
        <w:t>r.</w:t>
      </w:r>
      <w:r w:rsidR="00D661FA">
        <w:rPr>
          <w:rFonts w:cs="Times New Roman"/>
          <w:szCs w:val="24"/>
        </w:rPr>
        <w:t xml:space="preserve"> w Polsce.</w:t>
      </w:r>
      <w:r w:rsidR="002F7800" w:rsidRPr="00CF2507">
        <w:rPr>
          <w:rFonts w:cs="Times New Roman"/>
          <w:szCs w:val="24"/>
        </w:rPr>
        <w:t xml:space="preserve"> </w:t>
      </w:r>
      <w:r w:rsidR="00125B18" w:rsidRPr="00CF2507">
        <w:rPr>
          <w:rFonts w:cs="Times New Roman"/>
          <w:szCs w:val="24"/>
        </w:rPr>
        <w:t>Kredytobiorc</w:t>
      </w:r>
      <w:r w:rsidR="00113A6E" w:rsidRPr="00CF2507">
        <w:rPr>
          <w:rFonts w:cs="Times New Roman"/>
          <w:szCs w:val="24"/>
        </w:rPr>
        <w:t>y w walutach zagranicz</w:t>
      </w:r>
      <w:r w:rsidR="00AF4B3F" w:rsidRPr="00CF2507">
        <w:rPr>
          <w:rFonts w:cs="Times New Roman"/>
          <w:szCs w:val="24"/>
        </w:rPr>
        <w:t>nych w dalszym ciągu stanowią 30</w:t>
      </w:r>
      <w:r w:rsidR="00113A6E" w:rsidRPr="00CF2507">
        <w:rPr>
          <w:rFonts w:cs="Times New Roman"/>
          <w:szCs w:val="24"/>
        </w:rPr>
        <w:t xml:space="preserve">% osób, które obsługują kredyty hipoteczne. </w:t>
      </w:r>
      <w:r w:rsidR="00AF4B3F" w:rsidRPr="00CF2507">
        <w:rPr>
          <w:rFonts w:cs="Times New Roman"/>
          <w:szCs w:val="24"/>
        </w:rPr>
        <w:t xml:space="preserve">Wciąż jest ich ponad 1 mln. Warto zauważyć, że wśród obsługujących kredyty mieszkaniowe znajduje się grono ok. 128 000 osób, które spłacają zarówno kredyty złotowe, jak i dewizowe. </w:t>
      </w:r>
      <w:r w:rsidR="00EB6D67" w:rsidRPr="00CF2507">
        <w:rPr>
          <w:rFonts w:cs="Times New Roman"/>
          <w:szCs w:val="24"/>
        </w:rPr>
        <w:t>Łącznie stanowią one ok. 3% liczby wszystkich kredytobiorców.</w:t>
      </w:r>
    </w:p>
    <w:p w14:paraId="37015E23" w14:textId="6DFFF51B" w:rsidR="00901108" w:rsidRPr="00901108" w:rsidRDefault="00901108" w:rsidP="00901108">
      <w:pPr>
        <w:pStyle w:val="Legenda"/>
        <w:keepNext/>
        <w:spacing w:line="360" w:lineRule="auto"/>
        <w:jc w:val="both"/>
        <w:rPr>
          <w:i w:val="0"/>
          <w:color w:val="auto"/>
          <w:sz w:val="24"/>
        </w:rPr>
      </w:pPr>
      <w:bookmarkStart w:id="14" w:name="_Toc513544701"/>
      <w:r w:rsidRPr="00901108">
        <w:rPr>
          <w:i w:val="0"/>
          <w:color w:val="auto"/>
          <w:sz w:val="24"/>
        </w:rPr>
        <w:lastRenderedPageBreak/>
        <w:t xml:space="preserve">Wykres </w:t>
      </w:r>
      <w:r w:rsidRPr="00901108">
        <w:rPr>
          <w:i w:val="0"/>
          <w:color w:val="auto"/>
          <w:sz w:val="24"/>
        </w:rPr>
        <w:fldChar w:fldCharType="begin"/>
      </w:r>
      <w:r w:rsidRPr="00901108">
        <w:rPr>
          <w:i w:val="0"/>
          <w:color w:val="auto"/>
          <w:sz w:val="24"/>
        </w:rPr>
        <w:instrText xml:space="preserve"> SEQ Wykres \* ARABIC </w:instrText>
      </w:r>
      <w:r w:rsidRPr="00901108">
        <w:rPr>
          <w:i w:val="0"/>
          <w:color w:val="auto"/>
          <w:sz w:val="24"/>
        </w:rPr>
        <w:fldChar w:fldCharType="separate"/>
      </w:r>
      <w:r w:rsidR="00C046DB">
        <w:rPr>
          <w:i w:val="0"/>
          <w:noProof/>
          <w:color w:val="auto"/>
          <w:sz w:val="24"/>
        </w:rPr>
        <w:t>7</w:t>
      </w:r>
      <w:r w:rsidRPr="00901108">
        <w:rPr>
          <w:i w:val="0"/>
          <w:color w:val="auto"/>
          <w:sz w:val="24"/>
        </w:rPr>
        <w:fldChar w:fldCharType="end"/>
      </w:r>
      <w:r w:rsidRPr="00901108">
        <w:rPr>
          <w:i w:val="0"/>
          <w:color w:val="auto"/>
          <w:sz w:val="24"/>
        </w:rPr>
        <w:t>. Stosunek strat należności sektora bankowego w Polsce z tytułu kredytów mieszkaniowych do ogólnej wartości kredytów mieszkaniowych w wartości bilansowej brutto według walut w latach 2009-2017.</w:t>
      </w:r>
      <w:bookmarkEnd w:id="14"/>
    </w:p>
    <w:p w14:paraId="32BC62DB" w14:textId="686925DD" w:rsidR="00C702D6" w:rsidRDefault="00FD3050" w:rsidP="00C702D6">
      <w:pPr>
        <w:keepNext/>
        <w:spacing w:line="360" w:lineRule="auto"/>
        <w:jc w:val="both"/>
        <w:rPr>
          <w:rFonts w:cs="Times New Roman"/>
          <w:szCs w:val="24"/>
        </w:rPr>
      </w:pPr>
      <w:r>
        <w:rPr>
          <w:noProof/>
        </w:rPr>
        <w:drawing>
          <wp:inline distT="0" distB="0" distL="0" distR="0" wp14:anchorId="24DE81C7" wp14:editId="6B04387B">
            <wp:extent cx="5760085" cy="2847975"/>
            <wp:effectExtent l="0" t="0" r="12065" b="9525"/>
            <wp:docPr id="2" name="Wykres 2">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3A28FE5" w14:textId="3E773F26" w:rsidR="00C702D6" w:rsidRDefault="00C702D6" w:rsidP="00D80D68">
      <w:pPr>
        <w:spacing w:line="360" w:lineRule="auto"/>
        <w:jc w:val="both"/>
        <w:rPr>
          <w:rFonts w:cs="Times New Roman"/>
          <w:szCs w:val="24"/>
        </w:rPr>
      </w:pPr>
      <w:r w:rsidRPr="00CF2507">
        <w:rPr>
          <w:rFonts w:cs="Times New Roman"/>
          <w:szCs w:val="24"/>
        </w:rPr>
        <w:t>Źródło: Opracowanie własne na podstawie sprawozda</w:t>
      </w:r>
      <w:r>
        <w:rPr>
          <w:rFonts w:cs="Times New Roman"/>
          <w:szCs w:val="24"/>
        </w:rPr>
        <w:t>nia</w:t>
      </w:r>
      <w:r w:rsidRPr="00CF2507">
        <w:rPr>
          <w:rFonts w:cs="Times New Roman"/>
          <w:szCs w:val="24"/>
        </w:rPr>
        <w:t xml:space="preserve"> NBP</w:t>
      </w:r>
      <w:r>
        <w:rPr>
          <w:rStyle w:val="Odwoanieprzypisudolnego"/>
          <w:rFonts w:cs="Times New Roman"/>
          <w:szCs w:val="24"/>
        </w:rPr>
        <w:footnoteReference w:id="32"/>
      </w:r>
    </w:p>
    <w:p w14:paraId="75C278A0" w14:textId="4810D8FF" w:rsidR="00C702D6" w:rsidRPr="00AE75C6" w:rsidRDefault="00C702D6" w:rsidP="00D80D68">
      <w:pPr>
        <w:spacing w:line="360" w:lineRule="auto"/>
        <w:jc w:val="both"/>
        <w:rPr>
          <w:rFonts w:cs="Times New Roman"/>
          <w:szCs w:val="24"/>
        </w:rPr>
      </w:pPr>
      <w:r>
        <w:rPr>
          <w:rFonts w:cs="Times New Roman"/>
          <w:szCs w:val="24"/>
        </w:rPr>
        <w:tab/>
        <w:t xml:space="preserve">Na wykresie </w:t>
      </w:r>
      <w:r w:rsidR="00AD7C8A">
        <w:rPr>
          <w:rFonts w:cs="Times New Roman"/>
          <w:szCs w:val="24"/>
        </w:rPr>
        <w:t>7</w:t>
      </w:r>
      <w:r>
        <w:rPr>
          <w:rFonts w:cs="Times New Roman"/>
          <w:szCs w:val="24"/>
        </w:rPr>
        <w:t xml:space="preserve"> zobrazowano</w:t>
      </w:r>
      <w:r w:rsidR="00CD4BE3">
        <w:rPr>
          <w:rFonts w:cs="Times New Roman"/>
          <w:szCs w:val="24"/>
        </w:rPr>
        <w:t xml:space="preserve"> </w:t>
      </w:r>
      <w:r w:rsidR="00CD4BE3" w:rsidRPr="00901108">
        <w:rPr>
          <w:rFonts w:cs="Times New Roman"/>
          <w:szCs w:val="24"/>
        </w:rPr>
        <w:t>stosunek strat należności sektora bankowego w Polsce z tytułu kredytów mieszkaniowych do ogólnej wartości kredytów mieszkaniowych</w:t>
      </w:r>
      <w:r w:rsidR="009C725F" w:rsidRPr="00901108">
        <w:rPr>
          <w:rFonts w:cs="Times New Roman"/>
          <w:szCs w:val="24"/>
        </w:rPr>
        <w:t xml:space="preserve"> w wartości bilansowej brutto</w:t>
      </w:r>
      <w:r w:rsidR="00CD4BE3" w:rsidRPr="00901108">
        <w:rPr>
          <w:rFonts w:cs="Times New Roman"/>
          <w:szCs w:val="24"/>
        </w:rPr>
        <w:t xml:space="preserve"> według walut w latach 2009-2017</w:t>
      </w:r>
      <w:r w:rsidR="00CD4BE3">
        <w:rPr>
          <w:rFonts w:cs="Times New Roman"/>
          <w:szCs w:val="24"/>
        </w:rPr>
        <w:t>.</w:t>
      </w:r>
      <w:r>
        <w:rPr>
          <w:rFonts w:cs="Times New Roman"/>
          <w:szCs w:val="24"/>
        </w:rPr>
        <w:t xml:space="preserve"> Wartość hipotecznych kredytów walutowych</w:t>
      </w:r>
      <w:r w:rsidR="00264C52">
        <w:rPr>
          <w:rFonts w:cs="Times New Roman"/>
          <w:szCs w:val="24"/>
        </w:rPr>
        <w:t xml:space="preserve"> powodujących straty</w:t>
      </w:r>
      <w:r w:rsidR="009B085D">
        <w:rPr>
          <w:rFonts w:cs="Times New Roman"/>
          <w:szCs w:val="24"/>
        </w:rPr>
        <w:t xml:space="preserve"> w porównaniu z całkowitą wartością portfela hipotecznych kredytów mieszkaniowych</w:t>
      </w:r>
      <w:r>
        <w:rPr>
          <w:rFonts w:cs="Times New Roman"/>
          <w:szCs w:val="24"/>
        </w:rPr>
        <w:t xml:space="preserve"> jest stosunkowo niewielka</w:t>
      </w:r>
      <w:r w:rsidR="00264C52">
        <w:rPr>
          <w:rFonts w:cs="Times New Roman"/>
          <w:szCs w:val="24"/>
        </w:rPr>
        <w:t xml:space="preserve"> i utrzymuje się na poziomie poniżej 4%</w:t>
      </w:r>
      <w:r w:rsidR="003765F8">
        <w:rPr>
          <w:rFonts w:cs="Times New Roman"/>
          <w:szCs w:val="24"/>
        </w:rPr>
        <w:t xml:space="preserve">. </w:t>
      </w:r>
      <w:r w:rsidR="002D4967">
        <w:rPr>
          <w:rFonts w:cs="Times New Roman"/>
          <w:szCs w:val="24"/>
        </w:rPr>
        <w:t xml:space="preserve">Od kwietniu 2015 r. stała się ona większa, niż analogiczna wartość dla kredytów złotowych. </w:t>
      </w:r>
      <w:r w:rsidR="003765F8">
        <w:rPr>
          <w:rFonts w:cs="Times New Roman"/>
          <w:szCs w:val="24"/>
        </w:rPr>
        <w:t xml:space="preserve">Należy pamiętać, że zwiększony udział strat </w:t>
      </w:r>
      <w:r w:rsidR="002D4967">
        <w:rPr>
          <w:rFonts w:cs="Times New Roman"/>
          <w:szCs w:val="24"/>
        </w:rPr>
        <w:t xml:space="preserve">z tytułu kredytów mieszkaniowych w  CHF nie </w:t>
      </w:r>
      <w:r w:rsidR="003765F8">
        <w:rPr>
          <w:rFonts w:cs="Times New Roman"/>
          <w:szCs w:val="24"/>
        </w:rPr>
        <w:t xml:space="preserve">wynika z faktu, że </w:t>
      </w:r>
      <w:r w:rsidR="002D4967">
        <w:rPr>
          <w:rFonts w:cs="Times New Roman"/>
          <w:szCs w:val="24"/>
        </w:rPr>
        <w:t xml:space="preserve">coraz więcej kredytobiorców zalega ze spłatą rat. Taka sytuacja jest wynikiem tego, że </w:t>
      </w:r>
      <w:r w:rsidR="003765F8">
        <w:rPr>
          <w:rFonts w:cs="Times New Roman"/>
          <w:szCs w:val="24"/>
        </w:rPr>
        <w:t xml:space="preserve">kredyty walutowe są udzielane obecnie znacznie rzadziej, niż kredyty złotowe. Kredyty walutowe są przy tym stopniowo spłacane, co oznacza, że odsetek kredytów niespłacanych odgrywa większą rolę w ogólnej wartości kredytów w CHF. </w:t>
      </w:r>
    </w:p>
    <w:p w14:paraId="31A42DEA" w14:textId="43EB2AB5" w:rsidR="003B6A0C" w:rsidRPr="00CF2507" w:rsidRDefault="00C14D26" w:rsidP="00D80D68">
      <w:pPr>
        <w:pStyle w:val="Nagwek2"/>
        <w:spacing w:line="360" w:lineRule="auto"/>
        <w:jc w:val="both"/>
      </w:pPr>
      <w:bookmarkStart w:id="15" w:name="_Toc513545746"/>
      <w:r w:rsidRPr="00CF2507">
        <w:t>I.</w:t>
      </w:r>
      <w:r w:rsidR="007C1367" w:rsidRPr="00CF2507">
        <w:t>5</w:t>
      </w:r>
      <w:r w:rsidRPr="00CF2507">
        <w:t xml:space="preserve"> Zagrożenia spowodowane kredytami walutowymi</w:t>
      </w:r>
      <w:r w:rsidR="00A24377">
        <w:t>.</w:t>
      </w:r>
      <w:bookmarkEnd w:id="15"/>
    </w:p>
    <w:p w14:paraId="576EAC2A" w14:textId="73397393" w:rsidR="001B55B3" w:rsidRPr="00CF2507" w:rsidRDefault="00183AA3" w:rsidP="00D80D68">
      <w:pPr>
        <w:spacing w:after="0" w:line="360" w:lineRule="auto"/>
        <w:ind w:firstLine="708"/>
        <w:jc w:val="both"/>
        <w:rPr>
          <w:rFonts w:cs="Times New Roman"/>
          <w:szCs w:val="24"/>
        </w:rPr>
      </w:pPr>
      <w:r w:rsidRPr="00CF2507">
        <w:rPr>
          <w:rFonts w:cs="Times New Roman"/>
          <w:szCs w:val="24"/>
        </w:rPr>
        <w:t>Kredyty walutowe, z powodu ryzyka walutowego, jakie ze sobą niosą stanowią zagrożenie zarówno dla kredytobiorców, jak</w:t>
      </w:r>
      <w:r w:rsidR="00370D8C">
        <w:rPr>
          <w:rFonts w:cs="Times New Roman"/>
          <w:szCs w:val="24"/>
        </w:rPr>
        <w:t xml:space="preserve"> </w:t>
      </w:r>
      <w:r w:rsidRPr="00CF2507">
        <w:rPr>
          <w:rFonts w:cs="Times New Roman"/>
          <w:szCs w:val="24"/>
        </w:rPr>
        <w:t>i banków.</w:t>
      </w:r>
      <w:r w:rsidR="00B40E06" w:rsidRPr="00CF2507">
        <w:rPr>
          <w:rFonts w:cs="Times New Roman"/>
          <w:szCs w:val="24"/>
        </w:rPr>
        <w:t xml:space="preserve"> </w:t>
      </w:r>
      <w:r w:rsidR="004E7014" w:rsidRPr="00CF2507">
        <w:rPr>
          <w:rFonts w:cs="Times New Roman"/>
          <w:szCs w:val="24"/>
        </w:rPr>
        <w:t>Inni uczestnicy rynku również są narażeni, ponieważ</w:t>
      </w:r>
      <w:r w:rsidR="004A77A7" w:rsidRPr="00CF2507">
        <w:rPr>
          <w:rFonts w:cs="Times New Roman"/>
          <w:szCs w:val="24"/>
        </w:rPr>
        <w:t xml:space="preserve"> również</w:t>
      </w:r>
      <w:r w:rsidR="004E7014" w:rsidRPr="00CF2507">
        <w:rPr>
          <w:rFonts w:cs="Times New Roman"/>
          <w:szCs w:val="24"/>
        </w:rPr>
        <w:t xml:space="preserve"> z</w:t>
      </w:r>
      <w:r w:rsidR="00B40E06" w:rsidRPr="00CF2507">
        <w:rPr>
          <w:rFonts w:cs="Times New Roman"/>
          <w:szCs w:val="24"/>
        </w:rPr>
        <w:t xml:space="preserve"> perspektywy makroekonomicznej duża wartość portfeli kredytowych </w:t>
      </w:r>
      <w:r w:rsidR="00B40E06" w:rsidRPr="00CF2507">
        <w:rPr>
          <w:rFonts w:cs="Times New Roman"/>
          <w:szCs w:val="24"/>
        </w:rPr>
        <w:lastRenderedPageBreak/>
        <w:t xml:space="preserve">polskich banków niesie ze sobą poważne konsekwencje i zagrożenia dla stabilności polskiego systemu finansowego. </w:t>
      </w:r>
    </w:p>
    <w:p w14:paraId="67EFD0F4" w14:textId="7E13BB32" w:rsidR="00F3009E" w:rsidRPr="00CF2507" w:rsidRDefault="007C1367" w:rsidP="00D80D68">
      <w:pPr>
        <w:spacing w:after="0" w:line="360" w:lineRule="auto"/>
        <w:ind w:firstLine="708"/>
        <w:jc w:val="both"/>
        <w:rPr>
          <w:rFonts w:cs="Times New Roman"/>
          <w:szCs w:val="24"/>
        </w:rPr>
      </w:pPr>
      <w:r w:rsidRPr="00CF2507">
        <w:rPr>
          <w:rFonts w:cs="Times New Roman"/>
          <w:szCs w:val="24"/>
        </w:rPr>
        <w:t>Z punktu widzenia kredytobiorcy</w:t>
      </w:r>
      <w:r w:rsidR="00004A38" w:rsidRPr="00CF2507">
        <w:rPr>
          <w:rFonts w:cs="Times New Roman"/>
          <w:szCs w:val="24"/>
        </w:rPr>
        <w:t xml:space="preserve"> zagrożenia związane z zaciągnięciem </w:t>
      </w:r>
      <w:r w:rsidR="00D4611B" w:rsidRPr="00CF2507">
        <w:rPr>
          <w:rFonts w:cs="Times New Roman"/>
          <w:szCs w:val="24"/>
        </w:rPr>
        <w:t>kredytu w walucie obcej są związane z brakiem możliwości kontroli ryzyka</w:t>
      </w:r>
      <w:r w:rsidRPr="00CF2507">
        <w:rPr>
          <w:rFonts w:cs="Times New Roman"/>
          <w:szCs w:val="24"/>
        </w:rPr>
        <w:t xml:space="preserve"> </w:t>
      </w:r>
      <w:r w:rsidR="00D4611B" w:rsidRPr="00CF2507">
        <w:rPr>
          <w:rFonts w:cs="Times New Roman"/>
          <w:szCs w:val="24"/>
        </w:rPr>
        <w:t>walutowego. W przypadku niekorzystnych zmian kursu waluty, w której zaciągnięto kredyt i dużej skali zmiany zagrożone może</w:t>
      </w:r>
      <w:r w:rsidR="007309F9" w:rsidRPr="00CF2507">
        <w:rPr>
          <w:rFonts w:cs="Times New Roman"/>
          <w:szCs w:val="24"/>
        </w:rPr>
        <w:t xml:space="preserve"> nastąpić zmniejszenie możliwości regulacji zobowiązań. To z kolei może przełożyć się na nie</w:t>
      </w:r>
      <w:r w:rsidR="00D4611B" w:rsidRPr="00CF2507">
        <w:rPr>
          <w:rFonts w:cs="Times New Roman"/>
          <w:szCs w:val="24"/>
        </w:rPr>
        <w:t xml:space="preserve">terminowe i </w:t>
      </w:r>
      <w:r w:rsidR="007309F9" w:rsidRPr="00CF2507">
        <w:rPr>
          <w:rFonts w:cs="Times New Roman"/>
          <w:szCs w:val="24"/>
        </w:rPr>
        <w:t>nie</w:t>
      </w:r>
      <w:r w:rsidR="00D4611B" w:rsidRPr="00CF2507">
        <w:rPr>
          <w:rFonts w:cs="Times New Roman"/>
          <w:szCs w:val="24"/>
        </w:rPr>
        <w:t>pełne spłacanie rat kredytu</w:t>
      </w:r>
      <w:r w:rsidR="007309F9" w:rsidRPr="00CF2507">
        <w:rPr>
          <w:rFonts w:cs="Times New Roman"/>
          <w:szCs w:val="24"/>
        </w:rPr>
        <w:t xml:space="preserve">, co może skutkować utratą zabezpieczenia kredytu i wszczęciem postępowania egzekucyjnego. </w:t>
      </w:r>
      <w:r w:rsidR="001C4D2D" w:rsidRPr="00CF2507">
        <w:rPr>
          <w:rFonts w:cs="Times New Roman"/>
          <w:szCs w:val="24"/>
        </w:rPr>
        <w:t>W skrajnych przypadkach może nastąpić bankructwo gospodarstwa domowego i ogłoszenie upadłości konsumenckiej.</w:t>
      </w:r>
      <w:r w:rsidR="00D4611B" w:rsidRPr="00CF2507">
        <w:rPr>
          <w:rFonts w:cs="Times New Roman"/>
          <w:szCs w:val="24"/>
        </w:rPr>
        <w:t xml:space="preserve"> </w:t>
      </w:r>
      <w:r w:rsidR="00774FCB" w:rsidRPr="00CF2507">
        <w:rPr>
          <w:rFonts w:cs="Times New Roman"/>
          <w:szCs w:val="24"/>
        </w:rPr>
        <w:t xml:space="preserve">Nadmierne obciążenie spłacanymi ratami wskutek zmniejszenia dochodu rozporządzalnego może spowodować obniżenie poziomu życia gospodarstwa domowego, nawet w sytuacji, gdy obsługa kredytu jest niezagrożona. </w:t>
      </w:r>
      <w:r w:rsidR="00F3009E" w:rsidRPr="00CF2507">
        <w:rPr>
          <w:rFonts w:cs="Times New Roman"/>
          <w:szCs w:val="24"/>
        </w:rPr>
        <w:t>Innym skutkiem, który może wystąpić w przypadku</w:t>
      </w:r>
      <w:r w:rsidR="006D6CA9" w:rsidRPr="00CF2507">
        <w:rPr>
          <w:rFonts w:cs="Times New Roman"/>
          <w:szCs w:val="24"/>
        </w:rPr>
        <w:t xml:space="preserve"> niekorzystnych zmian kursu jest zagrożenie zmniejszenia relatywnej wartości zabezpieczenia kredytu, czyli najczęściej nabywanej nieruchomości.</w:t>
      </w:r>
      <w:r w:rsidR="00EE0B89" w:rsidRPr="00CF2507">
        <w:rPr>
          <w:rFonts w:cs="Times New Roman"/>
          <w:szCs w:val="24"/>
        </w:rPr>
        <w:t xml:space="preserve"> Może to doprowadzić do sytuacji, że zakupione mieszkanie/dom jako zabezpieczenie nie pokryje całości zobowiązania</w:t>
      </w:r>
      <w:r w:rsidR="004E2D8E" w:rsidRPr="00CF2507">
        <w:rPr>
          <w:rFonts w:cs="Times New Roman"/>
          <w:szCs w:val="24"/>
        </w:rPr>
        <w:t xml:space="preserve"> powstałego z tytułu zaciągnięcia kredytu.</w:t>
      </w:r>
      <w:r w:rsidR="00B016AB" w:rsidRPr="00CF2507">
        <w:rPr>
          <w:rFonts w:cs="Times New Roman"/>
          <w:szCs w:val="24"/>
        </w:rPr>
        <w:t xml:space="preserve"> Podobne efekty może mieć</w:t>
      </w:r>
      <w:r w:rsidR="00F3009E" w:rsidRPr="00CF2507">
        <w:rPr>
          <w:rFonts w:cs="Times New Roman"/>
          <w:szCs w:val="24"/>
        </w:rPr>
        <w:t xml:space="preserve"> załamani</w:t>
      </w:r>
      <w:r w:rsidR="00B016AB" w:rsidRPr="00CF2507">
        <w:rPr>
          <w:rFonts w:cs="Times New Roman"/>
          <w:szCs w:val="24"/>
        </w:rPr>
        <w:t>e</w:t>
      </w:r>
      <w:r w:rsidR="00F3009E" w:rsidRPr="00CF2507">
        <w:rPr>
          <w:rFonts w:cs="Times New Roman"/>
          <w:szCs w:val="24"/>
        </w:rPr>
        <w:t xml:space="preserve"> na rynku nieruchomości wskutek przeładowania rynku kredytami walutowymi</w:t>
      </w:r>
      <w:r w:rsidR="00B016AB" w:rsidRPr="00CF2507">
        <w:rPr>
          <w:rFonts w:cs="Times New Roman"/>
          <w:szCs w:val="24"/>
        </w:rPr>
        <w:t>, co wywoła</w:t>
      </w:r>
      <w:r w:rsidR="00F3009E" w:rsidRPr="00CF2507">
        <w:rPr>
          <w:rFonts w:cs="Times New Roman"/>
          <w:szCs w:val="24"/>
        </w:rPr>
        <w:t xml:space="preserve"> spadek ceny mieszkania/domu, które jest zabezpieczeniem kredytu. </w:t>
      </w:r>
      <w:r w:rsidR="00926A4E" w:rsidRPr="00CF2507">
        <w:rPr>
          <w:rFonts w:cs="Times New Roman"/>
          <w:szCs w:val="24"/>
        </w:rPr>
        <w:t xml:space="preserve">Istnieje także możliwość nałożenia się na siebie i jednoczesne wystąpienie dwóch powyższych sytuacji. </w:t>
      </w:r>
    </w:p>
    <w:p w14:paraId="060BF74F" w14:textId="44B9D0E3" w:rsidR="00F9265D" w:rsidRPr="00CF2507" w:rsidRDefault="003F3928" w:rsidP="00D80D68">
      <w:pPr>
        <w:spacing w:after="0" w:line="360" w:lineRule="auto"/>
        <w:ind w:firstLine="708"/>
        <w:jc w:val="both"/>
        <w:rPr>
          <w:rFonts w:cs="Times New Roman"/>
          <w:szCs w:val="24"/>
        </w:rPr>
      </w:pPr>
      <w:r w:rsidRPr="00CF2507">
        <w:rPr>
          <w:rFonts w:cs="Times New Roman"/>
          <w:szCs w:val="24"/>
        </w:rPr>
        <w:t>Z punktu widzenia banków posiadających w swoich portfelach kredyty walutowe,</w:t>
      </w:r>
      <w:r w:rsidR="009B746B" w:rsidRPr="00CF2507">
        <w:rPr>
          <w:rFonts w:cs="Times New Roman"/>
          <w:szCs w:val="24"/>
        </w:rPr>
        <w:t xml:space="preserve"> również największym zagrożeniem jest zmaterializowanie się ryzyka walutowego. </w:t>
      </w:r>
      <w:r w:rsidR="00434D83" w:rsidRPr="00CF2507">
        <w:rPr>
          <w:rFonts w:cs="Times New Roman"/>
          <w:szCs w:val="24"/>
        </w:rPr>
        <w:t>Nieterminowe, bądź niepełne spłaty kredytów dewizowych mogą przynieść straty tej części portfela, co w konsekwencji może wpłynąć na zmniejszenie wyniku finansowego banku, lub nawet wystąpienie strat.</w:t>
      </w:r>
      <w:r w:rsidR="003C54A1" w:rsidRPr="00CF2507">
        <w:rPr>
          <w:rFonts w:cs="Times New Roman"/>
          <w:szCs w:val="24"/>
        </w:rPr>
        <w:t xml:space="preserve"> To z kolei może spowodować konieczność dokapitalizowania banku, lub udzielenia mu ratunkowej pomocy finansowej w celu uniknięcia upadłości, jeżeli sytuacja jest krytyczna</w:t>
      </w:r>
      <w:r w:rsidR="00FF09E5" w:rsidRPr="00CF2507">
        <w:rPr>
          <w:rFonts w:cs="Times New Roman"/>
          <w:szCs w:val="24"/>
        </w:rPr>
        <w:t xml:space="preserve"> i bank ma trudności z regulowaniem swoich zobowiązań</w:t>
      </w:r>
      <w:r w:rsidR="00D76F07" w:rsidRPr="00CF2507">
        <w:rPr>
          <w:rStyle w:val="Odwoanieprzypisudolnego"/>
          <w:rFonts w:cs="Times New Roman"/>
          <w:szCs w:val="24"/>
        </w:rPr>
        <w:footnoteReference w:id="33"/>
      </w:r>
      <w:r w:rsidR="00FF09E5" w:rsidRPr="00CF2507">
        <w:rPr>
          <w:rFonts w:cs="Times New Roman"/>
          <w:szCs w:val="24"/>
        </w:rPr>
        <w:t>.</w:t>
      </w:r>
      <w:r w:rsidR="009B746B" w:rsidRPr="00CF2507">
        <w:rPr>
          <w:rFonts w:cs="Times New Roman"/>
          <w:szCs w:val="24"/>
        </w:rPr>
        <w:t xml:space="preserve"> </w:t>
      </w:r>
      <w:r w:rsidR="00836921" w:rsidRPr="00CF2507">
        <w:rPr>
          <w:rFonts w:cs="Times New Roman"/>
          <w:szCs w:val="24"/>
        </w:rPr>
        <w:t>Zwiększenie liczby kredytów zagrożonych w walutach obcych i spadek jakości portfela kredytowego może także stać się przyczyną obniżenia ratingu banków posiadających takie aktywa</w:t>
      </w:r>
      <w:r w:rsidR="005D2F67" w:rsidRPr="00CF2507">
        <w:rPr>
          <w:rStyle w:val="Odwoanieprzypisudolnego"/>
          <w:rFonts w:cs="Times New Roman"/>
          <w:szCs w:val="24"/>
        </w:rPr>
        <w:footnoteReference w:id="34"/>
      </w:r>
      <w:r w:rsidR="00836921" w:rsidRPr="00CF2507">
        <w:rPr>
          <w:rFonts w:cs="Times New Roman"/>
          <w:szCs w:val="24"/>
        </w:rPr>
        <w:t>.</w:t>
      </w:r>
    </w:p>
    <w:p w14:paraId="5488A7D5" w14:textId="225DF29F" w:rsidR="00183AA3" w:rsidRPr="00CF2507" w:rsidRDefault="001B55B3" w:rsidP="00D80D68">
      <w:pPr>
        <w:spacing w:after="0" w:line="360" w:lineRule="auto"/>
        <w:jc w:val="both"/>
        <w:rPr>
          <w:rFonts w:cs="Times New Roman"/>
          <w:szCs w:val="24"/>
        </w:rPr>
      </w:pPr>
      <w:r w:rsidRPr="00CF2507">
        <w:rPr>
          <w:rFonts w:cs="Times New Roman"/>
          <w:szCs w:val="24"/>
        </w:rPr>
        <w:tab/>
      </w:r>
      <w:r w:rsidR="00F9265D" w:rsidRPr="00CF2507">
        <w:rPr>
          <w:rFonts w:cs="Times New Roman"/>
          <w:szCs w:val="24"/>
        </w:rPr>
        <w:t xml:space="preserve">Z punktu widzenia całości systemu finansowego, </w:t>
      </w:r>
      <w:r w:rsidR="00074BDB" w:rsidRPr="00CF2507">
        <w:rPr>
          <w:rFonts w:cs="Times New Roman"/>
          <w:szCs w:val="24"/>
        </w:rPr>
        <w:t>możliwość dostępu do kredytów walutowych dla gospodarstw domowych</w:t>
      </w:r>
      <w:r w:rsidR="00F9265D" w:rsidRPr="00CF2507">
        <w:rPr>
          <w:rFonts w:cs="Times New Roman"/>
          <w:szCs w:val="24"/>
        </w:rPr>
        <w:t xml:space="preserve"> przede wszystkim</w:t>
      </w:r>
      <w:r w:rsidR="00074BDB" w:rsidRPr="00CF2507">
        <w:rPr>
          <w:rFonts w:cs="Times New Roman"/>
          <w:szCs w:val="24"/>
        </w:rPr>
        <w:t xml:space="preserve"> znacznie zmniejsza skuteczność oddziaływania polityki pieniężnej. </w:t>
      </w:r>
      <w:r w:rsidR="00FC58A5" w:rsidRPr="00CF2507">
        <w:rPr>
          <w:rFonts w:cs="Times New Roman"/>
          <w:szCs w:val="24"/>
        </w:rPr>
        <w:t xml:space="preserve">Jest to spowodowane tym, że decyzje o zmianach stóp </w:t>
      </w:r>
      <w:r w:rsidR="00FC58A5" w:rsidRPr="00CF2507">
        <w:rPr>
          <w:rFonts w:cs="Times New Roman"/>
          <w:szCs w:val="24"/>
        </w:rPr>
        <w:lastRenderedPageBreak/>
        <w:t xml:space="preserve">procentowych w Polsce nie mają bezpośredniego wpływu na koszty pozyskania i obsługi kredytów dewizowych. </w:t>
      </w:r>
      <w:r w:rsidR="00187D59" w:rsidRPr="00CF2507">
        <w:rPr>
          <w:rFonts w:cs="Times New Roman"/>
          <w:szCs w:val="24"/>
        </w:rPr>
        <w:t xml:space="preserve">Krajowe stopy procentowe są zatem neutralne dla kredytów walutowych, ponieważ ich ceny nie są bezpośrednio powiązane. </w:t>
      </w:r>
      <w:r w:rsidR="001F25D8" w:rsidRPr="00CF2507">
        <w:rPr>
          <w:rFonts w:cs="Times New Roman"/>
          <w:szCs w:val="24"/>
        </w:rPr>
        <w:t>T</w:t>
      </w:r>
      <w:r w:rsidR="0083272A">
        <w:rPr>
          <w:rFonts w:cs="Times New Roman"/>
          <w:szCs w:val="24"/>
        </w:rPr>
        <w:t>o powoduje</w:t>
      </w:r>
      <w:r w:rsidR="001F25D8" w:rsidRPr="00CF2507">
        <w:rPr>
          <w:rFonts w:cs="Times New Roman"/>
          <w:szCs w:val="24"/>
        </w:rPr>
        <w:t xml:space="preserve">, że Rada Polityki Pieniężnej traci część mocy oddziaływania na popyt na rynku kredytów i może w mniejszym stopniu wpływać na dochody do dyspozycji gospodarstw domowych. </w:t>
      </w:r>
    </w:p>
    <w:p w14:paraId="39732ADE" w14:textId="71DF83A3" w:rsidR="00A11E4D" w:rsidRPr="00CF2507" w:rsidRDefault="00A11E4D" w:rsidP="00D80D68">
      <w:pPr>
        <w:spacing w:after="0" w:line="360" w:lineRule="auto"/>
        <w:jc w:val="both"/>
        <w:rPr>
          <w:rFonts w:cs="Times New Roman"/>
          <w:szCs w:val="24"/>
        </w:rPr>
      </w:pPr>
      <w:r w:rsidRPr="00CF2507">
        <w:rPr>
          <w:rFonts w:cs="Times New Roman"/>
          <w:szCs w:val="24"/>
        </w:rPr>
        <w:tab/>
      </w:r>
      <w:r w:rsidR="006E42CE" w:rsidRPr="00CF2507">
        <w:rPr>
          <w:rFonts w:cs="Times New Roman"/>
          <w:szCs w:val="24"/>
        </w:rPr>
        <w:t>Kolejnym zagrożeniem jest to, że</w:t>
      </w:r>
      <w:r w:rsidR="00E21CD2" w:rsidRPr="00CF2507">
        <w:rPr>
          <w:rFonts w:cs="Times New Roman"/>
          <w:szCs w:val="24"/>
        </w:rPr>
        <w:t xml:space="preserve"> </w:t>
      </w:r>
      <w:r w:rsidR="006E42CE" w:rsidRPr="00CF2507">
        <w:rPr>
          <w:rFonts w:cs="Times New Roman"/>
          <w:szCs w:val="24"/>
        </w:rPr>
        <w:t>rosnące koszty</w:t>
      </w:r>
      <w:r w:rsidR="00E21CD2" w:rsidRPr="00CF2507">
        <w:rPr>
          <w:rFonts w:cs="Times New Roman"/>
          <w:szCs w:val="24"/>
        </w:rPr>
        <w:t xml:space="preserve"> </w:t>
      </w:r>
      <w:r w:rsidR="00FC4D49">
        <w:rPr>
          <w:rFonts w:cs="Times New Roman"/>
          <w:szCs w:val="24"/>
        </w:rPr>
        <w:t>obsługi</w:t>
      </w:r>
      <w:r w:rsidR="00E21CD2" w:rsidRPr="00CF2507">
        <w:rPr>
          <w:rFonts w:cs="Times New Roman"/>
          <w:szCs w:val="24"/>
        </w:rPr>
        <w:t xml:space="preserve"> kredytów walutowych powoduj</w:t>
      </w:r>
      <w:r w:rsidR="006E42CE" w:rsidRPr="00CF2507">
        <w:rPr>
          <w:rFonts w:cs="Times New Roman"/>
          <w:szCs w:val="24"/>
        </w:rPr>
        <w:t xml:space="preserve">ą </w:t>
      </w:r>
      <w:r w:rsidR="00D7488A" w:rsidRPr="00CF2507">
        <w:rPr>
          <w:rFonts w:cs="Times New Roman"/>
          <w:szCs w:val="24"/>
        </w:rPr>
        <w:t>ograniczenie dochodów rozporządzanych gospodarstw domowych. To w konsekwencji może wywołać zmniejszenie popytu wewnętrznego, spowolnienie koniunktury i wzrostu gospodarczego.</w:t>
      </w:r>
    </w:p>
    <w:p w14:paraId="1ABE768C" w14:textId="4A800EF4" w:rsidR="00E734F2" w:rsidRPr="00CF2507" w:rsidRDefault="00E734F2" w:rsidP="00D80D68">
      <w:pPr>
        <w:spacing w:after="0" w:line="360" w:lineRule="auto"/>
        <w:jc w:val="both"/>
        <w:rPr>
          <w:rFonts w:cs="Times New Roman"/>
          <w:szCs w:val="24"/>
        </w:rPr>
      </w:pPr>
      <w:r w:rsidRPr="00CF2507">
        <w:rPr>
          <w:rFonts w:cs="Times New Roman"/>
          <w:szCs w:val="24"/>
        </w:rPr>
        <w:tab/>
        <w:t xml:space="preserve">Duże portfele kredytów walutowych polskich banków mają także negatywne konsekwencje dla poziomu </w:t>
      </w:r>
      <w:r w:rsidR="005D2F67" w:rsidRPr="00CF2507">
        <w:rPr>
          <w:rFonts w:cs="Times New Roman"/>
          <w:szCs w:val="24"/>
        </w:rPr>
        <w:t>zadłużenia</w:t>
      </w:r>
      <w:r w:rsidRPr="00CF2507">
        <w:rPr>
          <w:rFonts w:cs="Times New Roman"/>
          <w:szCs w:val="24"/>
        </w:rPr>
        <w:t xml:space="preserve"> kraju. </w:t>
      </w:r>
      <w:r w:rsidR="005323E5" w:rsidRPr="00CF2507">
        <w:rPr>
          <w:rFonts w:cs="Times New Roman"/>
          <w:szCs w:val="24"/>
        </w:rPr>
        <w:t xml:space="preserve">Sprzedaż kredytów walutowych niesie ze sobą podniesienie zadłużenia zagranicznego polskiej gospodarki, a to powoduje zwiększenie uzależnienia od finansowania zagranicznego, oraz </w:t>
      </w:r>
      <w:r w:rsidR="00FC023E" w:rsidRPr="00CF2507">
        <w:rPr>
          <w:rFonts w:cs="Times New Roman"/>
          <w:szCs w:val="24"/>
        </w:rPr>
        <w:t>wzrost wrażliwości na niekorzystną sytuację rynkową</w:t>
      </w:r>
      <w:r w:rsidR="00C87A0D" w:rsidRPr="00CF2507">
        <w:rPr>
          <w:rStyle w:val="Odwoanieprzypisudolnego"/>
          <w:rFonts w:cs="Times New Roman"/>
          <w:szCs w:val="24"/>
        </w:rPr>
        <w:footnoteReference w:id="35"/>
      </w:r>
      <w:r w:rsidR="00863E25" w:rsidRPr="00CF2507">
        <w:rPr>
          <w:rFonts w:cs="Times New Roman"/>
          <w:szCs w:val="24"/>
        </w:rPr>
        <w:t>,</w:t>
      </w:r>
      <w:r w:rsidR="00863E25" w:rsidRPr="00CF2507">
        <w:rPr>
          <w:rStyle w:val="Odwoanieprzypisudolnego"/>
          <w:rFonts w:cs="Times New Roman"/>
          <w:szCs w:val="24"/>
        </w:rPr>
        <w:footnoteReference w:id="36"/>
      </w:r>
      <w:r w:rsidR="00FC023E" w:rsidRPr="00CF2507">
        <w:rPr>
          <w:rFonts w:cs="Times New Roman"/>
          <w:szCs w:val="24"/>
        </w:rPr>
        <w:t xml:space="preserve">. </w:t>
      </w:r>
    </w:p>
    <w:p w14:paraId="193606EC" w14:textId="6DF0CE4F" w:rsidR="00C14D26" w:rsidRPr="00CF2507" w:rsidRDefault="007D4DEC" w:rsidP="00D80D68">
      <w:pPr>
        <w:spacing w:after="0" w:line="360" w:lineRule="auto"/>
        <w:jc w:val="both"/>
        <w:rPr>
          <w:rFonts w:cs="Times New Roman"/>
          <w:szCs w:val="24"/>
        </w:rPr>
      </w:pPr>
      <w:r w:rsidRPr="00CF2507">
        <w:rPr>
          <w:rFonts w:cs="Times New Roman"/>
          <w:szCs w:val="24"/>
        </w:rPr>
        <w:tab/>
        <w:t>Łatwy dostęp do finansowania w walutach obcych,</w:t>
      </w:r>
      <w:r w:rsidR="00F86F38" w:rsidRPr="00CF2507">
        <w:rPr>
          <w:rFonts w:cs="Times New Roman"/>
          <w:szCs w:val="24"/>
        </w:rPr>
        <w:t xml:space="preserve"> </w:t>
      </w:r>
      <w:r w:rsidRPr="00CF2507">
        <w:rPr>
          <w:rFonts w:cs="Times New Roman"/>
          <w:szCs w:val="24"/>
        </w:rPr>
        <w:t>a w konsekwencji duża liczba kredytów walutowych może skutkować także wywołaniem nadmiernego, niekontrolowanego wzrostu cen na rynku nieruchomości.</w:t>
      </w:r>
      <w:r w:rsidR="00296BDA" w:rsidRPr="00CF2507">
        <w:rPr>
          <w:rFonts w:cs="Times New Roman"/>
          <w:szCs w:val="24"/>
        </w:rPr>
        <w:t xml:space="preserve"> </w:t>
      </w:r>
      <w:r w:rsidR="00527859" w:rsidRPr="00CF2507">
        <w:rPr>
          <w:rFonts w:cs="Times New Roman"/>
          <w:szCs w:val="24"/>
        </w:rPr>
        <w:t xml:space="preserve">Wykreowana bańka na rynku nieruchomości może pęknąć i wskutek spadku cen </w:t>
      </w:r>
      <w:r w:rsidR="00727659">
        <w:rPr>
          <w:rFonts w:cs="Times New Roman"/>
          <w:szCs w:val="24"/>
        </w:rPr>
        <w:t xml:space="preserve">zmniejszyć wartość rynkową nieruchomości, które służą jako zabezpieczenia kredytów walutowych. To może </w:t>
      </w:r>
      <w:r w:rsidR="00527859" w:rsidRPr="00CF2507">
        <w:rPr>
          <w:rFonts w:cs="Times New Roman"/>
          <w:szCs w:val="24"/>
        </w:rPr>
        <w:t xml:space="preserve">doprowadzić do zwiększenia liczby kredytów zagrożonych. </w:t>
      </w:r>
      <w:r w:rsidR="00B64974" w:rsidRPr="00CF2507">
        <w:rPr>
          <w:rFonts w:cs="Times New Roman"/>
          <w:szCs w:val="24"/>
        </w:rPr>
        <w:t>To z kolei może skutkować wystąpieniem strat po stronie banków i koniecznością dokapitalizowania, a w skrajnych sytuacjach udzielenia ratunkowej pomocy finansowej</w:t>
      </w:r>
      <w:r w:rsidR="00C423A4" w:rsidRPr="00CF2507">
        <w:rPr>
          <w:rFonts w:cs="Times New Roman"/>
          <w:szCs w:val="24"/>
        </w:rPr>
        <w:t xml:space="preserve"> (bail-out)</w:t>
      </w:r>
      <w:r w:rsidR="00B64974" w:rsidRPr="00CF2507">
        <w:rPr>
          <w:rFonts w:cs="Times New Roman"/>
          <w:szCs w:val="24"/>
        </w:rPr>
        <w:t xml:space="preserve">, bądź nawet </w:t>
      </w:r>
      <w:r w:rsidR="00DE66AE" w:rsidRPr="00CF2507">
        <w:rPr>
          <w:rFonts w:cs="Times New Roman"/>
          <w:szCs w:val="24"/>
        </w:rPr>
        <w:t>przejęcia</w:t>
      </w:r>
      <w:r w:rsidR="00B64974" w:rsidRPr="00CF2507">
        <w:rPr>
          <w:rFonts w:cs="Times New Roman"/>
          <w:szCs w:val="24"/>
        </w:rPr>
        <w:t xml:space="preserve"> </w:t>
      </w:r>
      <w:r w:rsidR="00DE66AE" w:rsidRPr="00CF2507">
        <w:rPr>
          <w:rFonts w:cs="Times New Roman"/>
          <w:szCs w:val="24"/>
        </w:rPr>
        <w:t xml:space="preserve">pojedynczych </w:t>
      </w:r>
      <w:r w:rsidR="00B64974" w:rsidRPr="00CF2507">
        <w:rPr>
          <w:rFonts w:cs="Times New Roman"/>
          <w:szCs w:val="24"/>
        </w:rPr>
        <w:t>banków przez państwo</w:t>
      </w:r>
      <w:r w:rsidR="00DE66AE" w:rsidRPr="00CF2507">
        <w:rPr>
          <w:rFonts w:cs="Times New Roman"/>
          <w:szCs w:val="24"/>
        </w:rPr>
        <w:t xml:space="preserve"> (nacjonalizacji). </w:t>
      </w:r>
      <w:r w:rsidR="005E09AB" w:rsidRPr="00CF2507">
        <w:rPr>
          <w:rFonts w:cs="Times New Roman"/>
          <w:szCs w:val="24"/>
        </w:rPr>
        <w:t>Takie ryzyko zmaterializowało się w przeszłości np.</w:t>
      </w:r>
      <w:r w:rsidRPr="00CF2507">
        <w:rPr>
          <w:rFonts w:cs="Times New Roman"/>
          <w:szCs w:val="24"/>
        </w:rPr>
        <w:t xml:space="preserve"> na Łotwie</w:t>
      </w:r>
      <w:r w:rsidRPr="00CF2507">
        <w:rPr>
          <w:rStyle w:val="Odwoanieprzypisudolnego"/>
          <w:rFonts w:cs="Times New Roman"/>
          <w:szCs w:val="24"/>
        </w:rPr>
        <w:footnoteReference w:id="37"/>
      </w:r>
      <w:r w:rsidRPr="00CF2507">
        <w:rPr>
          <w:rFonts w:cs="Times New Roman"/>
          <w:szCs w:val="24"/>
        </w:rPr>
        <w:t>.</w:t>
      </w:r>
    </w:p>
    <w:p w14:paraId="00C32114" w14:textId="33AB2176" w:rsidR="00516A9D" w:rsidRDefault="00516A9D" w:rsidP="00D80D68">
      <w:pPr>
        <w:spacing w:line="360" w:lineRule="auto"/>
        <w:jc w:val="both"/>
        <w:rPr>
          <w:rFonts w:cs="Times New Roman"/>
          <w:b/>
          <w:szCs w:val="24"/>
        </w:rPr>
      </w:pPr>
      <w:r>
        <w:rPr>
          <w:rFonts w:cs="Times New Roman"/>
          <w:b/>
          <w:szCs w:val="24"/>
        </w:rPr>
        <w:br w:type="page"/>
      </w:r>
    </w:p>
    <w:p w14:paraId="05B61C18" w14:textId="00A85DC0" w:rsidR="00516A9D" w:rsidRPr="00CF2507" w:rsidRDefault="00516A9D" w:rsidP="00D80D68">
      <w:pPr>
        <w:pStyle w:val="Nagwek1"/>
        <w:spacing w:line="360" w:lineRule="auto"/>
        <w:jc w:val="both"/>
      </w:pPr>
      <w:bookmarkStart w:id="16" w:name="_Toc513545747"/>
      <w:r w:rsidRPr="00CF2507">
        <w:lastRenderedPageBreak/>
        <w:t>II. Regulacje prawne dotyczące kredytów walutowych w Polsce</w:t>
      </w:r>
      <w:r w:rsidR="00A24377">
        <w:t>.</w:t>
      </w:r>
      <w:bookmarkEnd w:id="16"/>
    </w:p>
    <w:p w14:paraId="36606DA1" w14:textId="11C1DCB1" w:rsidR="00516A9D" w:rsidRDefault="00516A9D" w:rsidP="00D80D68">
      <w:pPr>
        <w:pStyle w:val="Nagwek2"/>
        <w:spacing w:line="360" w:lineRule="auto"/>
        <w:jc w:val="both"/>
      </w:pPr>
      <w:bookmarkStart w:id="17" w:name="_Toc513545748"/>
      <w:r w:rsidRPr="00516A9D">
        <w:t>II.1 Regulacje wprowadzone przez Komisję Nadzoru Finansowego</w:t>
      </w:r>
      <w:r w:rsidR="00A24377">
        <w:t>.</w:t>
      </w:r>
      <w:bookmarkEnd w:id="17"/>
    </w:p>
    <w:p w14:paraId="0017E722" w14:textId="56FE0433" w:rsidR="001D0316" w:rsidRDefault="00516A9D" w:rsidP="00D80D68">
      <w:pPr>
        <w:pStyle w:val="Default"/>
        <w:spacing w:line="360" w:lineRule="auto"/>
        <w:jc w:val="both"/>
        <w:rPr>
          <w:rFonts w:ascii="Times New Roman" w:hAnsi="Times New Roman" w:cs="Times New Roman"/>
        </w:rPr>
      </w:pPr>
      <w:r>
        <w:rPr>
          <w:rFonts w:ascii="Times New Roman" w:hAnsi="Times New Roman" w:cs="Times New Roman"/>
        </w:rPr>
        <w:tab/>
      </w:r>
      <w:r w:rsidR="00D35C15">
        <w:rPr>
          <w:rFonts w:ascii="Times New Roman" w:hAnsi="Times New Roman" w:cs="Times New Roman"/>
        </w:rPr>
        <w:t>Po</w:t>
      </w:r>
      <w:r w:rsidR="003065EA">
        <w:rPr>
          <w:rFonts w:ascii="Times New Roman" w:hAnsi="Times New Roman" w:cs="Times New Roman"/>
        </w:rPr>
        <w:t xml:space="preserve"> deregulacjach rynku kredytów walutowych przeprowadzonych w 2002</w:t>
      </w:r>
      <w:r w:rsidR="00E957AD">
        <w:rPr>
          <w:rFonts w:ascii="Times New Roman" w:hAnsi="Times New Roman" w:cs="Times New Roman"/>
        </w:rPr>
        <w:t xml:space="preserve"> </w:t>
      </w:r>
      <w:r w:rsidR="003065EA">
        <w:rPr>
          <w:rFonts w:ascii="Times New Roman" w:hAnsi="Times New Roman" w:cs="Times New Roman"/>
        </w:rPr>
        <w:t xml:space="preserve">r. i przystąpieniu Polski do Unii Europejskiej kredyty </w:t>
      </w:r>
      <w:r w:rsidR="00825E7C">
        <w:rPr>
          <w:rFonts w:ascii="Times New Roman" w:hAnsi="Times New Roman" w:cs="Times New Roman"/>
        </w:rPr>
        <w:t>hipoteczne w walutach obcych</w:t>
      </w:r>
      <w:r w:rsidR="003065EA">
        <w:rPr>
          <w:rFonts w:ascii="Times New Roman" w:hAnsi="Times New Roman" w:cs="Times New Roman"/>
        </w:rPr>
        <w:t xml:space="preserve"> cieszyły się bardzo wysoką popularnością wśród gospodarstw domowych. Instytucje nadzoru finansowego odpowiedzialne za monitorowanie rynku szybko zauważyły ożywienie</w:t>
      </w:r>
      <w:r w:rsidR="00814AC3">
        <w:rPr>
          <w:rFonts w:ascii="Times New Roman" w:hAnsi="Times New Roman" w:cs="Times New Roman"/>
        </w:rPr>
        <w:t xml:space="preserve">, były również świadome </w:t>
      </w:r>
      <w:r w:rsidR="003065EA">
        <w:rPr>
          <w:rFonts w:ascii="Times New Roman" w:hAnsi="Times New Roman" w:cs="Times New Roman"/>
        </w:rPr>
        <w:t>niebezpieczeństw związan</w:t>
      </w:r>
      <w:r w:rsidR="00814AC3">
        <w:rPr>
          <w:rFonts w:ascii="Times New Roman" w:hAnsi="Times New Roman" w:cs="Times New Roman"/>
        </w:rPr>
        <w:t xml:space="preserve">ych </w:t>
      </w:r>
      <w:r w:rsidR="003065EA">
        <w:rPr>
          <w:rFonts w:ascii="Times New Roman" w:hAnsi="Times New Roman" w:cs="Times New Roman"/>
        </w:rPr>
        <w:t xml:space="preserve">z rosnącą </w:t>
      </w:r>
      <w:r w:rsidR="00DA599C">
        <w:rPr>
          <w:rFonts w:ascii="Times New Roman" w:hAnsi="Times New Roman" w:cs="Times New Roman"/>
        </w:rPr>
        <w:t>liczbą kredytów</w:t>
      </w:r>
      <w:r w:rsidR="003065EA">
        <w:rPr>
          <w:rFonts w:ascii="Times New Roman" w:hAnsi="Times New Roman" w:cs="Times New Roman"/>
        </w:rPr>
        <w:t xml:space="preserve"> walutowych. Początkowo instytucje nadzorcze </w:t>
      </w:r>
      <w:r w:rsidR="003971D9">
        <w:rPr>
          <w:rFonts w:ascii="Times New Roman" w:hAnsi="Times New Roman" w:cs="Times New Roman"/>
        </w:rPr>
        <w:t xml:space="preserve">i same banki </w:t>
      </w:r>
      <w:r w:rsidR="003065EA">
        <w:rPr>
          <w:rFonts w:ascii="Times New Roman" w:hAnsi="Times New Roman" w:cs="Times New Roman"/>
        </w:rPr>
        <w:t xml:space="preserve">ograniczyły się do wydawania </w:t>
      </w:r>
      <w:r w:rsidR="00F84CF4">
        <w:rPr>
          <w:rFonts w:ascii="Times New Roman" w:hAnsi="Times New Roman" w:cs="Times New Roman"/>
        </w:rPr>
        <w:t>publicznych oświadczeń</w:t>
      </w:r>
      <w:r w:rsidR="003065EA">
        <w:rPr>
          <w:rFonts w:ascii="Times New Roman" w:hAnsi="Times New Roman" w:cs="Times New Roman"/>
        </w:rPr>
        <w:t xml:space="preserve">, które miały </w:t>
      </w:r>
      <w:r w:rsidR="00F84CF4">
        <w:rPr>
          <w:rFonts w:ascii="Times New Roman" w:hAnsi="Times New Roman" w:cs="Times New Roman"/>
        </w:rPr>
        <w:t>ostrzec</w:t>
      </w:r>
      <w:r w:rsidR="003065EA">
        <w:rPr>
          <w:rFonts w:ascii="Times New Roman" w:hAnsi="Times New Roman" w:cs="Times New Roman"/>
        </w:rPr>
        <w:t xml:space="preserve"> kredytobiorców i potencjalnych</w:t>
      </w:r>
      <w:r w:rsidR="00825E7C">
        <w:rPr>
          <w:rFonts w:ascii="Times New Roman" w:hAnsi="Times New Roman" w:cs="Times New Roman"/>
        </w:rPr>
        <w:t xml:space="preserve"> przyszłych</w:t>
      </w:r>
      <w:r w:rsidR="003065EA">
        <w:rPr>
          <w:rFonts w:ascii="Times New Roman" w:hAnsi="Times New Roman" w:cs="Times New Roman"/>
        </w:rPr>
        <w:t xml:space="preserve"> dłużników </w:t>
      </w:r>
      <w:r w:rsidR="00F84CF4">
        <w:rPr>
          <w:rFonts w:ascii="Times New Roman" w:hAnsi="Times New Roman" w:cs="Times New Roman"/>
        </w:rPr>
        <w:t>przed ryzykiem walutowym i możliwymi konsekwencjami niekorzystnych zmian kursów walutowych</w:t>
      </w:r>
      <w:r w:rsidR="000816F3">
        <w:rPr>
          <w:rFonts w:ascii="Times New Roman" w:hAnsi="Times New Roman" w:cs="Times New Roman"/>
        </w:rPr>
        <w:t>.</w:t>
      </w:r>
      <w:r w:rsidR="00F84CF4">
        <w:rPr>
          <w:rFonts w:ascii="Times New Roman" w:hAnsi="Times New Roman" w:cs="Times New Roman"/>
        </w:rPr>
        <w:t xml:space="preserve"> </w:t>
      </w:r>
      <w:r w:rsidR="00F14300">
        <w:rPr>
          <w:rFonts w:ascii="Times New Roman" w:hAnsi="Times New Roman" w:cs="Times New Roman"/>
        </w:rPr>
        <w:t xml:space="preserve">Do takich </w:t>
      </w:r>
      <w:r w:rsidR="008A5274">
        <w:rPr>
          <w:rFonts w:ascii="Times New Roman" w:hAnsi="Times New Roman" w:cs="Times New Roman"/>
        </w:rPr>
        <w:t xml:space="preserve">oświadczeń </w:t>
      </w:r>
      <w:r w:rsidR="00F14300">
        <w:rPr>
          <w:rFonts w:ascii="Times New Roman" w:hAnsi="Times New Roman" w:cs="Times New Roman"/>
        </w:rPr>
        <w:t xml:space="preserve">należy </w:t>
      </w:r>
      <w:r w:rsidR="00295FCA">
        <w:rPr>
          <w:rFonts w:ascii="Times New Roman" w:hAnsi="Times New Roman" w:cs="Times New Roman"/>
        </w:rPr>
        <w:t>m.in</w:t>
      </w:r>
      <w:r w:rsidR="00F14300">
        <w:rPr>
          <w:rFonts w:ascii="Times New Roman" w:hAnsi="Times New Roman" w:cs="Times New Roman"/>
        </w:rPr>
        <w:t>. oficjalne pismo wysłane w listopadzie 2005</w:t>
      </w:r>
      <w:r w:rsidR="00E957AD">
        <w:rPr>
          <w:rFonts w:ascii="Times New Roman" w:hAnsi="Times New Roman" w:cs="Times New Roman"/>
        </w:rPr>
        <w:t xml:space="preserve"> </w:t>
      </w:r>
      <w:r w:rsidR="00F14300">
        <w:rPr>
          <w:rFonts w:ascii="Times New Roman" w:hAnsi="Times New Roman" w:cs="Times New Roman"/>
        </w:rPr>
        <w:t xml:space="preserve">r. przez niektóre banki do ZBP z wnioskiem o wprowadzenie zakazu udzielania kredytów w walucie </w:t>
      </w:r>
      <w:r w:rsidR="00DA599C">
        <w:rPr>
          <w:rFonts w:ascii="Times New Roman" w:hAnsi="Times New Roman" w:cs="Times New Roman"/>
        </w:rPr>
        <w:t>innej</w:t>
      </w:r>
      <w:r w:rsidR="00F14300">
        <w:rPr>
          <w:rFonts w:ascii="Times New Roman" w:hAnsi="Times New Roman" w:cs="Times New Roman"/>
        </w:rPr>
        <w:t xml:space="preserve"> niż w tej, w której klient otrzymuje dochód. Innym przykładem może być apel ZBP wystosowany do Generalnego Inspektoratu Nadzoru Bankowego o wyegzekwowanie działań mających na celu ograniczenie dostępu do kredytów walutowych</w:t>
      </w:r>
      <w:r w:rsidR="0098465F">
        <w:rPr>
          <w:rStyle w:val="Odwoanieprzypisudolnego"/>
          <w:rFonts w:ascii="Times New Roman" w:hAnsi="Times New Roman" w:cs="Times New Roman"/>
        </w:rPr>
        <w:footnoteReference w:id="38"/>
      </w:r>
      <w:r w:rsidR="00397F1F">
        <w:rPr>
          <w:rFonts w:ascii="Times New Roman" w:hAnsi="Times New Roman" w:cs="Times New Roman"/>
        </w:rPr>
        <w:t>.</w:t>
      </w:r>
      <w:r w:rsidR="00F14300">
        <w:rPr>
          <w:rFonts w:ascii="Times New Roman" w:hAnsi="Times New Roman" w:cs="Times New Roman"/>
        </w:rPr>
        <w:t xml:space="preserve"> </w:t>
      </w:r>
      <w:r w:rsidR="0057447D">
        <w:rPr>
          <w:rFonts w:ascii="Times New Roman" w:hAnsi="Times New Roman" w:cs="Times New Roman"/>
        </w:rPr>
        <w:t xml:space="preserve">Apele </w:t>
      </w:r>
      <w:r w:rsidR="001A4089">
        <w:rPr>
          <w:rFonts w:ascii="Times New Roman" w:hAnsi="Times New Roman" w:cs="Times New Roman"/>
        </w:rPr>
        <w:t>te nie miały jednak mocy prawnej</w:t>
      </w:r>
      <w:r w:rsidR="00B478C1">
        <w:rPr>
          <w:rFonts w:ascii="Times New Roman" w:hAnsi="Times New Roman" w:cs="Times New Roman"/>
        </w:rPr>
        <w:t xml:space="preserve"> i nie mogły skutecznie</w:t>
      </w:r>
      <w:r w:rsidR="008C03F7">
        <w:rPr>
          <w:rFonts w:ascii="Times New Roman" w:hAnsi="Times New Roman" w:cs="Times New Roman"/>
        </w:rPr>
        <w:t xml:space="preserve"> wymusić zaostrzenia polityki kredytowej</w:t>
      </w:r>
      <w:r w:rsidR="00B478C1">
        <w:rPr>
          <w:rFonts w:ascii="Times New Roman" w:hAnsi="Times New Roman" w:cs="Times New Roman"/>
        </w:rPr>
        <w:t xml:space="preserve"> na bankach, czy zmiany </w:t>
      </w:r>
      <w:r w:rsidR="001641F1">
        <w:rPr>
          <w:rFonts w:ascii="Times New Roman" w:hAnsi="Times New Roman" w:cs="Times New Roman"/>
        </w:rPr>
        <w:t>zachowania kredytobiorców.</w:t>
      </w:r>
      <w:r w:rsidR="00600AD3">
        <w:rPr>
          <w:rFonts w:ascii="Times New Roman" w:hAnsi="Times New Roman" w:cs="Times New Roman"/>
        </w:rPr>
        <w:t xml:space="preserve"> </w:t>
      </w:r>
      <w:r w:rsidR="0015264A">
        <w:rPr>
          <w:rFonts w:ascii="Times New Roman" w:hAnsi="Times New Roman" w:cs="Times New Roman"/>
        </w:rPr>
        <w:t xml:space="preserve">Nadzór finansowy nie zdecydował się na całkowite zablokowanie możliwości udzielania kredytów hipotecznych w walutach obcych, ale na </w:t>
      </w:r>
      <w:r w:rsidR="006A0509">
        <w:rPr>
          <w:rFonts w:ascii="Times New Roman" w:hAnsi="Times New Roman" w:cs="Times New Roman"/>
        </w:rPr>
        <w:t>uregulowanie</w:t>
      </w:r>
      <w:r w:rsidR="0015264A">
        <w:rPr>
          <w:rFonts w:ascii="Times New Roman" w:hAnsi="Times New Roman" w:cs="Times New Roman"/>
        </w:rPr>
        <w:t xml:space="preserve"> rynku. </w:t>
      </w:r>
    </w:p>
    <w:p w14:paraId="472A7544" w14:textId="4F6C28E5" w:rsidR="006A0509" w:rsidRDefault="00600AD3" w:rsidP="00D80D68">
      <w:pPr>
        <w:pStyle w:val="Default"/>
        <w:spacing w:line="360" w:lineRule="auto"/>
        <w:ind w:firstLine="708"/>
        <w:jc w:val="both"/>
        <w:rPr>
          <w:rFonts w:ascii="Times New Roman" w:hAnsi="Times New Roman" w:cs="Times New Roman"/>
        </w:rPr>
      </w:pPr>
      <w:r>
        <w:rPr>
          <w:rFonts w:ascii="Times New Roman" w:hAnsi="Times New Roman" w:cs="Times New Roman"/>
        </w:rPr>
        <w:t>W 2006</w:t>
      </w:r>
      <w:r w:rsidR="00E957AD">
        <w:rPr>
          <w:rFonts w:ascii="Times New Roman" w:hAnsi="Times New Roman" w:cs="Times New Roman"/>
        </w:rPr>
        <w:t xml:space="preserve"> </w:t>
      </w:r>
      <w:r>
        <w:rPr>
          <w:rFonts w:ascii="Times New Roman" w:hAnsi="Times New Roman" w:cs="Times New Roman"/>
        </w:rPr>
        <w:t xml:space="preserve">r. </w:t>
      </w:r>
      <w:r w:rsidR="001D0316">
        <w:rPr>
          <w:rFonts w:ascii="Times New Roman" w:hAnsi="Times New Roman" w:cs="Times New Roman"/>
        </w:rPr>
        <w:t>ówczesna Komisja Nadzoru Bankowego</w:t>
      </w:r>
      <w:r w:rsidR="00CB6985">
        <w:rPr>
          <w:rFonts w:ascii="Times New Roman" w:hAnsi="Times New Roman" w:cs="Times New Roman"/>
        </w:rPr>
        <w:t xml:space="preserve"> przy współpracy z ZBP</w:t>
      </w:r>
      <w:r>
        <w:rPr>
          <w:rFonts w:ascii="Times New Roman" w:hAnsi="Times New Roman" w:cs="Times New Roman"/>
        </w:rPr>
        <w:t xml:space="preserve"> wprowadziła pierwsze regulacje prawne, które miały na celu ograniczenie dostępu do kredytów hipotecznych w walutach obcych. </w:t>
      </w:r>
      <w:r w:rsidR="001D0316">
        <w:rPr>
          <w:rFonts w:ascii="Times New Roman" w:hAnsi="Times New Roman" w:cs="Times New Roman"/>
        </w:rPr>
        <w:t>W marcu 2006</w:t>
      </w:r>
      <w:r w:rsidR="00E957AD">
        <w:rPr>
          <w:rFonts w:ascii="Times New Roman" w:hAnsi="Times New Roman" w:cs="Times New Roman"/>
        </w:rPr>
        <w:t xml:space="preserve"> </w:t>
      </w:r>
      <w:r w:rsidR="001D0316">
        <w:rPr>
          <w:rFonts w:ascii="Times New Roman" w:hAnsi="Times New Roman" w:cs="Times New Roman"/>
        </w:rPr>
        <w:t>r. wprowadzona została Rekomendacja S, która odnosiła się do dobrych praktyk bankowych w kwestii udzielania kredytów hipotecznych. Do najbardziej istotnych postulat</w:t>
      </w:r>
      <w:r w:rsidR="005E7E72">
        <w:rPr>
          <w:rFonts w:ascii="Times New Roman" w:hAnsi="Times New Roman" w:cs="Times New Roman"/>
        </w:rPr>
        <w:t>ów wystosowanych w Rekomendacji S należało zalecenie oferowania klientom kredytów</w:t>
      </w:r>
      <w:r w:rsidR="000E372E">
        <w:rPr>
          <w:rFonts w:ascii="Times New Roman" w:hAnsi="Times New Roman" w:cs="Times New Roman"/>
        </w:rPr>
        <w:t xml:space="preserve">, pożyczek i innych produktów </w:t>
      </w:r>
      <w:r w:rsidR="005E7E72">
        <w:rPr>
          <w:rFonts w:ascii="Times New Roman" w:hAnsi="Times New Roman" w:cs="Times New Roman"/>
        </w:rPr>
        <w:t>w pierwszej kolejności</w:t>
      </w:r>
      <w:r w:rsidR="000E372E">
        <w:rPr>
          <w:rFonts w:ascii="Times New Roman" w:hAnsi="Times New Roman" w:cs="Times New Roman"/>
        </w:rPr>
        <w:t xml:space="preserve"> w </w:t>
      </w:r>
      <w:r w:rsidR="00D15C4B">
        <w:rPr>
          <w:rFonts w:ascii="Times New Roman" w:hAnsi="Times New Roman" w:cs="Times New Roman"/>
        </w:rPr>
        <w:t>polskim złotym</w:t>
      </w:r>
      <w:r w:rsidR="000E372E">
        <w:rPr>
          <w:rFonts w:ascii="Times New Roman" w:hAnsi="Times New Roman" w:cs="Times New Roman"/>
        </w:rPr>
        <w:t xml:space="preserve">. Bank mógł zaoferować produkt w walucie obcej dopiero po podpisaniu przez klienta pisemnego oświadczenia potwierdzającego, że ma on pełną świadomość ryzyka walutowego związanego z nabywanym produktem. </w:t>
      </w:r>
      <w:r w:rsidR="00DC5E37">
        <w:rPr>
          <w:rFonts w:ascii="Times New Roman" w:hAnsi="Times New Roman" w:cs="Times New Roman"/>
        </w:rPr>
        <w:t>Klient zaciągający kredyt hipoteczny oprocentowany zmienną stopą procentową również musiał złożyć pisemne oświadczenie</w:t>
      </w:r>
      <w:r w:rsidR="00184815">
        <w:rPr>
          <w:rFonts w:ascii="Times New Roman" w:hAnsi="Times New Roman" w:cs="Times New Roman"/>
        </w:rPr>
        <w:t xml:space="preserve"> potwierdzające</w:t>
      </w:r>
      <w:r w:rsidR="00DC5E37">
        <w:rPr>
          <w:rFonts w:ascii="Times New Roman" w:hAnsi="Times New Roman" w:cs="Times New Roman"/>
        </w:rPr>
        <w:t>, że jest w pełni świadom ponoszonego ryzyka stopy procentowej.</w:t>
      </w:r>
      <w:r w:rsidR="005F79BD">
        <w:rPr>
          <w:rFonts w:ascii="Times New Roman" w:hAnsi="Times New Roman" w:cs="Times New Roman"/>
        </w:rPr>
        <w:t xml:space="preserve"> </w:t>
      </w:r>
      <w:r w:rsidR="006A0509">
        <w:rPr>
          <w:rFonts w:ascii="Times New Roman" w:hAnsi="Times New Roman" w:cs="Times New Roman"/>
        </w:rPr>
        <w:t>Kolejn</w:t>
      </w:r>
      <w:r w:rsidR="00624B55">
        <w:rPr>
          <w:rFonts w:ascii="Times New Roman" w:hAnsi="Times New Roman" w:cs="Times New Roman"/>
        </w:rPr>
        <w:t>e</w:t>
      </w:r>
      <w:r w:rsidR="006A0509">
        <w:rPr>
          <w:rFonts w:ascii="Times New Roman" w:hAnsi="Times New Roman" w:cs="Times New Roman"/>
        </w:rPr>
        <w:t xml:space="preserve"> istotne zalecenie dotyczyło analizy zdolności kredytowej aplikującego. Bank udzielający kredytu powinien do obliczeń przyjąć stopę oprocentowania kredytu walutowego na poziomie co najmniej stopy procentowej dla kredytu złotowego, a </w:t>
      </w:r>
      <w:r w:rsidR="00A6551D">
        <w:rPr>
          <w:rFonts w:ascii="Times New Roman" w:hAnsi="Times New Roman" w:cs="Times New Roman"/>
        </w:rPr>
        <w:t>sumę kredytowa przyjąć o 20% większą</w:t>
      </w:r>
      <w:r w:rsidR="006A0509">
        <w:rPr>
          <w:rFonts w:ascii="Times New Roman" w:hAnsi="Times New Roman" w:cs="Times New Roman"/>
        </w:rPr>
        <w:t xml:space="preserve"> niż w rzeczywi</w:t>
      </w:r>
      <w:r w:rsidR="006A0509">
        <w:rPr>
          <w:rFonts w:ascii="Times New Roman" w:hAnsi="Times New Roman" w:cs="Times New Roman"/>
        </w:rPr>
        <w:lastRenderedPageBreak/>
        <w:t xml:space="preserve">stości. </w:t>
      </w:r>
      <w:r w:rsidR="00DC5E37">
        <w:rPr>
          <w:rFonts w:ascii="Times New Roman" w:hAnsi="Times New Roman" w:cs="Times New Roman"/>
        </w:rPr>
        <w:t>Zalecono także przedstawienie kredytobiorcy</w:t>
      </w:r>
      <w:r w:rsidR="008216C7">
        <w:rPr>
          <w:rFonts w:ascii="Times New Roman" w:hAnsi="Times New Roman" w:cs="Times New Roman"/>
        </w:rPr>
        <w:t xml:space="preserve"> przed</w:t>
      </w:r>
      <w:r w:rsidR="00BF222F">
        <w:rPr>
          <w:rFonts w:ascii="Times New Roman" w:hAnsi="Times New Roman" w:cs="Times New Roman"/>
        </w:rPr>
        <w:t xml:space="preserve"> podpisaniem umowy</w:t>
      </w:r>
      <w:r w:rsidR="008216C7">
        <w:rPr>
          <w:rFonts w:ascii="Times New Roman" w:hAnsi="Times New Roman" w:cs="Times New Roman"/>
        </w:rPr>
        <w:t xml:space="preserve"> </w:t>
      </w:r>
      <w:r w:rsidR="00DC5E37">
        <w:rPr>
          <w:rFonts w:ascii="Times New Roman" w:hAnsi="Times New Roman" w:cs="Times New Roman"/>
        </w:rPr>
        <w:t>symulacji konsekwencji niekorzystnych zmian</w:t>
      </w:r>
      <w:r w:rsidR="00525E7C">
        <w:rPr>
          <w:rFonts w:ascii="Times New Roman" w:hAnsi="Times New Roman" w:cs="Times New Roman"/>
        </w:rPr>
        <w:t xml:space="preserve"> stopy oprocentowania kredytu oraz</w:t>
      </w:r>
      <w:r w:rsidR="00DC5E37">
        <w:rPr>
          <w:rFonts w:ascii="Times New Roman" w:hAnsi="Times New Roman" w:cs="Times New Roman"/>
        </w:rPr>
        <w:t xml:space="preserve"> kursu walutowego</w:t>
      </w:r>
      <w:r w:rsidR="00CB4543">
        <w:rPr>
          <w:rFonts w:ascii="Times New Roman" w:hAnsi="Times New Roman" w:cs="Times New Roman"/>
        </w:rPr>
        <w:t>. Symulacja powinna odbywać się w oparciu o</w:t>
      </w:r>
      <w:r w:rsidR="00DC5E37">
        <w:rPr>
          <w:rFonts w:ascii="Times New Roman" w:hAnsi="Times New Roman" w:cs="Times New Roman"/>
        </w:rPr>
        <w:t xml:space="preserve"> waha</w:t>
      </w:r>
      <w:r w:rsidR="00CB4543">
        <w:rPr>
          <w:rFonts w:ascii="Times New Roman" w:hAnsi="Times New Roman" w:cs="Times New Roman"/>
        </w:rPr>
        <w:t>nia</w:t>
      </w:r>
      <w:r w:rsidR="00DC5E37">
        <w:rPr>
          <w:rFonts w:ascii="Times New Roman" w:hAnsi="Times New Roman" w:cs="Times New Roman"/>
        </w:rPr>
        <w:t xml:space="preserve"> kursu waluty kredytu w ciągu 12 miesięcy przed podpisaniem umowy kre</w:t>
      </w:r>
      <w:r w:rsidR="00C149AB">
        <w:rPr>
          <w:rFonts w:ascii="Times New Roman" w:hAnsi="Times New Roman" w:cs="Times New Roman"/>
        </w:rPr>
        <w:t>dy</w:t>
      </w:r>
      <w:r w:rsidR="00DC5E37">
        <w:rPr>
          <w:rFonts w:ascii="Times New Roman" w:hAnsi="Times New Roman" w:cs="Times New Roman"/>
        </w:rPr>
        <w:t>towej</w:t>
      </w:r>
      <w:r w:rsidR="00525E7C">
        <w:rPr>
          <w:rStyle w:val="Odwoanieprzypisudolnego"/>
          <w:rFonts w:ascii="Times New Roman" w:hAnsi="Times New Roman" w:cs="Times New Roman"/>
        </w:rPr>
        <w:footnoteReference w:id="39"/>
      </w:r>
      <w:r w:rsidR="00DC5E37">
        <w:rPr>
          <w:rFonts w:ascii="Times New Roman" w:hAnsi="Times New Roman" w:cs="Times New Roman"/>
        </w:rPr>
        <w:t xml:space="preserve">. </w:t>
      </w:r>
    </w:p>
    <w:p w14:paraId="704F863B" w14:textId="5E9729E8" w:rsidR="006A0509" w:rsidRDefault="004F15FA" w:rsidP="00D80D68">
      <w:pPr>
        <w:pStyle w:val="Default"/>
        <w:spacing w:line="360" w:lineRule="auto"/>
        <w:jc w:val="both"/>
        <w:rPr>
          <w:rFonts w:ascii="Times New Roman" w:hAnsi="Times New Roman" w:cs="Times New Roman"/>
        </w:rPr>
      </w:pPr>
      <w:r>
        <w:rPr>
          <w:rFonts w:ascii="Times New Roman" w:hAnsi="Times New Roman" w:cs="Times New Roman"/>
        </w:rPr>
        <w:tab/>
        <w:t>W grudniu 2008</w:t>
      </w:r>
      <w:r w:rsidR="009D1D83">
        <w:rPr>
          <w:rFonts w:ascii="Times New Roman" w:hAnsi="Times New Roman" w:cs="Times New Roman"/>
        </w:rPr>
        <w:t xml:space="preserve"> </w:t>
      </w:r>
      <w:r>
        <w:rPr>
          <w:rFonts w:ascii="Times New Roman" w:hAnsi="Times New Roman" w:cs="Times New Roman"/>
        </w:rPr>
        <w:t xml:space="preserve">r. Rekomendacja S została zaktualizowana. Dodane zostało </w:t>
      </w:r>
      <w:r w:rsidR="00D15C4B">
        <w:rPr>
          <w:rFonts w:ascii="Times New Roman" w:hAnsi="Times New Roman" w:cs="Times New Roman"/>
        </w:rPr>
        <w:t>zalecenie informowania</w:t>
      </w:r>
      <w:r>
        <w:rPr>
          <w:rFonts w:ascii="Times New Roman" w:hAnsi="Times New Roman" w:cs="Times New Roman"/>
        </w:rPr>
        <w:t xml:space="preserve"> kredytobiorców o spreadzie walutowym i powiązanych z nim zagrożeniami. Banki otrzymały polecenie stosowania </w:t>
      </w:r>
      <w:r w:rsidR="00B30229">
        <w:rPr>
          <w:rFonts w:ascii="Times New Roman" w:hAnsi="Times New Roman" w:cs="Times New Roman"/>
        </w:rPr>
        <w:t>jednolitych</w:t>
      </w:r>
      <w:r>
        <w:rPr>
          <w:rFonts w:ascii="Times New Roman" w:hAnsi="Times New Roman" w:cs="Times New Roman"/>
        </w:rPr>
        <w:t xml:space="preserve"> kursów walutowych dla rozliczania</w:t>
      </w:r>
      <w:r w:rsidR="00B30229">
        <w:rPr>
          <w:rFonts w:ascii="Times New Roman" w:hAnsi="Times New Roman" w:cs="Times New Roman"/>
        </w:rPr>
        <w:t xml:space="preserve"> wszystkich transakcji</w:t>
      </w:r>
      <w:r w:rsidR="004B5C6C">
        <w:rPr>
          <w:rFonts w:ascii="Times New Roman" w:hAnsi="Times New Roman" w:cs="Times New Roman"/>
        </w:rPr>
        <w:t xml:space="preserve"> i produktów</w:t>
      </w:r>
      <w:r w:rsidR="00B30229">
        <w:rPr>
          <w:rFonts w:ascii="Times New Roman" w:hAnsi="Times New Roman" w:cs="Times New Roman"/>
        </w:rPr>
        <w:t>, w tym</w:t>
      </w:r>
      <w:r>
        <w:rPr>
          <w:rFonts w:ascii="Times New Roman" w:hAnsi="Times New Roman" w:cs="Times New Roman"/>
        </w:rPr>
        <w:t xml:space="preserve"> kredytów mieszkaniowych </w:t>
      </w:r>
      <w:r w:rsidR="00B30229">
        <w:rPr>
          <w:rFonts w:ascii="Times New Roman" w:hAnsi="Times New Roman" w:cs="Times New Roman"/>
        </w:rPr>
        <w:t>w walutach obcych.</w:t>
      </w:r>
      <w:r>
        <w:rPr>
          <w:rFonts w:ascii="Times New Roman" w:hAnsi="Times New Roman" w:cs="Times New Roman"/>
        </w:rPr>
        <w:t xml:space="preserve"> Dodano też obowiązek udostępnienia klientom danych nt. historycznych kursów walut</w:t>
      </w:r>
      <w:r w:rsidR="0029518D">
        <w:rPr>
          <w:rStyle w:val="Odwoanieprzypisudolnego"/>
          <w:rFonts w:ascii="Times New Roman" w:hAnsi="Times New Roman" w:cs="Times New Roman"/>
        </w:rPr>
        <w:footnoteReference w:id="40"/>
      </w:r>
      <w:r>
        <w:rPr>
          <w:rFonts w:ascii="Times New Roman" w:hAnsi="Times New Roman" w:cs="Times New Roman"/>
        </w:rPr>
        <w:t>.</w:t>
      </w:r>
    </w:p>
    <w:p w14:paraId="33E497D6" w14:textId="423C8B58" w:rsidR="00CD7964" w:rsidRPr="00E77F7D" w:rsidRDefault="00CD7964" w:rsidP="00D80D68">
      <w:pPr>
        <w:pStyle w:val="Default"/>
        <w:spacing w:line="360" w:lineRule="auto"/>
        <w:jc w:val="both"/>
        <w:rPr>
          <w:rFonts w:ascii="Times New Roman" w:hAnsi="Times New Roman" w:cs="Times New Roman"/>
          <w:b/>
        </w:rPr>
      </w:pPr>
      <w:r>
        <w:rPr>
          <w:rFonts w:ascii="Times New Roman" w:hAnsi="Times New Roman" w:cs="Times New Roman"/>
        </w:rPr>
        <w:tab/>
        <w:t xml:space="preserve">KNF </w:t>
      </w:r>
      <w:r w:rsidR="006D4931">
        <w:rPr>
          <w:rFonts w:ascii="Times New Roman" w:hAnsi="Times New Roman" w:cs="Times New Roman"/>
        </w:rPr>
        <w:t>uznała, że wprowadzone do tej pory przepisy są niewystarczające. Z tego powodu w marcu 2010</w:t>
      </w:r>
      <w:r w:rsidR="00517723">
        <w:rPr>
          <w:rFonts w:ascii="Times New Roman" w:hAnsi="Times New Roman" w:cs="Times New Roman"/>
        </w:rPr>
        <w:t xml:space="preserve"> </w:t>
      </w:r>
      <w:r w:rsidR="006D4931">
        <w:rPr>
          <w:rFonts w:ascii="Times New Roman" w:hAnsi="Times New Roman" w:cs="Times New Roman"/>
        </w:rPr>
        <w:t>r. przy współpracy z ZBP uchwalona została Rekomendacja T, która wyznaczała maksymalną wartość współczynnika D</w:t>
      </w:r>
      <w:r w:rsidR="00541329">
        <w:rPr>
          <w:rFonts w:ascii="Times New Roman" w:hAnsi="Times New Roman" w:cs="Times New Roman"/>
        </w:rPr>
        <w:t>T</w:t>
      </w:r>
      <w:r w:rsidR="006D4931">
        <w:rPr>
          <w:rFonts w:ascii="Times New Roman" w:hAnsi="Times New Roman" w:cs="Times New Roman"/>
        </w:rPr>
        <w:t xml:space="preserve">I. </w:t>
      </w:r>
      <w:r w:rsidR="00905968">
        <w:rPr>
          <w:rFonts w:ascii="Times New Roman" w:hAnsi="Times New Roman" w:cs="Times New Roman"/>
        </w:rPr>
        <w:t>Od tej pory podczas badania zdolności kredytowej musiały brać pod uwagę fakt, że współczynnik ten nie powinien przekraczać 50% (w</w:t>
      </w:r>
      <w:r w:rsidR="00D15C4B">
        <w:rPr>
          <w:rFonts w:ascii="Times New Roman" w:hAnsi="Times New Roman" w:cs="Times New Roman"/>
        </w:rPr>
        <w:t> </w:t>
      </w:r>
      <w:r w:rsidR="00905968">
        <w:rPr>
          <w:rFonts w:ascii="Times New Roman" w:hAnsi="Times New Roman" w:cs="Times New Roman"/>
        </w:rPr>
        <w:t>przypadku klientów wykazujących miesięczny doc</w:t>
      </w:r>
      <w:r w:rsidR="00AF3ED3">
        <w:rPr>
          <w:rFonts w:ascii="Times New Roman" w:hAnsi="Times New Roman" w:cs="Times New Roman"/>
        </w:rPr>
        <w:t>hód powyżej średniej krajowej DT</w:t>
      </w:r>
      <w:r w:rsidR="00905968">
        <w:rPr>
          <w:rFonts w:ascii="Times New Roman" w:hAnsi="Times New Roman" w:cs="Times New Roman"/>
        </w:rPr>
        <w:t>I nie powinien przekraczać 65%)</w:t>
      </w:r>
      <w:r w:rsidR="00333110">
        <w:rPr>
          <w:rStyle w:val="Odwoanieprzypisudolnego"/>
          <w:rFonts w:ascii="Times New Roman" w:hAnsi="Times New Roman" w:cs="Times New Roman"/>
        </w:rPr>
        <w:footnoteReference w:id="41"/>
      </w:r>
      <w:r w:rsidR="00905968">
        <w:rPr>
          <w:rFonts w:ascii="Times New Roman" w:hAnsi="Times New Roman" w:cs="Times New Roman"/>
        </w:rPr>
        <w:t>.</w:t>
      </w:r>
      <w:r w:rsidR="00333110">
        <w:rPr>
          <w:rFonts w:ascii="Times New Roman" w:hAnsi="Times New Roman" w:cs="Times New Roman"/>
        </w:rPr>
        <w:t xml:space="preserve"> Co więcej, do wylicze</w:t>
      </w:r>
      <w:r w:rsidR="00AF3ED3">
        <w:rPr>
          <w:rFonts w:ascii="Times New Roman" w:hAnsi="Times New Roman" w:cs="Times New Roman"/>
        </w:rPr>
        <w:t>nia wartości DT</w:t>
      </w:r>
      <w:r w:rsidR="00333110">
        <w:rPr>
          <w:rFonts w:ascii="Times New Roman" w:hAnsi="Times New Roman" w:cs="Times New Roman"/>
        </w:rPr>
        <w:t>I banki powinny uwzględniać odchylenia wartości kursu waluty kredytu o 30%.</w:t>
      </w:r>
      <w:r w:rsidR="0063644C">
        <w:rPr>
          <w:rFonts w:ascii="Times New Roman" w:hAnsi="Times New Roman" w:cs="Times New Roman"/>
        </w:rPr>
        <w:t xml:space="preserve"> W rekomendacji zalecono również bardziej ostrożny sposób wyliczania współczynnika L</w:t>
      </w:r>
      <w:r w:rsidR="00EB1628">
        <w:rPr>
          <w:rFonts w:ascii="Times New Roman" w:hAnsi="Times New Roman" w:cs="Times New Roman"/>
        </w:rPr>
        <w:t>T</w:t>
      </w:r>
      <w:r w:rsidR="0063644C">
        <w:rPr>
          <w:rFonts w:ascii="Times New Roman" w:hAnsi="Times New Roman" w:cs="Times New Roman"/>
        </w:rPr>
        <w:t xml:space="preserve">V. </w:t>
      </w:r>
      <w:r w:rsidR="00E77F7D">
        <w:rPr>
          <w:rFonts w:ascii="Times New Roman" w:hAnsi="Times New Roman" w:cs="Times New Roman"/>
        </w:rPr>
        <w:t xml:space="preserve">Zalecono </w:t>
      </w:r>
      <w:r w:rsidR="0063644C">
        <w:rPr>
          <w:rFonts w:ascii="Times New Roman" w:hAnsi="Times New Roman" w:cs="Times New Roman"/>
        </w:rPr>
        <w:t xml:space="preserve">przyjęcie </w:t>
      </w:r>
      <w:r w:rsidR="00E77F7D">
        <w:rPr>
          <w:rFonts w:ascii="Times New Roman" w:hAnsi="Times New Roman" w:cs="Times New Roman"/>
        </w:rPr>
        <w:t>bufora bezpieczeństwa</w:t>
      </w:r>
      <w:r w:rsidR="00E46DA6">
        <w:rPr>
          <w:rFonts w:ascii="Times New Roman" w:hAnsi="Times New Roman" w:cs="Times New Roman"/>
        </w:rPr>
        <w:t xml:space="preserve"> w wysokości 20% wartości kwoty kredytu</w:t>
      </w:r>
      <w:r w:rsidR="00E77F7D">
        <w:rPr>
          <w:rFonts w:ascii="Times New Roman" w:hAnsi="Times New Roman" w:cs="Times New Roman"/>
        </w:rPr>
        <w:t xml:space="preserve"> do pokrycia skutków zmiany L</w:t>
      </w:r>
      <w:r w:rsidR="00EB1628">
        <w:rPr>
          <w:rFonts w:ascii="Times New Roman" w:hAnsi="Times New Roman" w:cs="Times New Roman"/>
        </w:rPr>
        <w:t>T</w:t>
      </w:r>
      <w:r w:rsidR="00E77F7D">
        <w:rPr>
          <w:rFonts w:ascii="Times New Roman" w:hAnsi="Times New Roman" w:cs="Times New Roman"/>
        </w:rPr>
        <w:t>V</w:t>
      </w:r>
      <w:r w:rsidR="0063644C">
        <w:rPr>
          <w:rFonts w:ascii="Times New Roman" w:hAnsi="Times New Roman" w:cs="Times New Roman"/>
        </w:rPr>
        <w:t>, któr</w:t>
      </w:r>
      <w:r w:rsidR="00E46DA6">
        <w:rPr>
          <w:rFonts w:ascii="Times New Roman" w:hAnsi="Times New Roman" w:cs="Times New Roman"/>
        </w:rPr>
        <w:t>y mógł</w:t>
      </w:r>
      <w:r w:rsidR="0063644C">
        <w:rPr>
          <w:rFonts w:ascii="Times New Roman" w:hAnsi="Times New Roman" w:cs="Times New Roman"/>
        </w:rPr>
        <w:t>by ulec zmianie z powodu wahań kursu walutowego</w:t>
      </w:r>
      <w:r w:rsidR="000F0720">
        <w:rPr>
          <w:rStyle w:val="Odwoanieprzypisudolnego"/>
          <w:rFonts w:ascii="Times New Roman" w:hAnsi="Times New Roman" w:cs="Times New Roman"/>
        </w:rPr>
        <w:footnoteReference w:id="42"/>
      </w:r>
      <w:r w:rsidR="00795C28">
        <w:rPr>
          <w:rFonts w:ascii="Times New Roman" w:hAnsi="Times New Roman" w:cs="Times New Roman"/>
        </w:rPr>
        <w:t>.</w:t>
      </w:r>
    </w:p>
    <w:p w14:paraId="66696947" w14:textId="27BA7687" w:rsidR="00184815" w:rsidRDefault="00184815" w:rsidP="00D80D68">
      <w:pPr>
        <w:pStyle w:val="Default"/>
        <w:spacing w:line="360" w:lineRule="auto"/>
        <w:jc w:val="both"/>
        <w:rPr>
          <w:rFonts w:ascii="Times New Roman" w:hAnsi="Times New Roman" w:cs="Times New Roman"/>
          <w:b/>
        </w:rPr>
      </w:pPr>
      <w:r>
        <w:rPr>
          <w:rFonts w:ascii="Times New Roman" w:hAnsi="Times New Roman" w:cs="Times New Roman"/>
        </w:rPr>
        <w:tab/>
        <w:t>Kolejn</w:t>
      </w:r>
      <w:r w:rsidR="008B3634">
        <w:rPr>
          <w:rFonts w:ascii="Times New Roman" w:hAnsi="Times New Roman" w:cs="Times New Roman"/>
        </w:rPr>
        <w:t xml:space="preserve">e regulacje zawarto w </w:t>
      </w:r>
      <w:r w:rsidR="00631C5D">
        <w:rPr>
          <w:rFonts w:ascii="Times New Roman" w:hAnsi="Times New Roman" w:cs="Times New Roman"/>
        </w:rPr>
        <w:t>zaktualizowan</w:t>
      </w:r>
      <w:r w:rsidR="008B3634">
        <w:rPr>
          <w:rFonts w:ascii="Times New Roman" w:hAnsi="Times New Roman" w:cs="Times New Roman"/>
        </w:rPr>
        <w:t>ej</w:t>
      </w:r>
      <w:r w:rsidR="00631C5D">
        <w:rPr>
          <w:rFonts w:ascii="Times New Roman" w:hAnsi="Times New Roman" w:cs="Times New Roman"/>
        </w:rPr>
        <w:t xml:space="preserve"> wersj</w:t>
      </w:r>
      <w:r w:rsidR="008B3634">
        <w:rPr>
          <w:rFonts w:ascii="Times New Roman" w:hAnsi="Times New Roman" w:cs="Times New Roman"/>
        </w:rPr>
        <w:t>i</w:t>
      </w:r>
      <w:r>
        <w:rPr>
          <w:rFonts w:ascii="Times New Roman" w:hAnsi="Times New Roman" w:cs="Times New Roman"/>
        </w:rPr>
        <w:t xml:space="preserve"> Rekomendacji S</w:t>
      </w:r>
      <w:r w:rsidR="00776E03">
        <w:rPr>
          <w:rFonts w:ascii="Times New Roman" w:hAnsi="Times New Roman" w:cs="Times New Roman"/>
        </w:rPr>
        <w:t>, którą</w:t>
      </w:r>
      <w:r>
        <w:rPr>
          <w:rFonts w:ascii="Times New Roman" w:hAnsi="Times New Roman" w:cs="Times New Roman"/>
        </w:rPr>
        <w:t xml:space="preserve"> uchwalon</w:t>
      </w:r>
      <w:r w:rsidR="00776E03">
        <w:rPr>
          <w:rFonts w:ascii="Times New Roman" w:hAnsi="Times New Roman" w:cs="Times New Roman"/>
        </w:rPr>
        <w:t>o</w:t>
      </w:r>
      <w:r>
        <w:rPr>
          <w:rFonts w:ascii="Times New Roman" w:hAnsi="Times New Roman" w:cs="Times New Roman"/>
        </w:rPr>
        <w:t xml:space="preserve"> w styczniu 2011</w:t>
      </w:r>
      <w:r w:rsidR="00517723">
        <w:rPr>
          <w:rFonts w:ascii="Times New Roman" w:hAnsi="Times New Roman" w:cs="Times New Roman"/>
        </w:rPr>
        <w:t xml:space="preserve"> </w:t>
      </w:r>
      <w:r>
        <w:rPr>
          <w:rFonts w:ascii="Times New Roman" w:hAnsi="Times New Roman" w:cs="Times New Roman"/>
        </w:rPr>
        <w:t>r.</w:t>
      </w:r>
      <w:r w:rsidR="00D75912">
        <w:rPr>
          <w:rFonts w:ascii="Times New Roman" w:hAnsi="Times New Roman" w:cs="Times New Roman"/>
        </w:rPr>
        <w:t xml:space="preserve"> </w:t>
      </w:r>
      <w:r w:rsidR="00883A89">
        <w:rPr>
          <w:rFonts w:ascii="Times New Roman" w:hAnsi="Times New Roman" w:cs="Times New Roman"/>
        </w:rPr>
        <w:t xml:space="preserve">Nowelizacja zaostrzyła proces analizy zdolności kredytowej klientów. Od tej pory niezależnie od </w:t>
      </w:r>
      <w:r w:rsidR="00123054">
        <w:rPr>
          <w:rFonts w:ascii="Times New Roman" w:hAnsi="Times New Roman" w:cs="Times New Roman"/>
        </w:rPr>
        <w:t>długości</w:t>
      </w:r>
      <w:r w:rsidR="00883A89">
        <w:rPr>
          <w:rFonts w:ascii="Times New Roman" w:hAnsi="Times New Roman" w:cs="Times New Roman"/>
        </w:rPr>
        <w:t xml:space="preserve"> umowy kredytu do badania zdolności kredytow</w:t>
      </w:r>
      <w:r w:rsidR="00340EE5">
        <w:rPr>
          <w:rFonts w:ascii="Times New Roman" w:hAnsi="Times New Roman" w:cs="Times New Roman"/>
        </w:rPr>
        <w:t>ej</w:t>
      </w:r>
      <w:r w:rsidR="00883A89">
        <w:rPr>
          <w:rFonts w:ascii="Times New Roman" w:hAnsi="Times New Roman" w:cs="Times New Roman"/>
        </w:rPr>
        <w:t xml:space="preserve"> aplikującego banki </w:t>
      </w:r>
      <w:r w:rsidR="004F3E29">
        <w:rPr>
          <w:rFonts w:ascii="Times New Roman" w:hAnsi="Times New Roman" w:cs="Times New Roman"/>
        </w:rPr>
        <w:t xml:space="preserve">miały </w:t>
      </w:r>
      <w:r w:rsidR="00F82CA5">
        <w:rPr>
          <w:rFonts w:ascii="Times New Roman" w:hAnsi="Times New Roman" w:cs="Times New Roman"/>
        </w:rPr>
        <w:t>obowiązek</w:t>
      </w:r>
      <w:r w:rsidR="00123054">
        <w:rPr>
          <w:rFonts w:ascii="Times New Roman" w:hAnsi="Times New Roman" w:cs="Times New Roman"/>
        </w:rPr>
        <w:t xml:space="preserve"> przyjmować okres 25 lat. Ponadto </w:t>
      </w:r>
      <w:r w:rsidR="00411ADD">
        <w:rPr>
          <w:rFonts w:ascii="Times New Roman" w:hAnsi="Times New Roman" w:cs="Times New Roman"/>
        </w:rPr>
        <w:t>obniżono</w:t>
      </w:r>
      <w:r w:rsidR="00123054">
        <w:rPr>
          <w:rFonts w:ascii="Times New Roman" w:hAnsi="Times New Roman" w:cs="Times New Roman"/>
        </w:rPr>
        <w:t xml:space="preserve"> maksymalną</w:t>
      </w:r>
      <w:r w:rsidR="00F82CA5">
        <w:rPr>
          <w:rFonts w:ascii="Times New Roman" w:hAnsi="Times New Roman" w:cs="Times New Roman"/>
        </w:rPr>
        <w:t xml:space="preserve"> dopuszczalną</w:t>
      </w:r>
      <w:r w:rsidR="00123054">
        <w:rPr>
          <w:rFonts w:ascii="Times New Roman" w:hAnsi="Times New Roman" w:cs="Times New Roman"/>
        </w:rPr>
        <w:t xml:space="preserve"> wartość współczynnika D</w:t>
      </w:r>
      <w:r w:rsidR="00D15C4B">
        <w:rPr>
          <w:rFonts w:ascii="Times New Roman" w:hAnsi="Times New Roman" w:cs="Times New Roman"/>
        </w:rPr>
        <w:t>T</w:t>
      </w:r>
      <w:r w:rsidR="00123054">
        <w:rPr>
          <w:rFonts w:ascii="Times New Roman" w:hAnsi="Times New Roman" w:cs="Times New Roman"/>
        </w:rPr>
        <w:t xml:space="preserve">I </w:t>
      </w:r>
      <w:r w:rsidR="00411ADD">
        <w:rPr>
          <w:rFonts w:ascii="Times New Roman" w:hAnsi="Times New Roman" w:cs="Times New Roman"/>
        </w:rPr>
        <w:t>do poziomu</w:t>
      </w:r>
      <w:r w:rsidR="00123054">
        <w:rPr>
          <w:rFonts w:ascii="Times New Roman" w:hAnsi="Times New Roman" w:cs="Times New Roman"/>
        </w:rPr>
        <w:t xml:space="preserve"> 42%. </w:t>
      </w:r>
      <w:r w:rsidR="00D75912">
        <w:rPr>
          <w:rFonts w:ascii="Times New Roman" w:hAnsi="Times New Roman" w:cs="Times New Roman"/>
        </w:rPr>
        <w:t>Dodatkowo na banki nałożono ob</w:t>
      </w:r>
      <w:r w:rsidR="00C011CD">
        <w:rPr>
          <w:rFonts w:ascii="Times New Roman" w:hAnsi="Times New Roman" w:cs="Times New Roman"/>
        </w:rPr>
        <w:t>o</w:t>
      </w:r>
      <w:r w:rsidR="00D75912">
        <w:rPr>
          <w:rFonts w:ascii="Times New Roman" w:hAnsi="Times New Roman" w:cs="Times New Roman"/>
        </w:rPr>
        <w:t xml:space="preserve">wiązek regularnego przeprowadzania </w:t>
      </w:r>
      <w:r w:rsidR="00932834">
        <w:rPr>
          <w:rFonts w:ascii="Times New Roman" w:hAnsi="Times New Roman" w:cs="Times New Roman"/>
        </w:rPr>
        <w:t>testów</w:t>
      </w:r>
      <w:r w:rsidR="00C011CD">
        <w:rPr>
          <w:rFonts w:ascii="Times New Roman" w:hAnsi="Times New Roman" w:cs="Times New Roman"/>
        </w:rPr>
        <w:t xml:space="preserve"> bezpieczeństwa poprzez symulację</w:t>
      </w:r>
      <w:r w:rsidR="00D75912">
        <w:rPr>
          <w:rFonts w:ascii="Times New Roman" w:hAnsi="Times New Roman" w:cs="Times New Roman"/>
        </w:rPr>
        <w:t xml:space="preserve"> zmiany kursu waluty kredytu hipotecznego o 30% i utrzymania się takiej sytuacji przez 12 miesięcy</w:t>
      </w:r>
      <w:r w:rsidR="00CB6985">
        <w:rPr>
          <w:rStyle w:val="Odwoanieprzypisudolnego"/>
          <w:rFonts w:ascii="Times New Roman" w:hAnsi="Times New Roman" w:cs="Times New Roman"/>
        </w:rPr>
        <w:footnoteReference w:id="43"/>
      </w:r>
      <w:r w:rsidR="007C50B6">
        <w:rPr>
          <w:rFonts w:ascii="Times New Roman" w:hAnsi="Times New Roman" w:cs="Times New Roman"/>
        </w:rPr>
        <w:t>.</w:t>
      </w:r>
    </w:p>
    <w:p w14:paraId="4463C579" w14:textId="20505A68" w:rsidR="00184815" w:rsidRDefault="00631C5D" w:rsidP="00D80D68">
      <w:pPr>
        <w:pStyle w:val="Default"/>
        <w:spacing w:line="360" w:lineRule="auto"/>
        <w:jc w:val="both"/>
        <w:rPr>
          <w:rFonts w:ascii="Times New Roman" w:hAnsi="Times New Roman" w:cs="Times New Roman"/>
        </w:rPr>
      </w:pPr>
      <w:r>
        <w:rPr>
          <w:rFonts w:ascii="Times New Roman" w:hAnsi="Times New Roman" w:cs="Times New Roman"/>
          <w:b/>
        </w:rPr>
        <w:lastRenderedPageBreak/>
        <w:tab/>
      </w:r>
      <w:r>
        <w:rPr>
          <w:rFonts w:ascii="Times New Roman" w:hAnsi="Times New Roman" w:cs="Times New Roman"/>
        </w:rPr>
        <w:t>Najnowsza nowelizacja Rekomendacji S</w:t>
      </w:r>
      <w:r w:rsidR="00D15C4B">
        <w:rPr>
          <w:rFonts w:ascii="Times New Roman" w:hAnsi="Times New Roman" w:cs="Times New Roman"/>
        </w:rPr>
        <w:t>,</w:t>
      </w:r>
      <w:r>
        <w:rPr>
          <w:rFonts w:ascii="Times New Roman" w:hAnsi="Times New Roman" w:cs="Times New Roman"/>
        </w:rPr>
        <w:t xml:space="preserve"> </w:t>
      </w:r>
      <w:r w:rsidR="00253076">
        <w:rPr>
          <w:rFonts w:ascii="Times New Roman" w:hAnsi="Times New Roman" w:cs="Times New Roman"/>
        </w:rPr>
        <w:t>uchwalona</w:t>
      </w:r>
      <w:r>
        <w:rPr>
          <w:rFonts w:ascii="Times New Roman" w:hAnsi="Times New Roman" w:cs="Times New Roman"/>
        </w:rPr>
        <w:t xml:space="preserve"> w czerwcu 2013</w:t>
      </w:r>
      <w:r w:rsidR="00E255A3">
        <w:rPr>
          <w:rFonts w:ascii="Times New Roman" w:hAnsi="Times New Roman" w:cs="Times New Roman"/>
        </w:rPr>
        <w:t xml:space="preserve"> </w:t>
      </w:r>
      <w:r>
        <w:rPr>
          <w:rFonts w:ascii="Times New Roman" w:hAnsi="Times New Roman" w:cs="Times New Roman"/>
        </w:rPr>
        <w:t>r.</w:t>
      </w:r>
      <w:r w:rsidR="00D15C4B">
        <w:rPr>
          <w:rFonts w:ascii="Times New Roman" w:hAnsi="Times New Roman" w:cs="Times New Roman"/>
        </w:rPr>
        <w:t>,</w:t>
      </w:r>
      <w:r>
        <w:rPr>
          <w:rFonts w:ascii="Times New Roman" w:hAnsi="Times New Roman" w:cs="Times New Roman"/>
        </w:rPr>
        <w:t xml:space="preserve"> wprowadziła kolejne </w:t>
      </w:r>
      <w:r w:rsidR="001C2BFF">
        <w:rPr>
          <w:rFonts w:ascii="Times New Roman" w:hAnsi="Times New Roman" w:cs="Times New Roman"/>
        </w:rPr>
        <w:t>zaostrzenia</w:t>
      </w:r>
      <w:r>
        <w:rPr>
          <w:rFonts w:ascii="Times New Roman" w:hAnsi="Times New Roman" w:cs="Times New Roman"/>
        </w:rPr>
        <w:t xml:space="preserve">. </w:t>
      </w:r>
      <w:r w:rsidR="00184909">
        <w:rPr>
          <w:rFonts w:ascii="Times New Roman" w:hAnsi="Times New Roman" w:cs="Times New Roman"/>
        </w:rPr>
        <w:t xml:space="preserve">Dodany </w:t>
      </w:r>
      <w:r w:rsidR="00CE3424">
        <w:rPr>
          <w:rFonts w:ascii="Times New Roman" w:hAnsi="Times New Roman" w:cs="Times New Roman"/>
        </w:rPr>
        <w:t>został obowiązek posiadania wkładu własnego na poziomie minimum 20% wartości nieruchomości, na zakup której udzielany jest kredyt hipoteczny w walucie obcej</w:t>
      </w:r>
      <w:r w:rsidR="0002003A">
        <w:rPr>
          <w:rFonts w:ascii="Times New Roman" w:hAnsi="Times New Roman" w:cs="Times New Roman"/>
        </w:rPr>
        <w:t>.</w:t>
      </w:r>
      <w:r w:rsidR="002B7A4B">
        <w:rPr>
          <w:rFonts w:ascii="Times New Roman" w:hAnsi="Times New Roman" w:cs="Times New Roman"/>
        </w:rPr>
        <w:t xml:space="preserve"> Dodatkowo</w:t>
      </w:r>
      <w:r w:rsidR="00DB2B63">
        <w:rPr>
          <w:rFonts w:ascii="Times New Roman" w:hAnsi="Times New Roman" w:cs="Times New Roman"/>
        </w:rPr>
        <w:t>,</w:t>
      </w:r>
      <w:r w:rsidR="002B7A4B">
        <w:rPr>
          <w:rFonts w:ascii="Times New Roman" w:hAnsi="Times New Roman" w:cs="Times New Roman"/>
        </w:rPr>
        <w:t xml:space="preserve"> po nowelizacji banki mają obowiązek sprzedaży klientom detalicznym kredytów hipotecznych wyłącznie w walucie, w której otrzymują oni dochody</w:t>
      </w:r>
      <w:r w:rsidR="0077709B">
        <w:rPr>
          <w:rStyle w:val="Odwoanieprzypisudolnego"/>
          <w:rFonts w:ascii="Times New Roman" w:hAnsi="Times New Roman" w:cs="Times New Roman"/>
        </w:rPr>
        <w:footnoteReference w:id="44"/>
      </w:r>
      <w:r w:rsidR="002B7A4B">
        <w:rPr>
          <w:rFonts w:ascii="Times New Roman" w:hAnsi="Times New Roman" w:cs="Times New Roman"/>
        </w:rPr>
        <w:t>.</w:t>
      </w:r>
    </w:p>
    <w:p w14:paraId="41DEB603" w14:textId="4229672F" w:rsidR="00A74CB8" w:rsidRDefault="00A74CB8" w:rsidP="00D80D68">
      <w:pPr>
        <w:pStyle w:val="Default"/>
        <w:spacing w:line="360" w:lineRule="auto"/>
        <w:jc w:val="both"/>
        <w:rPr>
          <w:rFonts w:ascii="Times New Roman" w:hAnsi="Times New Roman" w:cs="Times New Roman"/>
        </w:rPr>
      </w:pPr>
      <w:r>
        <w:rPr>
          <w:rFonts w:ascii="Times New Roman" w:hAnsi="Times New Roman" w:cs="Times New Roman"/>
        </w:rPr>
        <w:tab/>
        <w:t>Rekomendacja S</w:t>
      </w:r>
      <w:r w:rsidR="002B7A4B">
        <w:rPr>
          <w:rFonts w:ascii="Times New Roman" w:hAnsi="Times New Roman" w:cs="Times New Roman"/>
        </w:rPr>
        <w:t xml:space="preserve"> i jej aktualizacje </w:t>
      </w:r>
      <w:r w:rsidR="009A53B8">
        <w:rPr>
          <w:rFonts w:ascii="Times New Roman" w:hAnsi="Times New Roman" w:cs="Times New Roman"/>
        </w:rPr>
        <w:t xml:space="preserve">poprzez znaczne ograniczenie ryzyka walutowego </w:t>
      </w:r>
      <w:r w:rsidR="002B7A4B">
        <w:rPr>
          <w:rFonts w:ascii="Times New Roman" w:hAnsi="Times New Roman" w:cs="Times New Roman"/>
        </w:rPr>
        <w:t>miały za zadanie zarówno ochronę konsumentów</w:t>
      </w:r>
      <w:r w:rsidR="00D15C4B">
        <w:rPr>
          <w:rFonts w:ascii="Times New Roman" w:hAnsi="Times New Roman" w:cs="Times New Roman"/>
        </w:rPr>
        <w:t xml:space="preserve"> </w:t>
      </w:r>
      <w:r w:rsidR="002B7A4B">
        <w:rPr>
          <w:rFonts w:ascii="Times New Roman" w:hAnsi="Times New Roman" w:cs="Times New Roman"/>
        </w:rPr>
        <w:t xml:space="preserve">jak i zabezpieczenie systemu bankowego. </w:t>
      </w:r>
      <w:r w:rsidR="00BE0F38">
        <w:rPr>
          <w:rFonts w:ascii="Times New Roman" w:hAnsi="Times New Roman" w:cs="Times New Roman"/>
        </w:rPr>
        <w:t>Rekomendacja w</w:t>
      </w:r>
      <w:r w:rsidR="002B7A4B">
        <w:rPr>
          <w:rFonts w:ascii="Times New Roman" w:hAnsi="Times New Roman" w:cs="Times New Roman"/>
        </w:rPr>
        <w:t xml:space="preserve"> </w:t>
      </w:r>
      <w:r>
        <w:rPr>
          <w:rFonts w:ascii="Times New Roman" w:hAnsi="Times New Roman" w:cs="Times New Roman"/>
        </w:rPr>
        <w:t xml:space="preserve">znaczącym stopniu ograniczyła dostęp do kredytów hipotecznych w walutach obcych. </w:t>
      </w:r>
      <w:r w:rsidR="00152C7D">
        <w:rPr>
          <w:rFonts w:ascii="Times New Roman" w:hAnsi="Times New Roman" w:cs="Times New Roman"/>
        </w:rPr>
        <w:t xml:space="preserve">Wprowadzone ograniczenia zmniejszyły grupę kredytobiorców, którzy byli w stanie spełnić niezbędne wymagania do zaciągnięcia kredytu dewizowego. </w:t>
      </w:r>
      <w:r w:rsidR="002B7A4B">
        <w:rPr>
          <w:rFonts w:ascii="Times New Roman" w:hAnsi="Times New Roman" w:cs="Times New Roman"/>
        </w:rPr>
        <w:t>Kredyty hipoteczne w walutach obcych</w:t>
      </w:r>
      <w:r w:rsidR="0093183C">
        <w:rPr>
          <w:rFonts w:ascii="Times New Roman" w:hAnsi="Times New Roman" w:cs="Times New Roman"/>
        </w:rPr>
        <w:t xml:space="preserve"> nie zostały zabronione prawnie i</w:t>
      </w:r>
      <w:r w:rsidR="002B7A4B">
        <w:rPr>
          <w:rFonts w:ascii="Times New Roman" w:hAnsi="Times New Roman" w:cs="Times New Roman"/>
        </w:rPr>
        <w:t xml:space="preserve"> dalej są oferowane przez banki, ale wprowadzone wymogi sprawiły, że stały się one niedostępne dla większości potencjalnych kredytobiorców.</w:t>
      </w:r>
    </w:p>
    <w:p w14:paraId="0883487F" w14:textId="77777777" w:rsidR="006C31AA" w:rsidRDefault="006C31AA" w:rsidP="00D80D68">
      <w:pPr>
        <w:pStyle w:val="Default"/>
        <w:spacing w:line="360" w:lineRule="auto"/>
        <w:jc w:val="both"/>
        <w:rPr>
          <w:rFonts w:ascii="Times New Roman" w:hAnsi="Times New Roman" w:cs="Times New Roman"/>
        </w:rPr>
      </w:pPr>
    </w:p>
    <w:p w14:paraId="6F177634" w14:textId="2AB051E3" w:rsidR="006D1A47" w:rsidRDefault="006D1A47" w:rsidP="00D80D68">
      <w:pPr>
        <w:pStyle w:val="Nagwek2"/>
        <w:spacing w:line="360" w:lineRule="auto"/>
        <w:jc w:val="both"/>
      </w:pPr>
      <w:bookmarkStart w:id="18" w:name="_Toc513545749"/>
      <w:r w:rsidRPr="006D1A47">
        <w:t>II.2 Zalecenia Europejskiej Rady ds. Ryzyka Systemowego</w:t>
      </w:r>
      <w:r w:rsidR="00A24377">
        <w:t>.</w:t>
      </w:r>
      <w:bookmarkEnd w:id="18"/>
    </w:p>
    <w:p w14:paraId="3F12908E" w14:textId="1DE78DB1" w:rsidR="006D1A47" w:rsidRDefault="006D1A47" w:rsidP="00D80D68">
      <w:pPr>
        <w:pStyle w:val="Default"/>
        <w:spacing w:line="360" w:lineRule="auto"/>
        <w:jc w:val="both"/>
        <w:rPr>
          <w:rFonts w:ascii="Times New Roman" w:hAnsi="Times New Roman" w:cs="Times New Roman"/>
        </w:rPr>
      </w:pPr>
      <w:r>
        <w:rPr>
          <w:rFonts w:ascii="Times New Roman" w:hAnsi="Times New Roman" w:cs="Times New Roman"/>
          <w:b/>
        </w:rPr>
        <w:tab/>
      </w:r>
      <w:r w:rsidR="00375FB0">
        <w:rPr>
          <w:rFonts w:ascii="Times New Roman" w:hAnsi="Times New Roman" w:cs="Times New Roman"/>
        </w:rPr>
        <w:t>Kredyty hipoteczne udzielane w walutach obcych były udzielane przez banki nie tylko w Polsce, ale też w innych krajach c</w:t>
      </w:r>
      <w:r w:rsidR="00E42660">
        <w:rPr>
          <w:rFonts w:ascii="Times New Roman" w:hAnsi="Times New Roman" w:cs="Times New Roman"/>
        </w:rPr>
        <w:t xml:space="preserve">złonkowskich Unii Europejskiej. Z powodu gwałtowanych zmian kursów walutowych </w:t>
      </w:r>
      <w:r w:rsidR="00957EC4">
        <w:rPr>
          <w:rFonts w:ascii="Times New Roman" w:hAnsi="Times New Roman" w:cs="Times New Roman"/>
        </w:rPr>
        <w:t>po 2008</w:t>
      </w:r>
      <w:r w:rsidR="00C83D22">
        <w:rPr>
          <w:rFonts w:ascii="Times New Roman" w:hAnsi="Times New Roman" w:cs="Times New Roman"/>
        </w:rPr>
        <w:t xml:space="preserve"> </w:t>
      </w:r>
      <w:r w:rsidR="00957EC4">
        <w:rPr>
          <w:rFonts w:ascii="Times New Roman" w:hAnsi="Times New Roman" w:cs="Times New Roman"/>
        </w:rPr>
        <w:t xml:space="preserve">r. </w:t>
      </w:r>
      <w:r w:rsidR="00E42660">
        <w:rPr>
          <w:rFonts w:ascii="Times New Roman" w:hAnsi="Times New Roman" w:cs="Times New Roman"/>
        </w:rPr>
        <w:t>instytucje nadzoru finansowe na terenie UE zaczęły coraz bardziej obawiać się o sytuację finansową klientów spłacających kredyty dewizowe, a także o bezpieczeństwo europejskiego systemu finansowego</w:t>
      </w:r>
      <w:r w:rsidR="00481352">
        <w:rPr>
          <w:rFonts w:ascii="Times New Roman" w:hAnsi="Times New Roman" w:cs="Times New Roman"/>
        </w:rPr>
        <w:t>. Dlatego w grudniu 2010</w:t>
      </w:r>
      <w:r w:rsidR="00DB705A">
        <w:rPr>
          <w:rFonts w:ascii="Times New Roman" w:hAnsi="Times New Roman" w:cs="Times New Roman"/>
        </w:rPr>
        <w:t xml:space="preserve"> </w:t>
      </w:r>
      <w:r w:rsidR="00481352">
        <w:rPr>
          <w:rFonts w:ascii="Times New Roman" w:hAnsi="Times New Roman" w:cs="Times New Roman"/>
        </w:rPr>
        <w:t>r. utworzono Europejską Radę ds. Ryzyka Systemowego (ESRB)</w:t>
      </w:r>
      <w:r w:rsidR="00D15C4B">
        <w:rPr>
          <w:rFonts w:ascii="Times New Roman" w:hAnsi="Times New Roman" w:cs="Times New Roman"/>
        </w:rPr>
        <w:t xml:space="preserve"> -</w:t>
      </w:r>
      <w:r w:rsidR="00481352">
        <w:rPr>
          <w:rFonts w:ascii="Times New Roman" w:hAnsi="Times New Roman" w:cs="Times New Roman"/>
        </w:rPr>
        <w:t xml:space="preserve"> instytucję, której nadrzędnym zadaniem jest ograniczanie i przeciwdziałanie ryzykom, które stwarzają zagrożenie dla poprawnego funkcjonowania i stabilności systemów finansowych krajów członkowskich EU i</w:t>
      </w:r>
      <w:r w:rsidR="00D15C4B">
        <w:rPr>
          <w:rFonts w:ascii="Times New Roman" w:hAnsi="Times New Roman" w:cs="Times New Roman"/>
        </w:rPr>
        <w:t> </w:t>
      </w:r>
      <w:r w:rsidR="00481352">
        <w:rPr>
          <w:rFonts w:ascii="Times New Roman" w:hAnsi="Times New Roman" w:cs="Times New Roman"/>
        </w:rPr>
        <w:t xml:space="preserve">systemu finansowego wspólnoty jak całości. </w:t>
      </w:r>
      <w:r w:rsidR="00872B06">
        <w:rPr>
          <w:rFonts w:ascii="Times New Roman" w:hAnsi="Times New Roman" w:cs="Times New Roman"/>
        </w:rPr>
        <w:t>ESRB zidentyfikowała nadmierne zadłużenie gospodarstw domowych jako jedno z takich zagrożeń. Dlatego w październiku</w:t>
      </w:r>
      <w:r w:rsidR="00EA1020">
        <w:rPr>
          <w:rFonts w:ascii="Times New Roman" w:hAnsi="Times New Roman" w:cs="Times New Roman"/>
        </w:rPr>
        <w:t xml:space="preserve"> 2011</w:t>
      </w:r>
      <w:r w:rsidR="00DB705A">
        <w:rPr>
          <w:rFonts w:ascii="Times New Roman" w:hAnsi="Times New Roman" w:cs="Times New Roman"/>
        </w:rPr>
        <w:t xml:space="preserve"> </w:t>
      </w:r>
      <w:r w:rsidR="00EA1020">
        <w:rPr>
          <w:rFonts w:ascii="Times New Roman" w:hAnsi="Times New Roman" w:cs="Times New Roman"/>
        </w:rPr>
        <w:t>r.</w:t>
      </w:r>
      <w:r w:rsidR="00872B06">
        <w:rPr>
          <w:rFonts w:ascii="Times New Roman" w:hAnsi="Times New Roman" w:cs="Times New Roman"/>
        </w:rPr>
        <w:t xml:space="preserve"> wydano Zalecenie </w:t>
      </w:r>
      <w:r w:rsidR="00863719">
        <w:rPr>
          <w:rFonts w:ascii="Times New Roman" w:hAnsi="Times New Roman" w:cs="Times New Roman"/>
        </w:rPr>
        <w:t xml:space="preserve">Europejskiej Rady ds. Ryzyka Systemowego </w:t>
      </w:r>
      <w:r w:rsidR="00872B06">
        <w:rPr>
          <w:rFonts w:ascii="Times New Roman" w:hAnsi="Times New Roman" w:cs="Times New Roman"/>
        </w:rPr>
        <w:t>w sprawie kredytów w walutach obcych</w:t>
      </w:r>
      <w:r w:rsidR="00184909">
        <w:rPr>
          <w:rFonts w:ascii="Times New Roman" w:hAnsi="Times New Roman" w:cs="Times New Roman"/>
        </w:rPr>
        <w:t xml:space="preserve"> (dalej jako „Zalecenie ESRB”)</w:t>
      </w:r>
      <w:r w:rsidR="00872B06">
        <w:rPr>
          <w:rFonts w:ascii="Times New Roman" w:hAnsi="Times New Roman" w:cs="Times New Roman"/>
        </w:rPr>
        <w:t>, które miało ograniczyć dostęp do kredytów walutowych dla kredytobiorców, którzy nie są zabezpieczeni przed ryzykiem kursowym</w:t>
      </w:r>
      <w:r w:rsidR="009B2CE1">
        <w:rPr>
          <w:rFonts w:ascii="Times New Roman" w:hAnsi="Times New Roman" w:cs="Times New Roman"/>
        </w:rPr>
        <w:t xml:space="preserve">. Dokument skierowano </w:t>
      </w:r>
      <w:r w:rsidR="009B2CE1" w:rsidRPr="009B2CE1">
        <w:rPr>
          <w:rFonts w:ascii="Times New Roman" w:hAnsi="Times New Roman" w:cs="Times New Roman"/>
        </w:rPr>
        <w:t xml:space="preserve">do rządów krajów </w:t>
      </w:r>
      <w:r w:rsidR="00D15C4B" w:rsidRPr="009B2CE1">
        <w:rPr>
          <w:rFonts w:ascii="Times New Roman" w:hAnsi="Times New Roman" w:cs="Times New Roman"/>
        </w:rPr>
        <w:t>członkowskich</w:t>
      </w:r>
      <w:r w:rsidR="009B2CE1" w:rsidRPr="009B2CE1">
        <w:rPr>
          <w:rFonts w:ascii="Times New Roman" w:hAnsi="Times New Roman" w:cs="Times New Roman"/>
        </w:rPr>
        <w:t xml:space="preserve"> or</w:t>
      </w:r>
      <w:r w:rsidR="009B2CE1">
        <w:rPr>
          <w:rFonts w:ascii="Times New Roman" w:hAnsi="Times New Roman" w:cs="Times New Roman"/>
        </w:rPr>
        <w:t>az krajowych organów nadzoru finansowego</w:t>
      </w:r>
      <w:r w:rsidR="00242A51">
        <w:rPr>
          <w:rStyle w:val="Odwoanieprzypisudolnego"/>
          <w:rFonts w:ascii="Times New Roman" w:hAnsi="Times New Roman" w:cs="Times New Roman"/>
        </w:rPr>
        <w:footnoteReference w:id="45"/>
      </w:r>
      <w:r w:rsidR="00B35170">
        <w:rPr>
          <w:rFonts w:ascii="Times New Roman" w:hAnsi="Times New Roman" w:cs="Times New Roman"/>
        </w:rPr>
        <w:t xml:space="preserve">. </w:t>
      </w:r>
    </w:p>
    <w:p w14:paraId="25803382" w14:textId="5CFD8956" w:rsidR="00CE4B3D" w:rsidRDefault="003F2A5F" w:rsidP="00D80D68">
      <w:pPr>
        <w:pStyle w:val="Default"/>
        <w:spacing w:line="360" w:lineRule="auto"/>
        <w:jc w:val="both"/>
        <w:rPr>
          <w:rFonts w:ascii="Times New Roman" w:hAnsi="Times New Roman" w:cs="Times New Roman"/>
        </w:rPr>
      </w:pPr>
      <w:r>
        <w:rPr>
          <w:rFonts w:ascii="Times New Roman" w:hAnsi="Times New Roman" w:cs="Times New Roman"/>
        </w:rPr>
        <w:lastRenderedPageBreak/>
        <w:tab/>
        <w:t>W dokumencie zawarto 7 rekomendacji, które</w:t>
      </w:r>
      <w:r w:rsidR="00573848">
        <w:rPr>
          <w:rFonts w:ascii="Times New Roman" w:hAnsi="Times New Roman" w:cs="Times New Roman"/>
        </w:rPr>
        <w:t xml:space="preserve"> poruszały zalecane praktyki stosowane podczas udzielania kredytów walutowych. ESRB zaleciła</w:t>
      </w:r>
      <w:r>
        <w:rPr>
          <w:rFonts w:ascii="Times New Roman" w:hAnsi="Times New Roman" w:cs="Times New Roman"/>
        </w:rPr>
        <w:t xml:space="preserve"> i</w:t>
      </w:r>
      <w:r w:rsidR="00C6534C">
        <w:rPr>
          <w:rFonts w:ascii="Times New Roman" w:hAnsi="Times New Roman" w:cs="Times New Roman"/>
        </w:rPr>
        <w:t>nformowanie kredytobiorców o ryzyku walutowym zw</w:t>
      </w:r>
      <w:r w:rsidR="008917CC">
        <w:rPr>
          <w:rFonts w:ascii="Times New Roman" w:hAnsi="Times New Roman" w:cs="Times New Roman"/>
        </w:rPr>
        <w:t xml:space="preserve">iązanym z kredytami </w:t>
      </w:r>
      <w:r>
        <w:rPr>
          <w:rFonts w:ascii="Times New Roman" w:hAnsi="Times New Roman" w:cs="Times New Roman"/>
        </w:rPr>
        <w:t>w walutach obcych</w:t>
      </w:r>
      <w:r w:rsidR="008917CC">
        <w:rPr>
          <w:rFonts w:ascii="Times New Roman" w:hAnsi="Times New Roman" w:cs="Times New Roman"/>
        </w:rPr>
        <w:t xml:space="preserve"> i konsekwencjach niekorzystnych zmian kursów walut. </w:t>
      </w:r>
      <w:r>
        <w:rPr>
          <w:rFonts w:ascii="Times New Roman" w:hAnsi="Times New Roman" w:cs="Times New Roman"/>
        </w:rPr>
        <w:t>Zalecono o</w:t>
      </w:r>
      <w:r w:rsidR="00392BDA">
        <w:rPr>
          <w:rFonts w:ascii="Times New Roman" w:hAnsi="Times New Roman" w:cs="Times New Roman"/>
        </w:rPr>
        <w:t>ferowanie klientom</w:t>
      </w:r>
      <w:r>
        <w:rPr>
          <w:rFonts w:ascii="Times New Roman" w:hAnsi="Times New Roman" w:cs="Times New Roman"/>
        </w:rPr>
        <w:t xml:space="preserve"> w pierwszej kolejności</w:t>
      </w:r>
      <w:r w:rsidR="00392BDA">
        <w:rPr>
          <w:rFonts w:ascii="Times New Roman" w:hAnsi="Times New Roman" w:cs="Times New Roman"/>
        </w:rPr>
        <w:t xml:space="preserve"> kredytów w walucie </w:t>
      </w:r>
      <w:r w:rsidR="00D15C4B">
        <w:rPr>
          <w:rFonts w:ascii="Times New Roman" w:hAnsi="Times New Roman" w:cs="Times New Roman"/>
        </w:rPr>
        <w:t>krajowej</w:t>
      </w:r>
      <w:r w:rsidR="00392BDA">
        <w:rPr>
          <w:rFonts w:ascii="Times New Roman" w:hAnsi="Times New Roman" w:cs="Times New Roman"/>
        </w:rPr>
        <w:t xml:space="preserve"> oraz produktów zabezpieczających przed ryzykiem walutowym.</w:t>
      </w:r>
      <w:r w:rsidR="007C1537">
        <w:rPr>
          <w:rFonts w:ascii="Times New Roman" w:hAnsi="Times New Roman" w:cs="Times New Roman"/>
        </w:rPr>
        <w:t xml:space="preserve"> </w:t>
      </w:r>
      <w:r w:rsidR="000616D3">
        <w:rPr>
          <w:rFonts w:ascii="Times New Roman" w:hAnsi="Times New Roman" w:cs="Times New Roman"/>
        </w:rPr>
        <w:t xml:space="preserve">Zalecono również </w:t>
      </w:r>
      <w:r w:rsidR="0014722C">
        <w:rPr>
          <w:rFonts w:ascii="Times New Roman" w:hAnsi="Times New Roman" w:cs="Times New Roman"/>
        </w:rPr>
        <w:t>z</w:t>
      </w:r>
      <w:r w:rsidR="00CE4B3D">
        <w:rPr>
          <w:rFonts w:ascii="Times New Roman" w:hAnsi="Times New Roman" w:cs="Times New Roman"/>
        </w:rPr>
        <w:t>większenie wymagań niezbędnych do otrzymania kredytu walutowego poprzez podniesienie minimalnego progu</w:t>
      </w:r>
      <w:r w:rsidR="0014722C">
        <w:rPr>
          <w:rFonts w:ascii="Times New Roman" w:hAnsi="Times New Roman" w:cs="Times New Roman"/>
        </w:rPr>
        <w:t xml:space="preserve"> współczynników</w:t>
      </w:r>
      <w:r w:rsidR="000616D3">
        <w:rPr>
          <w:rFonts w:ascii="Times New Roman" w:hAnsi="Times New Roman" w:cs="Times New Roman"/>
        </w:rPr>
        <w:t xml:space="preserve"> LTV i DTI oraz u</w:t>
      </w:r>
      <w:r w:rsidR="00CE4B3D">
        <w:rPr>
          <w:rFonts w:ascii="Times New Roman" w:hAnsi="Times New Roman" w:cs="Times New Roman"/>
        </w:rPr>
        <w:t>dzielanie kredytów walutowych jednie klientom posiadającym ponadprzeciętną zdolność kredytową i odpornym na wahania kursów walut i zagranicznych stóp procentowych.</w:t>
      </w:r>
    </w:p>
    <w:p w14:paraId="7BB007BC" w14:textId="6C95263B" w:rsidR="00B9034E" w:rsidRDefault="00C15B92" w:rsidP="00D80D68">
      <w:pPr>
        <w:pStyle w:val="Default"/>
        <w:spacing w:line="360" w:lineRule="auto"/>
        <w:jc w:val="both"/>
        <w:rPr>
          <w:rFonts w:ascii="Times New Roman" w:hAnsi="Times New Roman" w:cs="Times New Roman"/>
        </w:rPr>
      </w:pPr>
      <w:r>
        <w:rPr>
          <w:rFonts w:ascii="Times New Roman" w:hAnsi="Times New Roman" w:cs="Times New Roman"/>
        </w:rPr>
        <w:tab/>
        <w:t xml:space="preserve">W dokumencie zawarto także rekomendacje odnośnie kontroli ryzyka walutowego, analizy kredytowej i </w:t>
      </w:r>
      <w:r w:rsidR="00753C41">
        <w:rPr>
          <w:rFonts w:ascii="Times New Roman" w:hAnsi="Times New Roman" w:cs="Times New Roman"/>
        </w:rPr>
        <w:t>utrzymywania buf</w:t>
      </w:r>
      <w:r w:rsidR="007C2824">
        <w:rPr>
          <w:rFonts w:ascii="Times New Roman" w:hAnsi="Times New Roman" w:cs="Times New Roman"/>
        </w:rPr>
        <w:t>orów bezpieczeństwa, które miały</w:t>
      </w:r>
      <w:r w:rsidR="00753C41">
        <w:rPr>
          <w:rFonts w:ascii="Times New Roman" w:hAnsi="Times New Roman" w:cs="Times New Roman"/>
        </w:rPr>
        <w:t xml:space="preserve"> pokryć ewentualne straty z tytułu </w:t>
      </w:r>
      <w:r w:rsidR="00A13908">
        <w:rPr>
          <w:rFonts w:ascii="Times New Roman" w:hAnsi="Times New Roman" w:cs="Times New Roman"/>
        </w:rPr>
        <w:t>nieterminowej, bądź niepełnej ściągalności kredytów walutowych.</w:t>
      </w:r>
      <w:r w:rsidR="008B61CD">
        <w:rPr>
          <w:rFonts w:ascii="Times New Roman" w:hAnsi="Times New Roman" w:cs="Times New Roman"/>
        </w:rPr>
        <w:t xml:space="preserve"> Zalecono: m</w:t>
      </w:r>
      <w:r w:rsidR="00CE4B3D">
        <w:rPr>
          <w:rFonts w:ascii="Times New Roman" w:hAnsi="Times New Roman" w:cs="Times New Roman"/>
        </w:rPr>
        <w:t>onitorowanie i zapobieganie nadmiernemu rozrostowi portfeli kredytowych banków poprzez masowe</w:t>
      </w:r>
      <w:r w:rsidR="00CF6B4A">
        <w:rPr>
          <w:rFonts w:ascii="Times New Roman" w:hAnsi="Times New Roman" w:cs="Times New Roman"/>
        </w:rPr>
        <w:t xml:space="preserve"> udzielanie kredytów walutowych oraz</w:t>
      </w:r>
      <w:r w:rsidR="008B6F00">
        <w:rPr>
          <w:rFonts w:ascii="Times New Roman" w:hAnsi="Times New Roman" w:cs="Times New Roman"/>
        </w:rPr>
        <w:t xml:space="preserve"> regularne </w:t>
      </w:r>
      <w:r w:rsidR="00CE4B3D">
        <w:rPr>
          <w:rFonts w:ascii="Times New Roman" w:hAnsi="Times New Roman" w:cs="Times New Roman"/>
        </w:rPr>
        <w:t>obliczanie ryzyka walutowego związanego ze sprzedażą dużej liczby kredytów walutowych i stosowanie buforów bezpieczeństwa podczas prze</w:t>
      </w:r>
      <w:r w:rsidR="00DB73EF">
        <w:rPr>
          <w:rFonts w:ascii="Times New Roman" w:hAnsi="Times New Roman" w:cs="Times New Roman"/>
        </w:rPr>
        <w:t>prowadzania analizy kredytowej.</w:t>
      </w:r>
      <w:r w:rsidR="00043E9D">
        <w:rPr>
          <w:rFonts w:ascii="Times New Roman" w:hAnsi="Times New Roman" w:cs="Times New Roman"/>
        </w:rPr>
        <w:t xml:space="preserve"> </w:t>
      </w:r>
      <w:r w:rsidR="00DB73EF">
        <w:rPr>
          <w:rFonts w:ascii="Times New Roman" w:hAnsi="Times New Roman" w:cs="Times New Roman"/>
        </w:rPr>
        <w:t>Nałożono na banki obowiązek</w:t>
      </w:r>
      <w:r w:rsidR="00B9034E">
        <w:rPr>
          <w:rFonts w:ascii="Times New Roman" w:hAnsi="Times New Roman" w:cs="Times New Roman"/>
        </w:rPr>
        <w:t xml:space="preserve"> </w:t>
      </w:r>
      <w:r w:rsidR="003E3A33">
        <w:rPr>
          <w:rFonts w:ascii="Times New Roman" w:hAnsi="Times New Roman" w:cs="Times New Roman"/>
        </w:rPr>
        <w:t>u</w:t>
      </w:r>
      <w:r w:rsidR="00B9034E">
        <w:rPr>
          <w:rFonts w:ascii="Times New Roman" w:hAnsi="Times New Roman" w:cs="Times New Roman"/>
        </w:rPr>
        <w:t>trzymywania kapitału rezerwowego wystarczającego do pokrycia ryzyka związanego z udzielaniem kredytów w walutach obcych.</w:t>
      </w:r>
    </w:p>
    <w:p w14:paraId="7C424BF6" w14:textId="5D7561CB" w:rsidR="00860792" w:rsidRDefault="002802C5" w:rsidP="00D80D68">
      <w:pPr>
        <w:pStyle w:val="Default"/>
        <w:spacing w:line="360" w:lineRule="auto"/>
        <w:ind w:firstLine="705"/>
        <w:jc w:val="both"/>
        <w:rPr>
          <w:rFonts w:ascii="Times New Roman" w:hAnsi="Times New Roman" w:cs="Times New Roman"/>
        </w:rPr>
      </w:pPr>
      <w:r>
        <w:rPr>
          <w:rFonts w:ascii="Times New Roman" w:hAnsi="Times New Roman" w:cs="Times New Roman"/>
        </w:rPr>
        <w:t>Krajowym instytucjom nadzorczym zalecono m</w:t>
      </w:r>
      <w:r w:rsidR="008A3A1B">
        <w:rPr>
          <w:rFonts w:ascii="Times New Roman" w:hAnsi="Times New Roman" w:cs="Times New Roman"/>
        </w:rPr>
        <w:t>onitorowanie płynności banków oraz wprowadzenie limitów koncentracji zaanga</w:t>
      </w:r>
      <w:r>
        <w:rPr>
          <w:rFonts w:ascii="Times New Roman" w:hAnsi="Times New Roman" w:cs="Times New Roman"/>
        </w:rPr>
        <w:t xml:space="preserve">żowania działalności, w tym ustalenie limitów dla maksymalnej wartości portfeli kredytów walutowych banków. </w:t>
      </w:r>
      <w:r w:rsidR="00CD6D69">
        <w:rPr>
          <w:rFonts w:ascii="Times New Roman" w:hAnsi="Times New Roman" w:cs="Times New Roman"/>
        </w:rPr>
        <w:t>Na szczeblu Unii Europejskiej zalecone zostało u</w:t>
      </w:r>
      <w:r w:rsidR="008A3A1B">
        <w:rPr>
          <w:rFonts w:ascii="Times New Roman" w:hAnsi="Times New Roman" w:cs="Times New Roman"/>
        </w:rPr>
        <w:t>jednolicenie polityki kredytowej w kwestii udziela</w:t>
      </w:r>
      <w:r w:rsidR="003F2A5F">
        <w:rPr>
          <w:rFonts w:ascii="Times New Roman" w:hAnsi="Times New Roman" w:cs="Times New Roman"/>
        </w:rPr>
        <w:t>nia kredytów walutowych przez wszystkie instytucje kredytowe działające na terenie wspólnoty</w:t>
      </w:r>
      <w:r w:rsidR="00442C37">
        <w:rPr>
          <w:rStyle w:val="Odwoanieprzypisudolnego"/>
          <w:rFonts w:ascii="Times New Roman" w:hAnsi="Times New Roman" w:cs="Times New Roman"/>
        </w:rPr>
        <w:footnoteReference w:id="46"/>
      </w:r>
      <w:r w:rsidR="003F2A5F">
        <w:rPr>
          <w:rFonts w:ascii="Times New Roman" w:hAnsi="Times New Roman" w:cs="Times New Roman"/>
        </w:rPr>
        <w:t>.</w:t>
      </w:r>
    </w:p>
    <w:p w14:paraId="37B98A2E" w14:textId="45AE7C33" w:rsidR="007F122B" w:rsidRDefault="00442C37" w:rsidP="00D80D68">
      <w:pPr>
        <w:pStyle w:val="Default"/>
        <w:spacing w:line="360" w:lineRule="auto"/>
        <w:ind w:firstLine="705"/>
        <w:jc w:val="both"/>
        <w:rPr>
          <w:rFonts w:ascii="Times New Roman" w:hAnsi="Times New Roman" w:cs="Times New Roman"/>
        </w:rPr>
      </w:pPr>
      <w:r>
        <w:rPr>
          <w:rFonts w:ascii="Times New Roman" w:hAnsi="Times New Roman" w:cs="Times New Roman"/>
        </w:rPr>
        <w:t>Zalecenie</w:t>
      </w:r>
      <w:r w:rsidR="00AE6757">
        <w:rPr>
          <w:rFonts w:ascii="Times New Roman" w:hAnsi="Times New Roman" w:cs="Times New Roman"/>
        </w:rPr>
        <w:t xml:space="preserve"> uregulowało rynek kredytów</w:t>
      </w:r>
      <w:r w:rsidR="00D35A3A">
        <w:rPr>
          <w:rFonts w:ascii="Times New Roman" w:hAnsi="Times New Roman" w:cs="Times New Roman"/>
        </w:rPr>
        <w:t xml:space="preserve"> dewizowych</w:t>
      </w:r>
      <w:r w:rsidR="00AE6757">
        <w:rPr>
          <w:rFonts w:ascii="Times New Roman" w:hAnsi="Times New Roman" w:cs="Times New Roman"/>
        </w:rPr>
        <w:t xml:space="preserve"> na terenie całej </w:t>
      </w:r>
      <w:r w:rsidR="00C27B2F">
        <w:rPr>
          <w:rFonts w:ascii="Times New Roman" w:hAnsi="Times New Roman" w:cs="Times New Roman"/>
        </w:rPr>
        <w:t>UE</w:t>
      </w:r>
      <w:r w:rsidR="00F53AFA">
        <w:rPr>
          <w:rFonts w:ascii="Times New Roman" w:hAnsi="Times New Roman" w:cs="Times New Roman"/>
        </w:rPr>
        <w:t xml:space="preserve"> i z</w:t>
      </w:r>
      <w:r w:rsidR="00C27B2F">
        <w:rPr>
          <w:rFonts w:ascii="Times New Roman" w:hAnsi="Times New Roman" w:cs="Times New Roman"/>
        </w:rPr>
        <w:t>nacznie</w:t>
      </w:r>
      <w:r w:rsidR="00F53AFA">
        <w:rPr>
          <w:rFonts w:ascii="Times New Roman" w:hAnsi="Times New Roman" w:cs="Times New Roman"/>
        </w:rPr>
        <w:t xml:space="preserve"> ograniczył</w:t>
      </w:r>
      <w:r w:rsidR="0023782A">
        <w:rPr>
          <w:rFonts w:ascii="Times New Roman" w:hAnsi="Times New Roman" w:cs="Times New Roman"/>
        </w:rPr>
        <w:t>o</w:t>
      </w:r>
      <w:r w:rsidR="00EE639C">
        <w:rPr>
          <w:rFonts w:ascii="Times New Roman" w:hAnsi="Times New Roman" w:cs="Times New Roman"/>
        </w:rPr>
        <w:t xml:space="preserve"> dostęp do takiego finansowania poprzez zwiększenie wymagań</w:t>
      </w:r>
      <w:r w:rsidR="00C27B2F">
        <w:rPr>
          <w:rFonts w:ascii="Times New Roman" w:hAnsi="Times New Roman" w:cs="Times New Roman"/>
        </w:rPr>
        <w:t xml:space="preserve"> dla potencjalnych kredytobior</w:t>
      </w:r>
      <w:r w:rsidR="00EE639C">
        <w:rPr>
          <w:rFonts w:ascii="Times New Roman" w:hAnsi="Times New Roman" w:cs="Times New Roman"/>
        </w:rPr>
        <w:t>ców.</w:t>
      </w:r>
      <w:r>
        <w:rPr>
          <w:rFonts w:ascii="Times New Roman" w:hAnsi="Times New Roman" w:cs="Times New Roman"/>
        </w:rPr>
        <w:t xml:space="preserve"> </w:t>
      </w:r>
      <w:r w:rsidR="0097671D">
        <w:rPr>
          <w:rFonts w:ascii="Times New Roman" w:hAnsi="Times New Roman" w:cs="Times New Roman"/>
        </w:rPr>
        <w:t>Zwiększyła się także rola krajowych instytucji nadzorczych, którym powierzono obowiązek kontroli zagrożeń związanych z kredytami walutowymi.</w:t>
      </w:r>
      <w:r w:rsidR="00D106AA">
        <w:rPr>
          <w:rFonts w:ascii="Times New Roman" w:hAnsi="Times New Roman" w:cs="Times New Roman"/>
        </w:rPr>
        <w:t xml:space="preserve"> </w:t>
      </w:r>
    </w:p>
    <w:p w14:paraId="3B43A8A7" w14:textId="77777777" w:rsidR="006C31AA" w:rsidRDefault="006C31AA" w:rsidP="00D80D68">
      <w:pPr>
        <w:pStyle w:val="Default"/>
        <w:spacing w:line="360" w:lineRule="auto"/>
        <w:ind w:firstLine="705"/>
        <w:jc w:val="both"/>
        <w:rPr>
          <w:rFonts w:ascii="Times New Roman" w:hAnsi="Times New Roman" w:cs="Times New Roman"/>
        </w:rPr>
      </w:pPr>
    </w:p>
    <w:p w14:paraId="02AF07DA" w14:textId="0EDD0D97" w:rsidR="00A004F4" w:rsidRDefault="00A004F4" w:rsidP="00D80D68">
      <w:pPr>
        <w:pStyle w:val="Nagwek2"/>
        <w:spacing w:line="360" w:lineRule="auto"/>
        <w:jc w:val="both"/>
      </w:pPr>
      <w:bookmarkStart w:id="19" w:name="_Toc513545750"/>
      <w:r>
        <w:lastRenderedPageBreak/>
        <w:t>II.3</w:t>
      </w:r>
      <w:r w:rsidRPr="00A004F4">
        <w:t xml:space="preserve"> Ustawa z dnia 9.10.2015</w:t>
      </w:r>
      <w:r w:rsidR="00370CF3">
        <w:t xml:space="preserve"> </w:t>
      </w:r>
      <w:r w:rsidRPr="00A004F4">
        <w:t>r. o wsparciu kredytobiorców znajdujących się w trudnej sytuacji finansowej, którzy zaciągnęli kredyt mieszkaniowy</w:t>
      </w:r>
      <w:r w:rsidR="00A24377">
        <w:t>.</w:t>
      </w:r>
      <w:bookmarkEnd w:id="19"/>
    </w:p>
    <w:p w14:paraId="1F34969B" w14:textId="7A1BB327" w:rsidR="00A004F4" w:rsidRDefault="00172FBA" w:rsidP="00D80D68">
      <w:pPr>
        <w:pStyle w:val="Default"/>
        <w:spacing w:line="360" w:lineRule="auto"/>
        <w:jc w:val="both"/>
        <w:rPr>
          <w:rFonts w:ascii="Times New Roman" w:hAnsi="Times New Roman" w:cs="Times New Roman"/>
        </w:rPr>
      </w:pPr>
      <w:r>
        <w:rPr>
          <w:rFonts w:ascii="Times New Roman" w:hAnsi="Times New Roman" w:cs="Times New Roman"/>
          <w:b/>
        </w:rPr>
        <w:tab/>
      </w:r>
      <w:r w:rsidR="00315537">
        <w:rPr>
          <w:rFonts w:ascii="Times New Roman" w:hAnsi="Times New Roman" w:cs="Times New Roman"/>
        </w:rPr>
        <w:t>Kolejne regulacje</w:t>
      </w:r>
      <w:r>
        <w:rPr>
          <w:rFonts w:ascii="Times New Roman" w:hAnsi="Times New Roman" w:cs="Times New Roman"/>
        </w:rPr>
        <w:t xml:space="preserve"> kredytów hipotecznych zostały wprowadzone w życie w październiku 2015</w:t>
      </w:r>
      <w:r w:rsidR="00370CF3">
        <w:rPr>
          <w:rFonts w:ascii="Times New Roman" w:hAnsi="Times New Roman" w:cs="Times New Roman"/>
        </w:rPr>
        <w:t xml:space="preserve"> </w:t>
      </w:r>
      <w:r>
        <w:rPr>
          <w:rFonts w:ascii="Times New Roman" w:hAnsi="Times New Roman" w:cs="Times New Roman"/>
        </w:rPr>
        <w:t xml:space="preserve">r. Zostały one zawarte w ustawie o wsparciu kredytobiorców znajdujących się w trudnej sytuacji finansowej, którzy zaciągnęli kredyt mieszkaniowy, uchwalonej przez Prezydenta Andrzeja Dudę. </w:t>
      </w:r>
      <w:r w:rsidR="000F0B75">
        <w:rPr>
          <w:rFonts w:ascii="Times New Roman" w:hAnsi="Times New Roman" w:cs="Times New Roman"/>
        </w:rPr>
        <w:t xml:space="preserve">Ustawa obejmuje swoim zasięgiem zarówno kredyty złotowe, jak i walutowe. </w:t>
      </w:r>
      <w:r w:rsidR="005A2579">
        <w:rPr>
          <w:rFonts w:ascii="Times New Roman" w:hAnsi="Times New Roman" w:cs="Times New Roman"/>
        </w:rPr>
        <w:t xml:space="preserve">Oferuje ona możliwość udzielenia pomocy finansowej klientom spłacającym kredyty hipoteczne, którzy znajdują się w trudnej sytuacji finansowej. </w:t>
      </w:r>
      <w:r w:rsidR="00C05367">
        <w:rPr>
          <w:rFonts w:ascii="Times New Roman" w:hAnsi="Times New Roman" w:cs="Times New Roman"/>
        </w:rPr>
        <w:t xml:space="preserve">Do zakwalifikowania się do pomocy konieczne jest spełnienie przynajmniej jednego z </w:t>
      </w:r>
      <w:r w:rsidR="00167374">
        <w:rPr>
          <w:rFonts w:ascii="Times New Roman" w:hAnsi="Times New Roman" w:cs="Times New Roman"/>
        </w:rPr>
        <w:t>poniższych</w:t>
      </w:r>
      <w:r w:rsidR="00C05367">
        <w:rPr>
          <w:rFonts w:ascii="Times New Roman" w:hAnsi="Times New Roman" w:cs="Times New Roman"/>
        </w:rPr>
        <w:t xml:space="preserve"> warunków. Pierwszym warunkiem jest posiadanie statusu bezrobotnego (przy czym utrata pracy nie może nastąpić po</w:t>
      </w:r>
      <w:r w:rsidR="00167374">
        <w:rPr>
          <w:rFonts w:ascii="Times New Roman" w:hAnsi="Times New Roman" w:cs="Times New Roman"/>
        </w:rPr>
        <w:t xml:space="preserve">przez rozwiązanie umowy z inicjatywy </w:t>
      </w:r>
      <w:r w:rsidR="00C05367">
        <w:rPr>
          <w:rFonts w:ascii="Times New Roman" w:hAnsi="Times New Roman" w:cs="Times New Roman"/>
        </w:rPr>
        <w:t xml:space="preserve">pracownika, albo z winy pracownika). Drugim warunkiem jest konieczność spłaty miesięcznych rat z tytułu kredytu hipotecznego, których wartość </w:t>
      </w:r>
      <w:r w:rsidR="005844F3">
        <w:rPr>
          <w:rFonts w:ascii="Times New Roman" w:hAnsi="Times New Roman" w:cs="Times New Roman"/>
        </w:rPr>
        <w:t>odpowiada co najmniej</w:t>
      </w:r>
      <w:r w:rsidR="00C05367">
        <w:rPr>
          <w:rFonts w:ascii="Times New Roman" w:hAnsi="Times New Roman" w:cs="Times New Roman"/>
        </w:rPr>
        <w:t xml:space="preserve"> 60% miesięcznych dochodów netto uzyskiwanych przez gospodarstwo domowe. </w:t>
      </w:r>
      <w:r w:rsidR="00F418D1">
        <w:rPr>
          <w:rFonts w:ascii="Times New Roman" w:hAnsi="Times New Roman" w:cs="Times New Roman"/>
        </w:rPr>
        <w:t>Dodatkowo, kredytobiorca nie może posiadać, lub wynajmować</w:t>
      </w:r>
      <w:r w:rsidR="00565996">
        <w:rPr>
          <w:rFonts w:ascii="Times New Roman" w:hAnsi="Times New Roman" w:cs="Times New Roman"/>
        </w:rPr>
        <w:t xml:space="preserve"> innego</w:t>
      </w:r>
      <w:r w:rsidR="00F418D1">
        <w:rPr>
          <w:rFonts w:ascii="Times New Roman" w:hAnsi="Times New Roman" w:cs="Times New Roman"/>
        </w:rPr>
        <w:t xml:space="preserve"> </w:t>
      </w:r>
      <w:r w:rsidR="00923981">
        <w:rPr>
          <w:rFonts w:ascii="Times New Roman" w:hAnsi="Times New Roman" w:cs="Times New Roman"/>
        </w:rPr>
        <w:t xml:space="preserve">domu jednorodzinnego, lub </w:t>
      </w:r>
      <w:r w:rsidR="00F418D1">
        <w:rPr>
          <w:rFonts w:ascii="Times New Roman" w:hAnsi="Times New Roman" w:cs="Times New Roman"/>
        </w:rPr>
        <w:t>innego lokalu mieszk</w:t>
      </w:r>
      <w:r w:rsidR="00923981">
        <w:rPr>
          <w:rFonts w:ascii="Times New Roman" w:hAnsi="Times New Roman" w:cs="Times New Roman"/>
        </w:rPr>
        <w:t>aln</w:t>
      </w:r>
      <w:r w:rsidR="00F418D1">
        <w:rPr>
          <w:rFonts w:ascii="Times New Roman" w:hAnsi="Times New Roman" w:cs="Times New Roman"/>
        </w:rPr>
        <w:t>ego</w:t>
      </w:r>
      <w:r w:rsidR="00565996">
        <w:rPr>
          <w:rFonts w:ascii="Times New Roman" w:hAnsi="Times New Roman" w:cs="Times New Roman"/>
        </w:rPr>
        <w:t xml:space="preserve"> niż ten objęty umową kredytową</w:t>
      </w:r>
      <w:r w:rsidR="00F418D1">
        <w:rPr>
          <w:rFonts w:ascii="Times New Roman" w:hAnsi="Times New Roman" w:cs="Times New Roman"/>
        </w:rPr>
        <w:t xml:space="preserve">. </w:t>
      </w:r>
    </w:p>
    <w:p w14:paraId="6237BC1A" w14:textId="20959896" w:rsidR="00B11DC2" w:rsidRDefault="00B11DC2" w:rsidP="00D80D68">
      <w:pPr>
        <w:pStyle w:val="Default"/>
        <w:spacing w:line="360" w:lineRule="auto"/>
        <w:jc w:val="both"/>
        <w:rPr>
          <w:rFonts w:ascii="Times New Roman" w:hAnsi="Times New Roman" w:cs="Times New Roman"/>
        </w:rPr>
      </w:pPr>
      <w:r>
        <w:rPr>
          <w:rFonts w:ascii="Times New Roman" w:hAnsi="Times New Roman" w:cs="Times New Roman"/>
        </w:rPr>
        <w:tab/>
        <w:t>Ustawa przewiduje możliwość udzielenia kredytobiorcy pomocy finansowej w wysokości miesięcznej wysokości raty kredytu hipotecznego, ale nie więcej niż 1500</w:t>
      </w:r>
      <w:r w:rsidR="00D15C4B">
        <w:rPr>
          <w:rFonts w:ascii="Times New Roman" w:hAnsi="Times New Roman" w:cs="Times New Roman"/>
        </w:rPr>
        <w:t xml:space="preserve"> </w:t>
      </w:r>
      <w:r>
        <w:rPr>
          <w:rFonts w:ascii="Times New Roman" w:hAnsi="Times New Roman" w:cs="Times New Roman"/>
        </w:rPr>
        <w:t>zł. Świadczenie można otrzymywać przez okres do 18 miesięcy. Otrzymane pieniądze należy zwrócić. Zwrot otrzymanej pomocy rozpoczyna się po 2 latach od momentu otrzymani</w:t>
      </w:r>
      <w:r w:rsidR="009F2E66">
        <w:rPr>
          <w:rFonts w:ascii="Times New Roman" w:hAnsi="Times New Roman" w:cs="Times New Roman"/>
        </w:rPr>
        <w:t>a</w:t>
      </w:r>
      <w:r>
        <w:rPr>
          <w:rFonts w:ascii="Times New Roman" w:hAnsi="Times New Roman" w:cs="Times New Roman"/>
        </w:rPr>
        <w:t xml:space="preserve"> ostatniej transzy wsparcia. </w:t>
      </w:r>
      <w:r w:rsidR="00EB5A64">
        <w:rPr>
          <w:rFonts w:ascii="Times New Roman" w:hAnsi="Times New Roman" w:cs="Times New Roman"/>
        </w:rPr>
        <w:t>Zwrot kapitału jest rozłożony na nieoprocentowane miesięczne raty, maksymalnie</w:t>
      </w:r>
      <w:r w:rsidR="005F1B36">
        <w:rPr>
          <w:rFonts w:ascii="Times New Roman" w:hAnsi="Times New Roman" w:cs="Times New Roman"/>
        </w:rPr>
        <w:t xml:space="preserve"> na okres</w:t>
      </w:r>
      <w:r w:rsidR="00EB5A64">
        <w:rPr>
          <w:rFonts w:ascii="Times New Roman" w:hAnsi="Times New Roman" w:cs="Times New Roman"/>
        </w:rPr>
        <w:t xml:space="preserve"> do 8 lat. </w:t>
      </w:r>
      <w:r w:rsidR="006811D9">
        <w:rPr>
          <w:rFonts w:ascii="Times New Roman" w:hAnsi="Times New Roman" w:cs="Times New Roman"/>
        </w:rPr>
        <w:t>O pomoc finansową można aplikować do 31.12.2018</w:t>
      </w:r>
      <w:r w:rsidR="00C21B01">
        <w:rPr>
          <w:rFonts w:ascii="Times New Roman" w:hAnsi="Times New Roman" w:cs="Times New Roman"/>
        </w:rPr>
        <w:t xml:space="preserve"> </w:t>
      </w:r>
      <w:r w:rsidR="006811D9">
        <w:rPr>
          <w:rFonts w:ascii="Times New Roman" w:hAnsi="Times New Roman" w:cs="Times New Roman"/>
        </w:rPr>
        <w:t xml:space="preserve">r. </w:t>
      </w:r>
    </w:p>
    <w:p w14:paraId="4FE59794" w14:textId="20F0F5A1" w:rsidR="0007632F" w:rsidRDefault="0007632F" w:rsidP="00D80D68">
      <w:pPr>
        <w:pStyle w:val="Default"/>
        <w:spacing w:line="360" w:lineRule="auto"/>
        <w:jc w:val="both"/>
        <w:rPr>
          <w:rFonts w:ascii="Times New Roman" w:hAnsi="Times New Roman" w:cs="Times New Roman"/>
        </w:rPr>
      </w:pPr>
      <w:r>
        <w:rPr>
          <w:rFonts w:ascii="Times New Roman" w:hAnsi="Times New Roman" w:cs="Times New Roman"/>
        </w:rPr>
        <w:tab/>
        <w:t>Za wydawanie decyzji o możliwości uczestnictwa w programie pomocowym odpowi</w:t>
      </w:r>
      <w:r w:rsidR="008004A8">
        <w:rPr>
          <w:rFonts w:ascii="Times New Roman" w:hAnsi="Times New Roman" w:cs="Times New Roman"/>
        </w:rPr>
        <w:t>ada</w:t>
      </w:r>
      <w:r>
        <w:rPr>
          <w:rFonts w:ascii="Times New Roman" w:hAnsi="Times New Roman" w:cs="Times New Roman"/>
        </w:rPr>
        <w:t xml:space="preserve"> specjalnie </w:t>
      </w:r>
      <w:r w:rsidR="00BE1F8A">
        <w:rPr>
          <w:rFonts w:ascii="Times New Roman" w:hAnsi="Times New Roman" w:cs="Times New Roman"/>
        </w:rPr>
        <w:t>u</w:t>
      </w:r>
      <w:r>
        <w:rPr>
          <w:rFonts w:ascii="Times New Roman" w:hAnsi="Times New Roman" w:cs="Times New Roman"/>
        </w:rPr>
        <w:t>tworzony Fundusz Wsparcia Kredytobiorców</w:t>
      </w:r>
      <w:r w:rsidR="006811D9">
        <w:rPr>
          <w:rFonts w:ascii="Times New Roman" w:hAnsi="Times New Roman" w:cs="Times New Roman"/>
        </w:rPr>
        <w:t xml:space="preserve"> z kapitałem 600 mln zł</w:t>
      </w:r>
      <w:r>
        <w:rPr>
          <w:rFonts w:ascii="Times New Roman" w:hAnsi="Times New Roman" w:cs="Times New Roman"/>
        </w:rPr>
        <w:t xml:space="preserve"> działający przy Ban</w:t>
      </w:r>
      <w:r w:rsidR="006811D9">
        <w:rPr>
          <w:rFonts w:ascii="Times New Roman" w:hAnsi="Times New Roman" w:cs="Times New Roman"/>
        </w:rPr>
        <w:t>ku Gospodarstwa Krajowego. Dostawcą</w:t>
      </w:r>
      <w:r w:rsidR="0002193C">
        <w:rPr>
          <w:rFonts w:ascii="Times New Roman" w:hAnsi="Times New Roman" w:cs="Times New Roman"/>
        </w:rPr>
        <w:t xml:space="preserve"> kapitału do funduszu są banki</w:t>
      </w:r>
      <w:r w:rsidR="000B467C">
        <w:rPr>
          <w:rStyle w:val="Odwoanieprzypisudolnego"/>
          <w:rFonts w:ascii="Times New Roman" w:hAnsi="Times New Roman" w:cs="Times New Roman"/>
        </w:rPr>
        <w:footnoteReference w:id="47"/>
      </w:r>
      <w:r w:rsidR="0002193C">
        <w:rPr>
          <w:rFonts w:ascii="Times New Roman" w:hAnsi="Times New Roman" w:cs="Times New Roman"/>
        </w:rPr>
        <w:t>.</w:t>
      </w:r>
      <w:r w:rsidR="00DD4036">
        <w:rPr>
          <w:rFonts w:ascii="Times New Roman" w:hAnsi="Times New Roman" w:cs="Times New Roman"/>
        </w:rPr>
        <w:t xml:space="preserve"> </w:t>
      </w:r>
    </w:p>
    <w:p w14:paraId="2DA9DCD2" w14:textId="77777777" w:rsidR="006C31AA" w:rsidRDefault="006C31AA" w:rsidP="00D80D68">
      <w:pPr>
        <w:pStyle w:val="Default"/>
        <w:spacing w:line="360" w:lineRule="auto"/>
        <w:jc w:val="both"/>
        <w:rPr>
          <w:rFonts w:ascii="Times New Roman" w:hAnsi="Times New Roman" w:cs="Times New Roman"/>
        </w:rPr>
      </w:pPr>
    </w:p>
    <w:p w14:paraId="21834950" w14:textId="56BA3E1E" w:rsidR="00BF7B20" w:rsidRPr="00BF7B20" w:rsidRDefault="00BF7B20" w:rsidP="00D80D68">
      <w:pPr>
        <w:pStyle w:val="Nagwek2"/>
        <w:spacing w:line="360" w:lineRule="auto"/>
        <w:jc w:val="both"/>
      </w:pPr>
      <w:bookmarkStart w:id="20" w:name="_Toc513545751"/>
      <w:r w:rsidRPr="00BF7B20">
        <w:t>II.4 Prezydencki projekt ws. wsparcia dla kredytobiorców</w:t>
      </w:r>
      <w:r w:rsidR="00A24377">
        <w:t>.</w:t>
      </w:r>
      <w:bookmarkEnd w:id="20"/>
    </w:p>
    <w:p w14:paraId="08D33DFE" w14:textId="568274E7" w:rsidR="00405D94" w:rsidRDefault="000B467C" w:rsidP="00D80D68">
      <w:pPr>
        <w:pStyle w:val="Default"/>
        <w:spacing w:line="360" w:lineRule="auto"/>
        <w:jc w:val="both"/>
        <w:rPr>
          <w:rFonts w:ascii="Times New Roman" w:hAnsi="Times New Roman" w:cs="Times New Roman"/>
        </w:rPr>
      </w:pPr>
      <w:r>
        <w:rPr>
          <w:rFonts w:ascii="Times New Roman" w:hAnsi="Times New Roman" w:cs="Times New Roman"/>
        </w:rPr>
        <w:tab/>
        <w:t xml:space="preserve">W związku z bardzo niską popularnością wykorzystywania programu pomocowego przez kredytobiorców </w:t>
      </w:r>
      <w:r w:rsidR="00CD6C01">
        <w:rPr>
          <w:rFonts w:ascii="Times New Roman" w:hAnsi="Times New Roman" w:cs="Times New Roman"/>
        </w:rPr>
        <w:t>(do końca 2016</w:t>
      </w:r>
      <w:r w:rsidR="005D0B31">
        <w:rPr>
          <w:rFonts w:ascii="Times New Roman" w:hAnsi="Times New Roman" w:cs="Times New Roman"/>
        </w:rPr>
        <w:t xml:space="preserve"> </w:t>
      </w:r>
      <w:r w:rsidR="00CD6C01">
        <w:rPr>
          <w:rFonts w:ascii="Times New Roman" w:hAnsi="Times New Roman" w:cs="Times New Roman"/>
        </w:rPr>
        <w:t>r. wykorzystano zaledwie 2% śro</w:t>
      </w:r>
      <w:r w:rsidR="0082448A">
        <w:rPr>
          <w:rFonts w:ascii="Times New Roman" w:hAnsi="Times New Roman" w:cs="Times New Roman"/>
        </w:rPr>
        <w:t xml:space="preserve">dków zgromadzonych w </w:t>
      </w:r>
      <w:r w:rsidR="006F6CC7">
        <w:rPr>
          <w:rFonts w:ascii="Times New Roman" w:hAnsi="Times New Roman" w:cs="Times New Roman"/>
        </w:rPr>
        <w:t>Funduszu Wsparcia Kredytobiorców</w:t>
      </w:r>
      <w:r w:rsidR="0082448A">
        <w:rPr>
          <w:rFonts w:ascii="Times New Roman" w:hAnsi="Times New Roman" w:cs="Times New Roman"/>
        </w:rPr>
        <w:t xml:space="preserve">) zdecydowano się na </w:t>
      </w:r>
      <w:r w:rsidR="00CF7A7B">
        <w:rPr>
          <w:rFonts w:ascii="Times New Roman" w:hAnsi="Times New Roman" w:cs="Times New Roman"/>
        </w:rPr>
        <w:t xml:space="preserve">zmianę </w:t>
      </w:r>
      <w:r w:rsidR="0082448A">
        <w:rPr>
          <w:rFonts w:ascii="Times New Roman" w:hAnsi="Times New Roman" w:cs="Times New Roman"/>
        </w:rPr>
        <w:t>warunków</w:t>
      </w:r>
      <w:r w:rsidR="00CF7A7B">
        <w:rPr>
          <w:rFonts w:ascii="Times New Roman" w:hAnsi="Times New Roman" w:cs="Times New Roman"/>
        </w:rPr>
        <w:t xml:space="preserve"> udzielania</w:t>
      </w:r>
      <w:r w:rsidR="0082448A">
        <w:rPr>
          <w:rFonts w:ascii="Times New Roman" w:hAnsi="Times New Roman" w:cs="Times New Roman"/>
        </w:rPr>
        <w:t xml:space="preserve"> pomocy</w:t>
      </w:r>
      <w:r w:rsidR="00CF7A7B">
        <w:rPr>
          <w:rFonts w:ascii="Times New Roman" w:hAnsi="Times New Roman" w:cs="Times New Roman"/>
        </w:rPr>
        <w:t xml:space="preserve"> finansowej</w:t>
      </w:r>
      <w:r w:rsidR="0082448A">
        <w:rPr>
          <w:rFonts w:ascii="Times New Roman" w:hAnsi="Times New Roman" w:cs="Times New Roman"/>
        </w:rPr>
        <w:t xml:space="preserve">. </w:t>
      </w:r>
      <w:r w:rsidR="00405D94">
        <w:rPr>
          <w:rFonts w:ascii="Times New Roman" w:hAnsi="Times New Roman" w:cs="Times New Roman"/>
        </w:rPr>
        <w:t>W sierpniu 2017</w:t>
      </w:r>
      <w:r w:rsidR="005D0B31">
        <w:rPr>
          <w:rFonts w:ascii="Times New Roman" w:hAnsi="Times New Roman" w:cs="Times New Roman"/>
        </w:rPr>
        <w:t xml:space="preserve"> </w:t>
      </w:r>
      <w:r w:rsidR="00405D94">
        <w:rPr>
          <w:rFonts w:ascii="Times New Roman" w:hAnsi="Times New Roman" w:cs="Times New Roman"/>
        </w:rPr>
        <w:t xml:space="preserve">r. skierowano do sejmu projekt zmiany </w:t>
      </w:r>
      <w:r w:rsidR="00D15C4B">
        <w:rPr>
          <w:rFonts w:ascii="Times New Roman" w:hAnsi="Times New Roman" w:cs="Times New Roman"/>
        </w:rPr>
        <w:t>ustawy, który</w:t>
      </w:r>
      <w:r w:rsidR="00CF7A7B">
        <w:rPr>
          <w:rFonts w:ascii="Times New Roman" w:hAnsi="Times New Roman" w:cs="Times New Roman"/>
        </w:rPr>
        <w:t xml:space="preserve"> </w:t>
      </w:r>
      <w:r w:rsidR="00CF7A7B">
        <w:rPr>
          <w:rFonts w:ascii="Times New Roman" w:hAnsi="Times New Roman" w:cs="Times New Roman"/>
        </w:rPr>
        <w:lastRenderedPageBreak/>
        <w:t>przewiduje zwiększenie miesięcznej kwoty wsparcia do 2000zł, wydłużenie maksymalnej długości okresu otrzymywania świadczenia do 36 m</w:t>
      </w:r>
      <w:r w:rsidR="00B26064">
        <w:rPr>
          <w:rFonts w:ascii="Times New Roman" w:hAnsi="Times New Roman" w:cs="Times New Roman"/>
        </w:rPr>
        <w:t>iesięcy</w:t>
      </w:r>
      <w:r w:rsidR="00CF7A7B">
        <w:rPr>
          <w:rFonts w:ascii="Times New Roman" w:hAnsi="Times New Roman" w:cs="Times New Roman"/>
        </w:rPr>
        <w:t xml:space="preserve"> oraz </w:t>
      </w:r>
      <w:r w:rsidR="00B26064">
        <w:rPr>
          <w:rFonts w:ascii="Times New Roman" w:hAnsi="Times New Roman" w:cs="Times New Roman"/>
        </w:rPr>
        <w:t xml:space="preserve">wydłużenie maksymalnej długości okresu spłaty uzyskanego świadczenia do 12 lat. </w:t>
      </w:r>
    </w:p>
    <w:p w14:paraId="57CE8F95" w14:textId="07513217" w:rsidR="001803A4" w:rsidRDefault="001803A4" w:rsidP="00D80D68">
      <w:pPr>
        <w:pStyle w:val="Default"/>
        <w:spacing w:line="360" w:lineRule="auto"/>
        <w:jc w:val="both"/>
        <w:rPr>
          <w:rFonts w:ascii="Times New Roman" w:hAnsi="Times New Roman" w:cs="Times New Roman"/>
        </w:rPr>
      </w:pPr>
      <w:r>
        <w:rPr>
          <w:rFonts w:ascii="Times New Roman" w:hAnsi="Times New Roman" w:cs="Times New Roman"/>
        </w:rPr>
        <w:tab/>
        <w:t>Projekt</w:t>
      </w:r>
      <w:r w:rsidR="00972E07">
        <w:rPr>
          <w:rFonts w:ascii="Times New Roman" w:hAnsi="Times New Roman" w:cs="Times New Roman"/>
        </w:rPr>
        <w:t xml:space="preserve"> ustawy</w:t>
      </w:r>
      <w:r>
        <w:rPr>
          <w:rFonts w:ascii="Times New Roman" w:hAnsi="Times New Roman" w:cs="Times New Roman"/>
        </w:rPr>
        <w:t xml:space="preserve"> przewiduje również możliwość anulowania spłaty części zobowiązań z tytułu wsparcia finansowego, jeżeli dł</w:t>
      </w:r>
      <w:r w:rsidR="00452CAB">
        <w:rPr>
          <w:rFonts w:ascii="Times New Roman" w:hAnsi="Times New Roman" w:cs="Times New Roman"/>
        </w:rPr>
        <w:t xml:space="preserve">użnik nie zalega ze spłatą rat. </w:t>
      </w:r>
      <w:r w:rsidR="00B87396">
        <w:rPr>
          <w:rFonts w:ascii="Times New Roman" w:hAnsi="Times New Roman" w:cs="Times New Roman"/>
        </w:rPr>
        <w:t xml:space="preserve">Po </w:t>
      </w:r>
      <w:r w:rsidR="00510670">
        <w:rPr>
          <w:rFonts w:ascii="Times New Roman" w:hAnsi="Times New Roman" w:cs="Times New Roman"/>
        </w:rPr>
        <w:t xml:space="preserve">ewentualnej </w:t>
      </w:r>
      <w:r w:rsidR="00B87396">
        <w:rPr>
          <w:rFonts w:ascii="Times New Roman" w:hAnsi="Times New Roman" w:cs="Times New Roman"/>
        </w:rPr>
        <w:t>zmianie ustawy kredytobiorcy otrzymają dostęp do kolejnego narzędzia pomocowego – nieoprocentowanej jednorazowej pożyczki w wysokości do 72 000z</w:t>
      </w:r>
      <w:r w:rsidR="00565996">
        <w:rPr>
          <w:rFonts w:ascii="Times New Roman" w:hAnsi="Times New Roman" w:cs="Times New Roman"/>
        </w:rPr>
        <w:t>ł, o którą kredytobiorca może aplikować w sytuacji, gdy zdecyduje się na sprzedaż kredytowanej nieruchomości, ale środki wygenerowane ze sprzedaży nie wystarczą do spłaty pozostałej kwoty kredytu. S</w:t>
      </w:r>
      <w:r w:rsidR="00076E54">
        <w:rPr>
          <w:rFonts w:ascii="Times New Roman" w:hAnsi="Times New Roman" w:cs="Times New Roman"/>
        </w:rPr>
        <w:t>płata</w:t>
      </w:r>
      <w:r w:rsidR="00565996">
        <w:rPr>
          <w:rFonts w:ascii="Times New Roman" w:hAnsi="Times New Roman" w:cs="Times New Roman"/>
        </w:rPr>
        <w:t xml:space="preserve"> pożyczki</w:t>
      </w:r>
      <w:r w:rsidR="00076E54">
        <w:rPr>
          <w:rFonts w:ascii="Times New Roman" w:hAnsi="Times New Roman" w:cs="Times New Roman"/>
        </w:rPr>
        <w:t xml:space="preserve"> będzie odbywać się na takich samych warunkach jak </w:t>
      </w:r>
      <w:r w:rsidR="0061271B">
        <w:rPr>
          <w:rFonts w:ascii="Times New Roman" w:hAnsi="Times New Roman" w:cs="Times New Roman"/>
        </w:rPr>
        <w:t>spłata transzy pomocy</w:t>
      </w:r>
      <w:r w:rsidR="002B647B">
        <w:rPr>
          <w:rFonts w:ascii="Times New Roman" w:hAnsi="Times New Roman" w:cs="Times New Roman"/>
        </w:rPr>
        <w:t>. W tym wypadku również możliwe jest umorzenie spłaty części kapitału, jeżeli dłużnik należycie wywiązuje się ze spłaty zobowiązania</w:t>
      </w:r>
      <w:r w:rsidR="00161F9D">
        <w:rPr>
          <w:rStyle w:val="Odwoanieprzypisudolnego"/>
          <w:rFonts w:ascii="Times New Roman" w:hAnsi="Times New Roman" w:cs="Times New Roman"/>
        </w:rPr>
        <w:footnoteReference w:id="48"/>
      </w:r>
      <w:r w:rsidR="0061271B">
        <w:rPr>
          <w:rFonts w:ascii="Times New Roman" w:hAnsi="Times New Roman" w:cs="Times New Roman"/>
        </w:rPr>
        <w:t>.</w:t>
      </w:r>
    </w:p>
    <w:p w14:paraId="3928CA0F" w14:textId="5C088996" w:rsidR="008C089A" w:rsidRDefault="008C089A" w:rsidP="00D80D68">
      <w:pPr>
        <w:pStyle w:val="Default"/>
        <w:spacing w:line="360" w:lineRule="auto"/>
        <w:jc w:val="both"/>
        <w:rPr>
          <w:rFonts w:ascii="Times New Roman" w:hAnsi="Times New Roman" w:cs="Times New Roman"/>
        </w:rPr>
      </w:pPr>
      <w:r>
        <w:rPr>
          <w:rFonts w:ascii="Times New Roman" w:hAnsi="Times New Roman" w:cs="Times New Roman"/>
        </w:rPr>
        <w:tab/>
        <w:t xml:space="preserve">Projekt przewiduje także utworzenie wsparcia dla banków, które zdecydują się na restrukturyzację kredytów walutowych i przewalutowanie ich na kredyty złotowe. </w:t>
      </w:r>
      <w:r w:rsidR="006B03C5">
        <w:rPr>
          <w:rFonts w:ascii="Times New Roman" w:hAnsi="Times New Roman" w:cs="Times New Roman"/>
        </w:rPr>
        <w:t>Banki, które zdecydują się na takie rozwiązanie</w:t>
      </w:r>
      <w:r w:rsidR="00D15C4B">
        <w:rPr>
          <w:rFonts w:ascii="Times New Roman" w:hAnsi="Times New Roman" w:cs="Times New Roman"/>
        </w:rPr>
        <w:t>,</w:t>
      </w:r>
      <w:r w:rsidR="006B03C5">
        <w:rPr>
          <w:rFonts w:ascii="Times New Roman" w:hAnsi="Times New Roman" w:cs="Times New Roman"/>
        </w:rPr>
        <w:t xml:space="preserve"> otrzymają zwrot różnicy bilansowej pomiędzy wartością kredytów walutowych przed i po restrukturyzacji portfeli. Środki m</w:t>
      </w:r>
      <w:r w:rsidR="00D15C4B">
        <w:rPr>
          <w:rFonts w:ascii="Times New Roman" w:hAnsi="Times New Roman" w:cs="Times New Roman"/>
        </w:rPr>
        <w:t>iałby</w:t>
      </w:r>
      <w:r w:rsidR="006B03C5">
        <w:rPr>
          <w:rFonts w:ascii="Times New Roman" w:hAnsi="Times New Roman" w:cs="Times New Roman"/>
        </w:rPr>
        <w:t xml:space="preserve"> wypłacać</w:t>
      </w:r>
      <w:r w:rsidR="002C4039">
        <w:rPr>
          <w:rFonts w:ascii="Times New Roman" w:hAnsi="Times New Roman" w:cs="Times New Roman"/>
        </w:rPr>
        <w:t xml:space="preserve"> w ramach Funduszu Wsparcia Kredytobiorców specjalnie utworzony</w:t>
      </w:r>
      <w:r w:rsidR="006B03C5">
        <w:rPr>
          <w:rFonts w:ascii="Times New Roman" w:hAnsi="Times New Roman" w:cs="Times New Roman"/>
        </w:rPr>
        <w:t xml:space="preserve"> Fundusz Restrukturyzacyjny, który zarządzać będzie kapitałem dostarczonym proporcjonalnie przez banki, które zdecydują się na restrukturyzację posiadanych kredytów walutowych. </w:t>
      </w:r>
      <w:r w:rsidR="00A225AB">
        <w:rPr>
          <w:rFonts w:ascii="Times New Roman" w:hAnsi="Times New Roman" w:cs="Times New Roman"/>
        </w:rPr>
        <w:t xml:space="preserve">Składki do funduszu mają być wpłacane proporcjonalnie do wartości kredytów walutowych, bez względu na ich odsetek zagrożenia. </w:t>
      </w:r>
      <w:r w:rsidR="00913F38">
        <w:rPr>
          <w:rFonts w:ascii="Times New Roman" w:hAnsi="Times New Roman" w:cs="Times New Roman"/>
        </w:rPr>
        <w:t xml:space="preserve">Restrukturyzacja w założeniu będzie odbywać się w sposób płynny, wartość kwartalnych wpłat zainteresowanych banków nie może przekroczyć 0,5% wartości bilansowej portfela restrukturyzowanych kredytów. </w:t>
      </w:r>
      <w:r w:rsidR="000F11A8">
        <w:rPr>
          <w:rFonts w:ascii="Times New Roman" w:hAnsi="Times New Roman" w:cs="Times New Roman"/>
        </w:rPr>
        <w:t>W skali całego sektora oznacza to, że roczne obciążenie z tytułu wpłacanych składek do Funduszu Restrukturyzacji nie powinno przekroczyć 3,2 mld złotych rocznie</w:t>
      </w:r>
      <w:r w:rsidR="00D00700">
        <w:rPr>
          <w:rStyle w:val="Odwoanieprzypisudolnego"/>
          <w:rFonts w:ascii="Times New Roman" w:hAnsi="Times New Roman" w:cs="Times New Roman"/>
        </w:rPr>
        <w:footnoteReference w:id="49"/>
      </w:r>
      <w:r w:rsidR="000F11A8">
        <w:rPr>
          <w:rFonts w:ascii="Times New Roman" w:hAnsi="Times New Roman" w:cs="Times New Roman"/>
        </w:rPr>
        <w:t xml:space="preserve">. </w:t>
      </w:r>
    </w:p>
    <w:p w14:paraId="237B27E4" w14:textId="5D253781" w:rsidR="00360A2C" w:rsidRDefault="004457E4" w:rsidP="00D80D68">
      <w:pPr>
        <w:pStyle w:val="Default"/>
        <w:spacing w:line="360" w:lineRule="auto"/>
        <w:jc w:val="both"/>
        <w:rPr>
          <w:rFonts w:ascii="Times New Roman" w:hAnsi="Times New Roman" w:cs="Times New Roman"/>
        </w:rPr>
      </w:pPr>
      <w:r>
        <w:rPr>
          <w:rFonts w:ascii="Times New Roman" w:hAnsi="Times New Roman" w:cs="Times New Roman"/>
        </w:rPr>
        <w:tab/>
        <w:t>Nowy projekt ustawy sprowadza się zatem do kompromisu</w:t>
      </w:r>
      <w:r w:rsidR="00D15C4B">
        <w:rPr>
          <w:rFonts w:ascii="Times New Roman" w:hAnsi="Times New Roman" w:cs="Times New Roman"/>
        </w:rPr>
        <w:t xml:space="preserve"> </w:t>
      </w:r>
      <w:r>
        <w:rPr>
          <w:rFonts w:ascii="Times New Roman" w:hAnsi="Times New Roman" w:cs="Times New Roman"/>
        </w:rPr>
        <w:t>pomiędzy poprawą sytuacji finansowej kredytobiorców, którzy z obiektywnych przyczyn mają trudności z obsługą zobowiązań</w:t>
      </w:r>
      <w:r w:rsidR="00D15C4B">
        <w:rPr>
          <w:rFonts w:ascii="Times New Roman" w:hAnsi="Times New Roman" w:cs="Times New Roman"/>
        </w:rPr>
        <w:t>,</w:t>
      </w:r>
      <w:r>
        <w:rPr>
          <w:rFonts w:ascii="Times New Roman" w:hAnsi="Times New Roman" w:cs="Times New Roman"/>
        </w:rPr>
        <w:t xml:space="preserve"> i banków, które posiadają w swoich portfelach kredyty hipoteczne w walutach obcych o znaczącej wartości. </w:t>
      </w:r>
    </w:p>
    <w:p w14:paraId="77CF4739" w14:textId="77777777" w:rsidR="00360A2C" w:rsidRDefault="00360A2C" w:rsidP="00D80D68">
      <w:pPr>
        <w:spacing w:line="360" w:lineRule="auto"/>
        <w:jc w:val="both"/>
        <w:rPr>
          <w:rFonts w:cs="Times New Roman"/>
          <w:color w:val="000000"/>
          <w:szCs w:val="24"/>
        </w:rPr>
      </w:pPr>
      <w:r>
        <w:rPr>
          <w:rFonts w:cs="Times New Roman"/>
        </w:rPr>
        <w:br w:type="page"/>
      </w:r>
    </w:p>
    <w:p w14:paraId="65EC3D1B" w14:textId="66A4D3BF" w:rsidR="00360A2C" w:rsidRPr="00CF2507" w:rsidRDefault="00360A2C" w:rsidP="00D80D68">
      <w:pPr>
        <w:pStyle w:val="Nagwek1"/>
        <w:spacing w:line="360" w:lineRule="auto"/>
        <w:jc w:val="both"/>
      </w:pPr>
      <w:bookmarkStart w:id="21" w:name="_Toc513545752"/>
      <w:r w:rsidRPr="00CF2507">
        <w:lastRenderedPageBreak/>
        <w:t>III. Rozwiązania problemu zadłużenia gospodarstw domowych w walutach obcych zastosowane w innych krajach Unii Europejskiej</w:t>
      </w:r>
      <w:r w:rsidR="00A24377">
        <w:t>.</w:t>
      </w:r>
      <w:bookmarkEnd w:id="21"/>
    </w:p>
    <w:p w14:paraId="32F12820" w14:textId="3CDF0D98" w:rsidR="00360A2C" w:rsidRDefault="00360A2C" w:rsidP="00D80D68">
      <w:pPr>
        <w:pStyle w:val="Nagwek2"/>
        <w:spacing w:line="360" w:lineRule="auto"/>
        <w:jc w:val="both"/>
      </w:pPr>
      <w:bookmarkStart w:id="22" w:name="_Toc513545753"/>
      <w:r w:rsidRPr="00360A2C">
        <w:t>III.1 Rynek kredytów walutowych na terenie Unii Europejskiej</w:t>
      </w:r>
      <w:r w:rsidR="00A24377">
        <w:t>.</w:t>
      </w:r>
      <w:bookmarkEnd w:id="22"/>
    </w:p>
    <w:p w14:paraId="60B38019" w14:textId="5A6A4310" w:rsidR="00082097" w:rsidRDefault="009367C5" w:rsidP="00D80D68">
      <w:pPr>
        <w:pStyle w:val="Default"/>
        <w:spacing w:line="360" w:lineRule="auto"/>
        <w:jc w:val="both"/>
        <w:rPr>
          <w:rFonts w:ascii="Times New Roman" w:hAnsi="Times New Roman" w:cs="Times New Roman"/>
        </w:rPr>
      </w:pPr>
      <w:r>
        <w:rPr>
          <w:rFonts w:ascii="Times New Roman" w:hAnsi="Times New Roman" w:cs="Times New Roman"/>
        </w:rPr>
        <w:tab/>
        <w:t>Finansowanie zakupu nieruchomości za pomocą kredytu hipotecznego nie jest jednakowo popularne we wszystkich krajach Europy i Unii Europejskiej.</w:t>
      </w:r>
      <w:r w:rsidR="00CD20C8">
        <w:rPr>
          <w:rFonts w:ascii="Times New Roman" w:hAnsi="Times New Roman" w:cs="Times New Roman"/>
        </w:rPr>
        <w:t xml:space="preserve"> </w:t>
      </w:r>
      <w:r w:rsidR="007542A9">
        <w:rPr>
          <w:rFonts w:ascii="Times New Roman" w:hAnsi="Times New Roman" w:cs="Times New Roman"/>
        </w:rPr>
        <w:t>Pod względem średniej liczby nieruchomości obciążonych kredytem hipotecznym</w:t>
      </w:r>
      <w:r w:rsidR="000401E0">
        <w:rPr>
          <w:rFonts w:ascii="Times New Roman" w:hAnsi="Times New Roman" w:cs="Times New Roman"/>
        </w:rPr>
        <w:t xml:space="preserve"> </w:t>
      </w:r>
      <w:r w:rsidR="004F037C">
        <w:rPr>
          <w:rFonts w:ascii="Times New Roman" w:hAnsi="Times New Roman" w:cs="Times New Roman"/>
        </w:rPr>
        <w:t xml:space="preserve">Polska nie znajduje się wśród </w:t>
      </w:r>
      <w:r w:rsidR="00EE49EF">
        <w:rPr>
          <w:rFonts w:ascii="Times New Roman" w:hAnsi="Times New Roman" w:cs="Times New Roman"/>
        </w:rPr>
        <w:t>państw z wysokim wynikiem</w:t>
      </w:r>
      <w:r w:rsidR="004F037C">
        <w:rPr>
          <w:rFonts w:ascii="Times New Roman" w:hAnsi="Times New Roman" w:cs="Times New Roman"/>
        </w:rPr>
        <w:t xml:space="preserve">. Rynek kredytów hipotecznych w Polsce jest rozwinięty relatywnie słabo w porównaniu do krajów </w:t>
      </w:r>
      <w:r>
        <w:rPr>
          <w:rFonts w:ascii="Times New Roman" w:hAnsi="Times New Roman" w:cs="Times New Roman"/>
        </w:rPr>
        <w:t>Europy Zachodniej, jak np. Holandia, czy Wielka Brytania</w:t>
      </w:r>
      <w:r w:rsidR="00EE49EF">
        <w:rPr>
          <w:rFonts w:ascii="Times New Roman" w:hAnsi="Times New Roman" w:cs="Times New Roman"/>
        </w:rPr>
        <w:t>, lub krajów skandynawsk</w:t>
      </w:r>
      <w:r w:rsidR="00906FD8">
        <w:rPr>
          <w:rFonts w:ascii="Times New Roman" w:hAnsi="Times New Roman" w:cs="Times New Roman"/>
        </w:rPr>
        <w:t>ich.</w:t>
      </w:r>
    </w:p>
    <w:p w14:paraId="399B9A19" w14:textId="77777777" w:rsidR="0051162C" w:rsidRDefault="0051162C" w:rsidP="00D80D68">
      <w:pPr>
        <w:pStyle w:val="Default"/>
        <w:spacing w:line="360" w:lineRule="auto"/>
        <w:jc w:val="both"/>
        <w:rPr>
          <w:rFonts w:ascii="Times New Roman" w:hAnsi="Times New Roman" w:cs="Times New Roman"/>
        </w:rPr>
      </w:pPr>
    </w:p>
    <w:p w14:paraId="6DD16140" w14:textId="60AC34BE" w:rsidR="00EB06D0" w:rsidRPr="00EB06D0" w:rsidRDefault="00EB06D0" w:rsidP="00EB06D0">
      <w:pPr>
        <w:pStyle w:val="Legenda"/>
        <w:keepNext/>
        <w:spacing w:line="360" w:lineRule="auto"/>
        <w:jc w:val="both"/>
        <w:rPr>
          <w:i w:val="0"/>
          <w:color w:val="auto"/>
          <w:sz w:val="24"/>
        </w:rPr>
      </w:pPr>
      <w:bookmarkStart w:id="23" w:name="_Toc513544702"/>
      <w:r w:rsidRPr="00EB06D0">
        <w:rPr>
          <w:i w:val="0"/>
          <w:color w:val="auto"/>
          <w:sz w:val="24"/>
        </w:rPr>
        <w:t xml:space="preserve">Wykres </w:t>
      </w:r>
      <w:r w:rsidRPr="00EB06D0">
        <w:rPr>
          <w:i w:val="0"/>
          <w:color w:val="auto"/>
          <w:sz w:val="24"/>
        </w:rPr>
        <w:fldChar w:fldCharType="begin"/>
      </w:r>
      <w:r w:rsidRPr="00EB06D0">
        <w:rPr>
          <w:i w:val="0"/>
          <w:color w:val="auto"/>
          <w:sz w:val="24"/>
        </w:rPr>
        <w:instrText xml:space="preserve"> SEQ Wykres \* ARABIC </w:instrText>
      </w:r>
      <w:r w:rsidRPr="00EB06D0">
        <w:rPr>
          <w:i w:val="0"/>
          <w:color w:val="auto"/>
          <w:sz w:val="24"/>
        </w:rPr>
        <w:fldChar w:fldCharType="separate"/>
      </w:r>
      <w:r w:rsidR="00C046DB">
        <w:rPr>
          <w:i w:val="0"/>
          <w:noProof/>
          <w:color w:val="auto"/>
          <w:sz w:val="24"/>
        </w:rPr>
        <w:t>8</w:t>
      </w:r>
      <w:r w:rsidRPr="00EB06D0">
        <w:rPr>
          <w:i w:val="0"/>
          <w:color w:val="auto"/>
          <w:sz w:val="24"/>
        </w:rPr>
        <w:fldChar w:fldCharType="end"/>
      </w:r>
      <w:r w:rsidRPr="00EB06D0">
        <w:rPr>
          <w:i w:val="0"/>
          <w:color w:val="auto"/>
          <w:sz w:val="24"/>
        </w:rPr>
        <w:t>. Odsetek nieruchomości obciążonych kredytem hipotecznym w krajach Europy w 2014 r.</w:t>
      </w:r>
      <w:bookmarkEnd w:id="23"/>
    </w:p>
    <w:p w14:paraId="2CC0E65C" w14:textId="374F757D" w:rsidR="00650343" w:rsidRPr="001F085D" w:rsidRDefault="001F085D" w:rsidP="00E756BE">
      <w:pPr>
        <w:pStyle w:val="Default"/>
        <w:keepNext/>
        <w:spacing w:line="360" w:lineRule="auto"/>
        <w:jc w:val="both"/>
        <w:rPr>
          <w:rFonts w:ascii="Times New Roman" w:hAnsi="Times New Roman" w:cs="Times New Roman"/>
          <w:b/>
        </w:rPr>
      </w:pPr>
      <w:r>
        <w:rPr>
          <w:noProof/>
          <w:lang w:eastAsia="pl-PL"/>
        </w:rPr>
        <w:drawing>
          <wp:inline distT="0" distB="0" distL="0" distR="0" wp14:anchorId="7E5B096F" wp14:editId="163B6BAA">
            <wp:extent cx="5760085" cy="2805769"/>
            <wp:effectExtent l="0" t="0" r="12065" b="13970"/>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B2B10E7" w14:textId="476AD0D4" w:rsidR="00082097" w:rsidRDefault="003D6093" w:rsidP="00D80D68">
      <w:pPr>
        <w:pStyle w:val="Default"/>
        <w:spacing w:line="360" w:lineRule="auto"/>
        <w:jc w:val="both"/>
        <w:rPr>
          <w:rFonts w:ascii="Times New Roman" w:hAnsi="Times New Roman" w:cs="Times New Roman"/>
        </w:rPr>
      </w:pPr>
      <w:r w:rsidRPr="003D6093">
        <w:rPr>
          <w:rFonts w:ascii="Times New Roman" w:hAnsi="Times New Roman" w:cs="Times New Roman"/>
        </w:rPr>
        <w:t>Źródło</w:t>
      </w:r>
      <w:r>
        <w:rPr>
          <w:rFonts w:ascii="Times New Roman" w:hAnsi="Times New Roman" w:cs="Times New Roman"/>
          <w:b/>
        </w:rPr>
        <w:t xml:space="preserve">: </w:t>
      </w:r>
      <w:r>
        <w:rPr>
          <w:rFonts w:ascii="Times New Roman" w:hAnsi="Times New Roman" w:cs="Times New Roman"/>
        </w:rPr>
        <w:t>Opracowanie własne na podstawie danych Eurostat</w:t>
      </w:r>
      <w:r>
        <w:rPr>
          <w:rStyle w:val="Odwoanieprzypisudolnego"/>
          <w:rFonts w:ascii="Times New Roman" w:hAnsi="Times New Roman" w:cs="Times New Roman"/>
        </w:rPr>
        <w:footnoteReference w:id="50"/>
      </w:r>
      <w:r>
        <w:rPr>
          <w:rFonts w:ascii="Times New Roman" w:hAnsi="Times New Roman" w:cs="Times New Roman"/>
        </w:rPr>
        <w:t>.</w:t>
      </w:r>
    </w:p>
    <w:p w14:paraId="08B76EA8" w14:textId="0D44F341" w:rsidR="00C954DB" w:rsidRDefault="00CD20C8" w:rsidP="00D80D68">
      <w:pPr>
        <w:pStyle w:val="Default"/>
        <w:spacing w:line="360" w:lineRule="auto"/>
        <w:ind w:firstLine="708"/>
        <w:jc w:val="both"/>
        <w:rPr>
          <w:rFonts w:ascii="Times New Roman" w:hAnsi="Times New Roman" w:cs="Times New Roman"/>
        </w:rPr>
      </w:pPr>
      <w:r>
        <w:rPr>
          <w:rFonts w:ascii="Times New Roman" w:hAnsi="Times New Roman" w:cs="Times New Roman"/>
        </w:rPr>
        <w:t xml:space="preserve">Na wykresie </w:t>
      </w:r>
      <w:r w:rsidR="009E353F">
        <w:rPr>
          <w:rFonts w:ascii="Times New Roman" w:hAnsi="Times New Roman" w:cs="Times New Roman"/>
        </w:rPr>
        <w:t>8</w:t>
      </w:r>
      <w:r>
        <w:rPr>
          <w:rFonts w:ascii="Times New Roman" w:hAnsi="Times New Roman" w:cs="Times New Roman"/>
        </w:rPr>
        <w:t xml:space="preserve"> zobrazowano odsetek nieruchomości w poszczególnych krajach Europy, które są obciążone kredytem hipotecznym. W 2014 r. na 28 badanych państw Polska zajęła odległe 26 miejsce z wy</w:t>
      </w:r>
      <w:r w:rsidR="00AF7292">
        <w:rPr>
          <w:rFonts w:ascii="Times New Roman" w:hAnsi="Times New Roman" w:cs="Times New Roman"/>
        </w:rPr>
        <w:t xml:space="preserve">nikiem 8,3%, który znajduje się na poziomie o 28,6 punktów procentowych niższym od średniej krajów UE. </w:t>
      </w:r>
      <w:r w:rsidR="00D575F3">
        <w:rPr>
          <w:rFonts w:ascii="Times New Roman" w:hAnsi="Times New Roman" w:cs="Times New Roman"/>
        </w:rPr>
        <w:t xml:space="preserve">Wartość całkowitego długu </w:t>
      </w:r>
      <w:r w:rsidR="00E03FF8">
        <w:rPr>
          <w:rFonts w:ascii="Times New Roman" w:hAnsi="Times New Roman" w:cs="Times New Roman"/>
        </w:rPr>
        <w:t xml:space="preserve">z tytułu kredytów hipotecznych </w:t>
      </w:r>
      <w:r w:rsidR="00D575F3">
        <w:rPr>
          <w:rFonts w:ascii="Times New Roman" w:hAnsi="Times New Roman" w:cs="Times New Roman"/>
        </w:rPr>
        <w:t xml:space="preserve">w Polsce była również stosunkowo niewielka w porównaniu do wartości PKB. W 2014 r. wynosiła ona 21,1%, co w porównaniu z europejską </w:t>
      </w:r>
      <w:r w:rsidR="005F52E1">
        <w:rPr>
          <w:rFonts w:ascii="Times New Roman" w:hAnsi="Times New Roman" w:cs="Times New Roman"/>
        </w:rPr>
        <w:t>średnią na poziomie 48,6</w:t>
      </w:r>
      <w:r w:rsidR="00D575F3">
        <w:rPr>
          <w:rFonts w:ascii="Times New Roman" w:hAnsi="Times New Roman" w:cs="Times New Roman"/>
        </w:rPr>
        <w:t xml:space="preserve">% jest </w:t>
      </w:r>
      <w:r w:rsidR="0050534B">
        <w:rPr>
          <w:rFonts w:ascii="Times New Roman" w:hAnsi="Times New Roman" w:cs="Times New Roman"/>
        </w:rPr>
        <w:t>stosunkowo</w:t>
      </w:r>
      <w:r w:rsidR="00D575F3">
        <w:rPr>
          <w:rFonts w:ascii="Times New Roman" w:hAnsi="Times New Roman" w:cs="Times New Roman"/>
        </w:rPr>
        <w:t xml:space="preserve"> niewielkim wynikiem</w:t>
      </w:r>
      <w:r w:rsidR="00FE5784">
        <w:rPr>
          <w:rStyle w:val="Odwoanieprzypisudolnego"/>
          <w:rFonts w:ascii="Times New Roman" w:hAnsi="Times New Roman" w:cs="Times New Roman"/>
        </w:rPr>
        <w:footnoteReference w:id="51"/>
      </w:r>
      <w:r w:rsidR="00D575F3">
        <w:rPr>
          <w:rFonts w:ascii="Times New Roman" w:hAnsi="Times New Roman" w:cs="Times New Roman"/>
        </w:rPr>
        <w:t xml:space="preserve">. </w:t>
      </w:r>
      <w:r w:rsidR="00C8700E">
        <w:rPr>
          <w:rFonts w:ascii="Times New Roman" w:hAnsi="Times New Roman" w:cs="Times New Roman"/>
        </w:rPr>
        <w:t xml:space="preserve">Badanie zostało przeprowadzone </w:t>
      </w:r>
      <w:r w:rsidR="00754602">
        <w:rPr>
          <w:rFonts w:ascii="Times New Roman" w:hAnsi="Times New Roman" w:cs="Times New Roman"/>
        </w:rPr>
        <w:t xml:space="preserve">już </w:t>
      </w:r>
      <w:r w:rsidR="00C8700E">
        <w:rPr>
          <w:rFonts w:ascii="Times New Roman" w:hAnsi="Times New Roman" w:cs="Times New Roman"/>
        </w:rPr>
        <w:t xml:space="preserve">po wybuchu </w:t>
      </w:r>
      <w:r w:rsidR="00C8700E">
        <w:rPr>
          <w:rFonts w:ascii="Times New Roman" w:hAnsi="Times New Roman" w:cs="Times New Roman"/>
        </w:rPr>
        <w:lastRenderedPageBreak/>
        <w:t>kryzysu finansowe</w:t>
      </w:r>
      <w:r w:rsidR="00A14C89">
        <w:rPr>
          <w:rFonts w:ascii="Times New Roman" w:hAnsi="Times New Roman" w:cs="Times New Roman"/>
        </w:rPr>
        <w:t>go z</w:t>
      </w:r>
      <w:r w:rsidR="00C8700E">
        <w:rPr>
          <w:rFonts w:ascii="Times New Roman" w:hAnsi="Times New Roman" w:cs="Times New Roman"/>
        </w:rPr>
        <w:t xml:space="preserve"> 2008</w:t>
      </w:r>
      <w:r w:rsidR="00A15688">
        <w:rPr>
          <w:rFonts w:ascii="Times New Roman" w:hAnsi="Times New Roman" w:cs="Times New Roman"/>
        </w:rPr>
        <w:t xml:space="preserve"> </w:t>
      </w:r>
      <w:r w:rsidR="00C8700E">
        <w:rPr>
          <w:rFonts w:ascii="Times New Roman" w:hAnsi="Times New Roman" w:cs="Times New Roman"/>
        </w:rPr>
        <w:t>r.</w:t>
      </w:r>
      <w:r w:rsidR="00754602">
        <w:rPr>
          <w:rFonts w:ascii="Times New Roman" w:hAnsi="Times New Roman" w:cs="Times New Roman"/>
        </w:rPr>
        <w:t xml:space="preserve">, </w:t>
      </w:r>
      <w:r w:rsidR="00A14C89">
        <w:rPr>
          <w:rFonts w:ascii="Times New Roman" w:hAnsi="Times New Roman" w:cs="Times New Roman"/>
        </w:rPr>
        <w:t>a więc po</w:t>
      </w:r>
      <w:r w:rsidR="00F115E6">
        <w:rPr>
          <w:rFonts w:ascii="Times New Roman" w:hAnsi="Times New Roman" w:cs="Times New Roman"/>
        </w:rPr>
        <w:t xml:space="preserve"> przeminięciu popularności kredytów hipotecznych </w:t>
      </w:r>
      <w:r w:rsidR="00D64B0A">
        <w:rPr>
          <w:rFonts w:ascii="Times New Roman" w:hAnsi="Times New Roman" w:cs="Times New Roman"/>
        </w:rPr>
        <w:t xml:space="preserve">w walutach obcych w Polsce. Takie dane nie wskazują na </w:t>
      </w:r>
      <w:r w:rsidR="00A8758C">
        <w:rPr>
          <w:rFonts w:ascii="Times New Roman" w:hAnsi="Times New Roman" w:cs="Times New Roman"/>
        </w:rPr>
        <w:t xml:space="preserve">duże zagrożenie dla bezpieczeństwa sektora finansowego </w:t>
      </w:r>
      <w:r w:rsidR="00FF0964">
        <w:rPr>
          <w:rFonts w:ascii="Times New Roman" w:hAnsi="Times New Roman" w:cs="Times New Roman"/>
        </w:rPr>
        <w:t xml:space="preserve">z powodu </w:t>
      </w:r>
      <w:r w:rsidR="004C6135">
        <w:rPr>
          <w:rFonts w:ascii="Times New Roman" w:hAnsi="Times New Roman" w:cs="Times New Roman"/>
        </w:rPr>
        <w:t>niepełnej lub nieterminowej</w:t>
      </w:r>
      <w:r w:rsidR="00A8758C">
        <w:rPr>
          <w:rFonts w:ascii="Times New Roman" w:hAnsi="Times New Roman" w:cs="Times New Roman"/>
        </w:rPr>
        <w:t xml:space="preserve"> </w:t>
      </w:r>
      <w:r w:rsidR="004C6135">
        <w:rPr>
          <w:rFonts w:ascii="Times New Roman" w:hAnsi="Times New Roman" w:cs="Times New Roman"/>
        </w:rPr>
        <w:t xml:space="preserve">spłaty </w:t>
      </w:r>
      <w:r w:rsidR="00A8758C">
        <w:rPr>
          <w:rFonts w:ascii="Times New Roman" w:hAnsi="Times New Roman" w:cs="Times New Roman"/>
        </w:rPr>
        <w:t>kredytów</w:t>
      </w:r>
      <w:r w:rsidR="004C6135">
        <w:rPr>
          <w:rFonts w:ascii="Times New Roman" w:hAnsi="Times New Roman" w:cs="Times New Roman"/>
        </w:rPr>
        <w:t xml:space="preserve"> hipotecznych</w:t>
      </w:r>
      <w:r w:rsidR="00E03FF8">
        <w:rPr>
          <w:rFonts w:ascii="Times New Roman" w:hAnsi="Times New Roman" w:cs="Times New Roman"/>
        </w:rPr>
        <w:t xml:space="preserve"> (zwłaszcza walutowych)</w:t>
      </w:r>
      <w:r w:rsidR="00A8758C">
        <w:rPr>
          <w:rFonts w:ascii="Times New Roman" w:hAnsi="Times New Roman" w:cs="Times New Roman"/>
        </w:rPr>
        <w:t xml:space="preserve"> w Polsce. </w:t>
      </w:r>
    </w:p>
    <w:p w14:paraId="1CBB9D7C" w14:textId="499AB1F2" w:rsidR="00E756BE" w:rsidRDefault="00482109" w:rsidP="00E756BE">
      <w:pPr>
        <w:pStyle w:val="Default"/>
        <w:spacing w:line="360" w:lineRule="auto"/>
        <w:ind w:firstLine="708"/>
        <w:jc w:val="both"/>
        <w:rPr>
          <w:rFonts w:ascii="Times New Roman" w:eastAsiaTheme="majorEastAsia" w:hAnsi="Times New Roman" w:cstheme="majorBidi"/>
          <w:bCs/>
        </w:rPr>
      </w:pPr>
      <w:r>
        <w:rPr>
          <w:rFonts w:ascii="Times New Roman" w:hAnsi="Times New Roman" w:cs="Times New Roman"/>
        </w:rPr>
        <w:t>Udzielanie kredytów walutowych na terenie Unii Europejskiej nie jest zakazane</w:t>
      </w:r>
      <w:r w:rsidR="00E03FF8">
        <w:rPr>
          <w:rFonts w:ascii="Times New Roman" w:hAnsi="Times New Roman" w:cs="Times New Roman"/>
        </w:rPr>
        <w:t xml:space="preserve"> w żadnym z państw członkowskich</w:t>
      </w:r>
      <w:r>
        <w:rPr>
          <w:rFonts w:ascii="Times New Roman" w:hAnsi="Times New Roman" w:cs="Times New Roman"/>
        </w:rPr>
        <w:t>. Stanowisko organów nadzoru finansowego wskazuje na to, że takie regulacje byłyby sprzeczne z założeniem swobodnego przepływu kapitału i prowadzenia działalności gospodarczej na terenie wspólnoty</w:t>
      </w:r>
      <w:r>
        <w:rPr>
          <w:rStyle w:val="Odwoanieprzypisudolnego"/>
          <w:rFonts w:ascii="Times New Roman" w:hAnsi="Times New Roman" w:cs="Times New Roman"/>
        </w:rPr>
        <w:footnoteReference w:id="52"/>
      </w:r>
      <w:r>
        <w:rPr>
          <w:rFonts w:ascii="Times New Roman" w:hAnsi="Times New Roman" w:cs="Times New Roman"/>
        </w:rPr>
        <w:t xml:space="preserve">. </w:t>
      </w:r>
      <w:r w:rsidR="007319B5">
        <w:rPr>
          <w:rFonts w:ascii="Times New Roman" w:hAnsi="Times New Roman" w:cs="Times New Roman"/>
        </w:rPr>
        <w:t>Przed wybuchem kryzysu finansowego w 2008</w:t>
      </w:r>
      <w:r w:rsidR="00341939">
        <w:rPr>
          <w:rFonts w:ascii="Times New Roman" w:hAnsi="Times New Roman" w:cs="Times New Roman"/>
        </w:rPr>
        <w:t xml:space="preserve"> </w:t>
      </w:r>
      <w:r w:rsidR="007319B5">
        <w:rPr>
          <w:rFonts w:ascii="Times New Roman" w:hAnsi="Times New Roman" w:cs="Times New Roman"/>
        </w:rPr>
        <w:t>r. kredyty hipoteczne w walutach obcych poza Polską były popularne także w innych krajach, jak np. Węgry, Austria, Chorwacja, Hiszpania, czy Włochy</w:t>
      </w:r>
      <w:r w:rsidR="00B772AB">
        <w:rPr>
          <w:rFonts w:ascii="Times New Roman" w:hAnsi="Times New Roman" w:cs="Times New Roman"/>
        </w:rPr>
        <w:t>.</w:t>
      </w:r>
      <w:r w:rsidR="00E752E5">
        <w:rPr>
          <w:rFonts w:ascii="Times New Roman" w:hAnsi="Times New Roman" w:cs="Times New Roman"/>
        </w:rPr>
        <w:t xml:space="preserve"> Podobnie do Polski, gospodarstwa domowe w </w:t>
      </w:r>
      <w:r w:rsidR="008A1106">
        <w:rPr>
          <w:rFonts w:ascii="Times New Roman" w:hAnsi="Times New Roman" w:cs="Times New Roman"/>
        </w:rPr>
        <w:t>innych</w:t>
      </w:r>
      <w:r w:rsidR="00E752E5">
        <w:rPr>
          <w:rFonts w:ascii="Times New Roman" w:hAnsi="Times New Roman" w:cs="Times New Roman"/>
        </w:rPr>
        <w:t xml:space="preserve"> państwach </w:t>
      </w:r>
      <w:r w:rsidR="008A1106">
        <w:rPr>
          <w:rFonts w:ascii="Times New Roman" w:hAnsi="Times New Roman" w:cs="Times New Roman"/>
        </w:rPr>
        <w:t xml:space="preserve">UE </w:t>
      </w:r>
      <w:r w:rsidR="00E752E5">
        <w:rPr>
          <w:rFonts w:ascii="Times New Roman" w:hAnsi="Times New Roman" w:cs="Times New Roman"/>
        </w:rPr>
        <w:t xml:space="preserve">decydowały się w zdecydowanej większości na kredyty hipoteczne w </w:t>
      </w:r>
      <w:r w:rsidR="008A1106">
        <w:rPr>
          <w:rFonts w:ascii="Times New Roman" w:hAnsi="Times New Roman" w:cs="Times New Roman"/>
        </w:rPr>
        <w:t>CHF</w:t>
      </w:r>
      <w:r w:rsidR="00C046DB">
        <w:rPr>
          <w:rFonts w:ascii="Times New Roman" w:hAnsi="Times New Roman" w:cs="Times New Roman"/>
        </w:rPr>
        <w:t>.</w:t>
      </w:r>
    </w:p>
    <w:p w14:paraId="3B2B3C73" w14:textId="77777777" w:rsidR="00E756BE" w:rsidRPr="00E756BE" w:rsidRDefault="00E756BE" w:rsidP="00E756BE">
      <w:pPr>
        <w:pStyle w:val="Default"/>
        <w:spacing w:line="360" w:lineRule="auto"/>
        <w:ind w:firstLine="708"/>
        <w:jc w:val="both"/>
        <w:rPr>
          <w:rFonts w:ascii="Times New Roman" w:hAnsi="Times New Roman" w:cs="Times New Roman"/>
        </w:rPr>
      </w:pPr>
    </w:p>
    <w:p w14:paraId="001E215B" w14:textId="7701D0D7" w:rsidR="00C046DB" w:rsidRPr="00C046DB" w:rsidRDefault="00C046DB" w:rsidP="00C046DB">
      <w:pPr>
        <w:pStyle w:val="Legenda"/>
        <w:keepNext/>
        <w:spacing w:line="360" w:lineRule="auto"/>
        <w:jc w:val="both"/>
        <w:rPr>
          <w:i w:val="0"/>
          <w:color w:val="auto"/>
          <w:sz w:val="24"/>
        </w:rPr>
      </w:pPr>
      <w:bookmarkStart w:id="24" w:name="_Toc513544703"/>
      <w:r w:rsidRPr="00C046DB">
        <w:rPr>
          <w:i w:val="0"/>
          <w:color w:val="auto"/>
          <w:sz w:val="24"/>
        </w:rPr>
        <w:t xml:space="preserve">Wykres </w:t>
      </w:r>
      <w:r w:rsidRPr="00C046DB">
        <w:rPr>
          <w:i w:val="0"/>
          <w:color w:val="auto"/>
          <w:sz w:val="24"/>
        </w:rPr>
        <w:fldChar w:fldCharType="begin"/>
      </w:r>
      <w:r w:rsidRPr="00C046DB">
        <w:rPr>
          <w:i w:val="0"/>
          <w:color w:val="auto"/>
          <w:sz w:val="24"/>
        </w:rPr>
        <w:instrText xml:space="preserve"> SEQ Wykres \* ARABIC </w:instrText>
      </w:r>
      <w:r w:rsidRPr="00C046DB">
        <w:rPr>
          <w:i w:val="0"/>
          <w:color w:val="auto"/>
          <w:sz w:val="24"/>
        </w:rPr>
        <w:fldChar w:fldCharType="separate"/>
      </w:r>
      <w:r w:rsidRPr="00C046DB">
        <w:rPr>
          <w:i w:val="0"/>
          <w:noProof/>
          <w:color w:val="auto"/>
          <w:sz w:val="24"/>
        </w:rPr>
        <w:t>9</w:t>
      </w:r>
      <w:r w:rsidRPr="00C046DB">
        <w:rPr>
          <w:i w:val="0"/>
          <w:color w:val="auto"/>
          <w:sz w:val="24"/>
        </w:rPr>
        <w:fldChar w:fldCharType="end"/>
      </w:r>
      <w:r w:rsidRPr="00C046DB">
        <w:rPr>
          <w:i w:val="0"/>
          <w:color w:val="auto"/>
          <w:sz w:val="24"/>
        </w:rPr>
        <w:t>. Łączne zadłużenie gospodarstw domowych i przedsiębiorstw z tytułu kredytów w CHF w mld EUR w III kwartale 2014 r. w wybranych krajach Unii Europejskiej</w:t>
      </w:r>
      <w:r>
        <w:rPr>
          <w:rStyle w:val="Odwoanieprzypisudolnego"/>
          <w:i w:val="0"/>
          <w:color w:val="auto"/>
          <w:sz w:val="24"/>
        </w:rPr>
        <w:footnoteReference w:id="53"/>
      </w:r>
      <w:r w:rsidRPr="00C046DB">
        <w:rPr>
          <w:i w:val="0"/>
          <w:color w:val="auto"/>
          <w:sz w:val="24"/>
        </w:rPr>
        <w:t>.</w:t>
      </w:r>
      <w:bookmarkEnd w:id="24"/>
    </w:p>
    <w:p w14:paraId="70E0A527" w14:textId="5F2B5729" w:rsidR="00352C48" w:rsidRDefault="00352C48" w:rsidP="00E756BE">
      <w:pPr>
        <w:pStyle w:val="Default"/>
        <w:keepNext/>
        <w:spacing w:line="360" w:lineRule="auto"/>
        <w:jc w:val="both"/>
        <w:rPr>
          <w:rFonts w:ascii="Times New Roman" w:hAnsi="Times New Roman" w:cs="Times New Roman"/>
        </w:rPr>
      </w:pPr>
      <w:r>
        <w:rPr>
          <w:noProof/>
          <w:lang w:eastAsia="pl-PL"/>
        </w:rPr>
        <w:drawing>
          <wp:inline distT="0" distB="0" distL="0" distR="0" wp14:anchorId="75D2E694" wp14:editId="0EAB69B6">
            <wp:extent cx="5762625" cy="3676650"/>
            <wp:effectExtent l="0" t="0" r="9525" b="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6B7C280" w14:textId="62F5D6E9" w:rsidR="008446EA" w:rsidRPr="00352C48" w:rsidRDefault="008446EA" w:rsidP="00D80D68">
      <w:pPr>
        <w:pStyle w:val="Default"/>
        <w:spacing w:line="360" w:lineRule="auto"/>
        <w:jc w:val="both"/>
        <w:rPr>
          <w:rFonts w:ascii="Times New Roman" w:hAnsi="Times New Roman" w:cs="Times New Roman"/>
        </w:rPr>
      </w:pPr>
      <w:r>
        <w:rPr>
          <w:rFonts w:ascii="Times New Roman" w:hAnsi="Times New Roman" w:cs="Times New Roman"/>
        </w:rPr>
        <w:t xml:space="preserve">Źródło: </w:t>
      </w:r>
      <w:r w:rsidR="0054065E">
        <w:rPr>
          <w:rFonts w:ascii="Times New Roman" w:hAnsi="Times New Roman" w:cs="Times New Roman"/>
        </w:rPr>
        <w:t>Opracowanie własne na podstawie raportu witryny Bankier.pl</w:t>
      </w:r>
      <w:r w:rsidR="0054065E">
        <w:rPr>
          <w:rStyle w:val="Odwoanieprzypisudolnego"/>
          <w:rFonts w:ascii="Times New Roman" w:hAnsi="Times New Roman" w:cs="Times New Roman"/>
        </w:rPr>
        <w:footnoteReference w:id="54"/>
      </w:r>
      <w:r w:rsidR="0054065E">
        <w:rPr>
          <w:rFonts w:ascii="Times New Roman" w:hAnsi="Times New Roman" w:cs="Times New Roman"/>
        </w:rPr>
        <w:t>.</w:t>
      </w:r>
    </w:p>
    <w:p w14:paraId="5226B8BC" w14:textId="277A90FB" w:rsidR="00595784" w:rsidRDefault="003F47AA" w:rsidP="00D80D68">
      <w:pPr>
        <w:pStyle w:val="Default"/>
        <w:spacing w:line="360" w:lineRule="auto"/>
        <w:ind w:firstLine="708"/>
        <w:jc w:val="both"/>
        <w:rPr>
          <w:rFonts w:ascii="Times New Roman" w:hAnsi="Times New Roman" w:cs="Times New Roman"/>
        </w:rPr>
      </w:pPr>
      <w:r>
        <w:rPr>
          <w:rFonts w:ascii="Times New Roman" w:hAnsi="Times New Roman" w:cs="Times New Roman"/>
        </w:rPr>
        <w:lastRenderedPageBreak/>
        <w:t xml:space="preserve">Na wykresie </w:t>
      </w:r>
      <w:r w:rsidR="007E01F1">
        <w:rPr>
          <w:rFonts w:ascii="Times New Roman" w:hAnsi="Times New Roman" w:cs="Times New Roman"/>
        </w:rPr>
        <w:t>9</w:t>
      </w:r>
      <w:r>
        <w:rPr>
          <w:rFonts w:ascii="Times New Roman" w:hAnsi="Times New Roman" w:cs="Times New Roman"/>
        </w:rPr>
        <w:t xml:space="preserve"> zobrazowano łączną wartość zadłużenia z tytułu kredytów w CHF i wartość tego zadłużenia jako procent krajowego PKB. </w:t>
      </w:r>
      <w:r w:rsidR="002B5F17">
        <w:rPr>
          <w:rFonts w:ascii="Times New Roman" w:hAnsi="Times New Roman" w:cs="Times New Roman"/>
        </w:rPr>
        <w:t xml:space="preserve">Poza Polską </w:t>
      </w:r>
      <w:r w:rsidR="00552BD0">
        <w:rPr>
          <w:rFonts w:ascii="Times New Roman" w:hAnsi="Times New Roman" w:cs="Times New Roman"/>
        </w:rPr>
        <w:t>t</w:t>
      </w:r>
      <w:r>
        <w:rPr>
          <w:rFonts w:ascii="Times New Roman" w:hAnsi="Times New Roman" w:cs="Times New Roman"/>
        </w:rPr>
        <w:t>aki sposób finansowania był</w:t>
      </w:r>
      <w:r w:rsidR="0068641E">
        <w:rPr>
          <w:rFonts w:ascii="Times New Roman" w:hAnsi="Times New Roman" w:cs="Times New Roman"/>
        </w:rPr>
        <w:t xml:space="preserve"> szczególnie</w:t>
      </w:r>
      <w:r>
        <w:rPr>
          <w:rFonts w:ascii="Times New Roman" w:hAnsi="Times New Roman" w:cs="Times New Roman"/>
        </w:rPr>
        <w:t xml:space="preserve"> popularny także na Węgrzech (12,2% wartości krajowego PKB), w Austrii (11,6%) i Chorwacji (8,8%). </w:t>
      </w:r>
      <w:r w:rsidR="00B772AB">
        <w:rPr>
          <w:rFonts w:ascii="Times New Roman" w:hAnsi="Times New Roman" w:cs="Times New Roman"/>
        </w:rPr>
        <w:t xml:space="preserve">W tych państwach skala zadłużenia w CHF jest </w:t>
      </w:r>
      <w:r w:rsidR="000F06B9">
        <w:rPr>
          <w:rFonts w:ascii="Times New Roman" w:hAnsi="Times New Roman" w:cs="Times New Roman"/>
        </w:rPr>
        <w:t>jeszcze większa niż w Pol</w:t>
      </w:r>
      <w:r w:rsidR="00511711">
        <w:rPr>
          <w:rFonts w:ascii="Times New Roman" w:hAnsi="Times New Roman" w:cs="Times New Roman"/>
        </w:rPr>
        <w:t>sce, gdzie stosunek zadłużenia w CHF do PKB wynosił 8,2%</w:t>
      </w:r>
      <w:r w:rsidR="000F06B9">
        <w:rPr>
          <w:rFonts w:ascii="Times New Roman" w:hAnsi="Times New Roman" w:cs="Times New Roman"/>
        </w:rPr>
        <w:t>.</w:t>
      </w:r>
      <w:r w:rsidR="000771F4">
        <w:rPr>
          <w:rFonts w:ascii="Times New Roman" w:hAnsi="Times New Roman" w:cs="Times New Roman"/>
        </w:rPr>
        <w:t xml:space="preserve"> Dodatkowo, wszystkie wymienione kr</w:t>
      </w:r>
      <w:r w:rsidR="00595784">
        <w:rPr>
          <w:rFonts w:ascii="Times New Roman" w:hAnsi="Times New Roman" w:cs="Times New Roman"/>
        </w:rPr>
        <w:t>aje charakteryzowały się większym poziomem obciążenia nieruchomości kredytami hipotecznymi</w:t>
      </w:r>
      <w:r w:rsidR="00EF3ABD">
        <w:rPr>
          <w:rFonts w:ascii="Times New Roman" w:hAnsi="Times New Roman" w:cs="Times New Roman"/>
        </w:rPr>
        <w:t>, niż Polska</w:t>
      </w:r>
      <w:r w:rsidR="00595784">
        <w:rPr>
          <w:rFonts w:ascii="Times New Roman" w:hAnsi="Times New Roman" w:cs="Times New Roman"/>
        </w:rPr>
        <w:t xml:space="preserve">. Wskazuje to, że problem zadłużenia gospodarstw domowych z tytułu dewizowych kredytów hipotecznych </w:t>
      </w:r>
      <w:r w:rsidR="00303B7E">
        <w:rPr>
          <w:rFonts w:ascii="Times New Roman" w:hAnsi="Times New Roman" w:cs="Times New Roman"/>
        </w:rPr>
        <w:t xml:space="preserve">w tych państwach </w:t>
      </w:r>
      <w:r w:rsidR="00595784">
        <w:rPr>
          <w:rFonts w:ascii="Times New Roman" w:hAnsi="Times New Roman" w:cs="Times New Roman"/>
        </w:rPr>
        <w:t>może być bardziej dotkliwy, niż ma to miejsce w Polsce.</w:t>
      </w:r>
    </w:p>
    <w:p w14:paraId="73B977F2" w14:textId="772874D7" w:rsidR="006458C6" w:rsidRDefault="000F06B9" w:rsidP="00D80D68">
      <w:pPr>
        <w:pStyle w:val="Default"/>
        <w:spacing w:line="360" w:lineRule="auto"/>
        <w:ind w:firstLine="708"/>
        <w:jc w:val="both"/>
        <w:rPr>
          <w:rFonts w:ascii="Times New Roman" w:hAnsi="Times New Roman" w:cs="Times New Roman"/>
        </w:rPr>
      </w:pPr>
      <w:r>
        <w:rPr>
          <w:rFonts w:ascii="Times New Roman" w:hAnsi="Times New Roman" w:cs="Times New Roman"/>
        </w:rPr>
        <w:t xml:space="preserve"> </w:t>
      </w:r>
      <w:r w:rsidR="0011793E">
        <w:rPr>
          <w:rFonts w:ascii="Times New Roman" w:hAnsi="Times New Roman" w:cs="Times New Roman"/>
        </w:rPr>
        <w:t xml:space="preserve">Geneza stosunkowo wysokiej wartości zadłużenia z tytułu kredytów hipotecznych w CHF </w:t>
      </w:r>
      <w:r w:rsidR="00F45624">
        <w:rPr>
          <w:rFonts w:ascii="Times New Roman" w:hAnsi="Times New Roman" w:cs="Times New Roman"/>
        </w:rPr>
        <w:t xml:space="preserve">w tych państwach wydaje się być analogiczna do tej w Polsce. </w:t>
      </w:r>
      <w:r w:rsidR="00F047B4">
        <w:rPr>
          <w:rFonts w:ascii="Times New Roman" w:hAnsi="Times New Roman" w:cs="Times New Roman"/>
        </w:rPr>
        <w:t>N</w:t>
      </w:r>
      <w:r w:rsidR="002B50F4">
        <w:rPr>
          <w:rFonts w:ascii="Times New Roman" w:hAnsi="Times New Roman" w:cs="Times New Roman"/>
        </w:rPr>
        <w:t xml:space="preserve">ajważniejszymi powodami były </w:t>
      </w:r>
      <w:r w:rsidR="0011793E">
        <w:rPr>
          <w:rFonts w:ascii="Times New Roman" w:hAnsi="Times New Roman" w:cs="Times New Roman"/>
        </w:rPr>
        <w:t>korzyst</w:t>
      </w:r>
      <w:r w:rsidR="002B50F4">
        <w:rPr>
          <w:rFonts w:ascii="Times New Roman" w:hAnsi="Times New Roman" w:cs="Times New Roman"/>
        </w:rPr>
        <w:t>ne</w:t>
      </w:r>
      <w:r w:rsidR="0011793E">
        <w:rPr>
          <w:rFonts w:ascii="Times New Roman" w:hAnsi="Times New Roman" w:cs="Times New Roman"/>
        </w:rPr>
        <w:t xml:space="preserve"> kur</w:t>
      </w:r>
      <w:r w:rsidR="002B50F4">
        <w:rPr>
          <w:rFonts w:ascii="Times New Roman" w:hAnsi="Times New Roman" w:cs="Times New Roman"/>
        </w:rPr>
        <w:t>sy walut</w:t>
      </w:r>
      <w:r w:rsidR="0011793E">
        <w:rPr>
          <w:rFonts w:ascii="Times New Roman" w:hAnsi="Times New Roman" w:cs="Times New Roman"/>
        </w:rPr>
        <w:t xml:space="preserve"> krajowych do CHF i stosunkowo ni</w:t>
      </w:r>
      <w:r w:rsidR="00441B29">
        <w:rPr>
          <w:rFonts w:ascii="Times New Roman" w:hAnsi="Times New Roman" w:cs="Times New Roman"/>
        </w:rPr>
        <w:t>skie sto</w:t>
      </w:r>
      <w:r w:rsidR="0011793E">
        <w:rPr>
          <w:rFonts w:ascii="Times New Roman" w:hAnsi="Times New Roman" w:cs="Times New Roman"/>
        </w:rPr>
        <w:t>p</w:t>
      </w:r>
      <w:r w:rsidR="00441B29">
        <w:rPr>
          <w:rFonts w:ascii="Times New Roman" w:hAnsi="Times New Roman" w:cs="Times New Roman"/>
        </w:rPr>
        <w:t>y</w:t>
      </w:r>
      <w:r w:rsidR="0011793E">
        <w:rPr>
          <w:rFonts w:ascii="Times New Roman" w:hAnsi="Times New Roman" w:cs="Times New Roman"/>
        </w:rPr>
        <w:t xml:space="preserve"> procento</w:t>
      </w:r>
      <w:r w:rsidR="00C65B66">
        <w:rPr>
          <w:rFonts w:ascii="Times New Roman" w:hAnsi="Times New Roman" w:cs="Times New Roman"/>
        </w:rPr>
        <w:t>we</w:t>
      </w:r>
      <w:r w:rsidR="0011793E">
        <w:rPr>
          <w:rFonts w:ascii="Times New Roman" w:hAnsi="Times New Roman" w:cs="Times New Roman"/>
        </w:rPr>
        <w:t xml:space="preserve"> w CHF. </w:t>
      </w:r>
      <w:r w:rsidR="006458C6">
        <w:rPr>
          <w:rFonts w:ascii="Times New Roman" w:hAnsi="Times New Roman" w:cs="Times New Roman"/>
        </w:rPr>
        <w:t>Choć przyczyny zadłużenia wyżej wymienionych państw są bardzo podobne, to sposoby rozwiązania tego problemu różniły się w zależności od państwa.</w:t>
      </w:r>
    </w:p>
    <w:p w14:paraId="43A52EAD" w14:textId="77777777" w:rsidR="003352CE" w:rsidRDefault="003352CE" w:rsidP="00D80D68">
      <w:pPr>
        <w:pStyle w:val="Default"/>
        <w:spacing w:line="360" w:lineRule="auto"/>
        <w:ind w:firstLine="708"/>
        <w:jc w:val="both"/>
        <w:rPr>
          <w:rFonts w:ascii="Times New Roman" w:hAnsi="Times New Roman" w:cs="Times New Roman"/>
        </w:rPr>
      </w:pPr>
    </w:p>
    <w:p w14:paraId="7C4D13A5" w14:textId="09C962EC" w:rsidR="003352CE" w:rsidRPr="003352CE" w:rsidRDefault="003352CE" w:rsidP="00D80D68">
      <w:pPr>
        <w:pStyle w:val="Nagwek2"/>
        <w:spacing w:line="360" w:lineRule="auto"/>
        <w:jc w:val="both"/>
      </w:pPr>
      <w:bookmarkStart w:id="25" w:name="_Toc513545754"/>
      <w:r w:rsidRPr="003352CE">
        <w:t>III.2 Rozwiązania zastosowane w Hiszpanii i ich wpływ na działanie sektora bankowego i sytuację kredytobiorców</w:t>
      </w:r>
      <w:r w:rsidR="00A24377">
        <w:t>.</w:t>
      </w:r>
      <w:bookmarkEnd w:id="25"/>
    </w:p>
    <w:p w14:paraId="51FFCB40" w14:textId="250CA124" w:rsidR="002A6324" w:rsidRPr="002937DF" w:rsidRDefault="008408A9" w:rsidP="00D80D68">
      <w:pPr>
        <w:pStyle w:val="Default"/>
        <w:spacing w:line="360" w:lineRule="auto"/>
        <w:jc w:val="both"/>
        <w:rPr>
          <w:rFonts w:ascii="Times New Roman" w:hAnsi="Times New Roman" w:cs="Times New Roman"/>
          <w:b/>
        </w:rPr>
      </w:pPr>
      <w:r>
        <w:rPr>
          <w:rFonts w:ascii="Times New Roman" w:hAnsi="Times New Roman" w:cs="Times New Roman"/>
        </w:rPr>
        <w:tab/>
        <w:t xml:space="preserve">Jednym z państw, gdzie na dużą skalę udzielano kredytów </w:t>
      </w:r>
      <w:r w:rsidR="00995000">
        <w:rPr>
          <w:rFonts w:ascii="Times New Roman" w:hAnsi="Times New Roman" w:cs="Times New Roman"/>
        </w:rPr>
        <w:t xml:space="preserve">hipotecznych </w:t>
      </w:r>
      <w:r>
        <w:rPr>
          <w:rFonts w:ascii="Times New Roman" w:hAnsi="Times New Roman" w:cs="Times New Roman"/>
        </w:rPr>
        <w:t>w walutach obcych</w:t>
      </w:r>
      <w:r w:rsidR="00337176">
        <w:rPr>
          <w:rFonts w:ascii="Times New Roman" w:hAnsi="Times New Roman" w:cs="Times New Roman"/>
        </w:rPr>
        <w:t>,</w:t>
      </w:r>
      <w:r>
        <w:rPr>
          <w:rFonts w:ascii="Times New Roman" w:hAnsi="Times New Roman" w:cs="Times New Roman"/>
        </w:rPr>
        <w:t xml:space="preserve"> była Hiszpania.</w:t>
      </w:r>
      <w:r w:rsidR="0089493F">
        <w:rPr>
          <w:rFonts w:ascii="Times New Roman" w:hAnsi="Times New Roman" w:cs="Times New Roman"/>
        </w:rPr>
        <w:t xml:space="preserve"> </w:t>
      </w:r>
      <w:r w:rsidR="00995000">
        <w:rPr>
          <w:rFonts w:ascii="Times New Roman" w:hAnsi="Times New Roman" w:cs="Times New Roman"/>
        </w:rPr>
        <w:t>Najbardziej</w:t>
      </w:r>
      <w:r w:rsidR="0089493F">
        <w:rPr>
          <w:rFonts w:ascii="Times New Roman" w:hAnsi="Times New Roman" w:cs="Times New Roman"/>
        </w:rPr>
        <w:t xml:space="preserve"> popularne były kredyty indeksowane do </w:t>
      </w:r>
      <w:r w:rsidR="00935CBF">
        <w:rPr>
          <w:rFonts w:ascii="Times New Roman" w:hAnsi="Times New Roman" w:cs="Times New Roman"/>
        </w:rPr>
        <w:t>JPY</w:t>
      </w:r>
      <w:r w:rsidR="0089493F">
        <w:rPr>
          <w:rFonts w:ascii="Times New Roman" w:hAnsi="Times New Roman" w:cs="Times New Roman"/>
        </w:rPr>
        <w:t xml:space="preserve"> i </w:t>
      </w:r>
      <w:r w:rsidR="00935CBF">
        <w:rPr>
          <w:rFonts w:ascii="Times New Roman" w:hAnsi="Times New Roman" w:cs="Times New Roman"/>
        </w:rPr>
        <w:t>CHF</w:t>
      </w:r>
      <w:r w:rsidR="003361B8">
        <w:rPr>
          <w:rFonts w:ascii="Times New Roman" w:hAnsi="Times New Roman" w:cs="Times New Roman"/>
        </w:rPr>
        <w:t xml:space="preserve">. W 2016 r. łączna liczba dłużników spłacających kredyty w walutach obcych wynosiła w tym państwie </w:t>
      </w:r>
      <w:r w:rsidR="007E4B91">
        <w:rPr>
          <w:rFonts w:ascii="Times New Roman" w:hAnsi="Times New Roman" w:cs="Times New Roman"/>
        </w:rPr>
        <w:t>niecałe 7</w:t>
      </w:r>
      <w:r w:rsidR="003361B8">
        <w:rPr>
          <w:rFonts w:ascii="Times New Roman" w:hAnsi="Times New Roman" w:cs="Times New Roman"/>
        </w:rPr>
        <w:t>0 000 osób</w:t>
      </w:r>
      <w:r w:rsidR="002739CC">
        <w:rPr>
          <w:rStyle w:val="Odwoanieprzypisudolnego"/>
          <w:rFonts w:ascii="Times New Roman" w:hAnsi="Times New Roman" w:cs="Times New Roman"/>
        </w:rPr>
        <w:footnoteReference w:id="55"/>
      </w:r>
      <w:r w:rsidR="0089493F">
        <w:rPr>
          <w:rFonts w:ascii="Times New Roman" w:hAnsi="Times New Roman" w:cs="Times New Roman"/>
        </w:rPr>
        <w:t>.</w:t>
      </w:r>
      <w:r w:rsidR="003361B8">
        <w:rPr>
          <w:rFonts w:ascii="Times New Roman" w:hAnsi="Times New Roman" w:cs="Times New Roman"/>
        </w:rPr>
        <w:t xml:space="preserve"> </w:t>
      </w:r>
      <w:r w:rsidR="00F15A7F">
        <w:rPr>
          <w:rFonts w:ascii="Times New Roman" w:hAnsi="Times New Roman" w:cs="Times New Roman"/>
        </w:rPr>
        <w:t>Tak samo</w:t>
      </w:r>
      <w:r w:rsidR="001A1EF4">
        <w:rPr>
          <w:rFonts w:ascii="Times New Roman" w:hAnsi="Times New Roman" w:cs="Times New Roman"/>
        </w:rPr>
        <w:t xml:space="preserve"> jak w Polsce</w:t>
      </w:r>
      <w:r w:rsidR="00F15A7F">
        <w:rPr>
          <w:rFonts w:ascii="Times New Roman" w:hAnsi="Times New Roman" w:cs="Times New Roman"/>
        </w:rPr>
        <w:t>,</w:t>
      </w:r>
      <w:r w:rsidR="001A1EF4">
        <w:rPr>
          <w:rFonts w:ascii="Times New Roman" w:hAnsi="Times New Roman" w:cs="Times New Roman"/>
        </w:rPr>
        <w:t xml:space="preserve"> w</w:t>
      </w:r>
      <w:r w:rsidR="00835E40">
        <w:rPr>
          <w:rFonts w:ascii="Times New Roman" w:hAnsi="Times New Roman" w:cs="Times New Roman"/>
        </w:rPr>
        <w:t xml:space="preserve"> Hiszpanii szczyt popularności kredytów dewizowych przypadł na</w:t>
      </w:r>
      <w:r w:rsidR="00935CBF">
        <w:rPr>
          <w:rFonts w:ascii="Times New Roman" w:hAnsi="Times New Roman" w:cs="Times New Roman"/>
        </w:rPr>
        <w:t xml:space="preserve"> okres bardzo dobrej koni</w:t>
      </w:r>
      <w:r w:rsidR="004D07E2">
        <w:rPr>
          <w:rFonts w:ascii="Times New Roman" w:hAnsi="Times New Roman" w:cs="Times New Roman"/>
        </w:rPr>
        <w:t>unktury na rynku nieruchomości przed 2008r. Głównym powodem popularności takiego rozwiązania była</w:t>
      </w:r>
      <w:r w:rsidR="00EA2C60">
        <w:rPr>
          <w:rFonts w:ascii="Times New Roman" w:hAnsi="Times New Roman" w:cs="Times New Roman"/>
        </w:rPr>
        <w:t xml:space="preserve"> możliwo</w:t>
      </w:r>
      <w:r w:rsidR="004D07E2">
        <w:rPr>
          <w:rFonts w:ascii="Times New Roman" w:hAnsi="Times New Roman" w:cs="Times New Roman"/>
        </w:rPr>
        <w:t>ść</w:t>
      </w:r>
      <w:r w:rsidR="00EA2C60">
        <w:rPr>
          <w:rFonts w:ascii="Times New Roman" w:hAnsi="Times New Roman" w:cs="Times New Roman"/>
        </w:rPr>
        <w:t xml:space="preserve"> skorzystania z</w:t>
      </w:r>
      <w:r w:rsidR="00835E40">
        <w:rPr>
          <w:rFonts w:ascii="Times New Roman" w:hAnsi="Times New Roman" w:cs="Times New Roman"/>
        </w:rPr>
        <w:t xml:space="preserve"> niższych stóp oprocentowania kredytów </w:t>
      </w:r>
      <w:r w:rsidR="00935CBF">
        <w:rPr>
          <w:rFonts w:ascii="Times New Roman" w:hAnsi="Times New Roman" w:cs="Times New Roman"/>
        </w:rPr>
        <w:t>w walutach obcych.</w:t>
      </w:r>
      <w:r w:rsidR="00835E40" w:rsidRPr="002937DF">
        <w:rPr>
          <w:rFonts w:ascii="Times New Roman" w:hAnsi="Times New Roman" w:cs="Times New Roman"/>
          <w:b/>
        </w:rPr>
        <w:t xml:space="preserve"> </w:t>
      </w:r>
    </w:p>
    <w:p w14:paraId="7FBF0771" w14:textId="2FA860E5" w:rsidR="00336593" w:rsidRDefault="00336593" w:rsidP="00D80D68">
      <w:pPr>
        <w:pStyle w:val="Default"/>
        <w:spacing w:line="360" w:lineRule="auto"/>
        <w:jc w:val="both"/>
        <w:rPr>
          <w:rFonts w:ascii="Times New Roman" w:hAnsi="Times New Roman" w:cs="Times New Roman"/>
        </w:rPr>
      </w:pPr>
      <w:r>
        <w:rPr>
          <w:rFonts w:ascii="Times New Roman" w:hAnsi="Times New Roman" w:cs="Times New Roman"/>
        </w:rPr>
        <w:tab/>
        <w:t>Hiszpańskie kredyty hipoteczne w walutach obcych różniły się</w:t>
      </w:r>
      <w:r w:rsidR="00343F73">
        <w:rPr>
          <w:rFonts w:ascii="Times New Roman" w:hAnsi="Times New Roman" w:cs="Times New Roman"/>
        </w:rPr>
        <w:t xml:space="preserve"> jednak</w:t>
      </w:r>
      <w:r>
        <w:rPr>
          <w:rFonts w:ascii="Times New Roman" w:hAnsi="Times New Roman" w:cs="Times New Roman"/>
        </w:rPr>
        <w:t xml:space="preserve"> od polskich odpowiedników. </w:t>
      </w:r>
      <w:r w:rsidR="00830B75">
        <w:rPr>
          <w:rFonts w:ascii="Times New Roman" w:hAnsi="Times New Roman" w:cs="Times New Roman"/>
        </w:rPr>
        <w:t>Często banki udzielały kredytów wielowalutowych</w:t>
      </w:r>
      <w:r w:rsidR="00BD6240">
        <w:rPr>
          <w:rFonts w:ascii="Times New Roman" w:hAnsi="Times New Roman" w:cs="Times New Roman"/>
        </w:rPr>
        <w:t xml:space="preserve">. Oznaczało to, że klient zaciągał jeden kredyt, na który składały się dwie lub więcej walut. Kredyty wielowalutowe </w:t>
      </w:r>
      <w:r w:rsidR="00830B75">
        <w:rPr>
          <w:rFonts w:ascii="Times New Roman" w:hAnsi="Times New Roman" w:cs="Times New Roman"/>
        </w:rPr>
        <w:t>składały się z krajowej waluty (euro) oraz walut</w:t>
      </w:r>
      <w:r w:rsidR="007E4B91">
        <w:rPr>
          <w:rFonts w:ascii="Times New Roman" w:hAnsi="Times New Roman" w:cs="Times New Roman"/>
        </w:rPr>
        <w:t>y zagranicznej, która była znacznie niżej oprocentowana</w:t>
      </w:r>
      <w:r w:rsidR="00830B75">
        <w:rPr>
          <w:rFonts w:ascii="Times New Roman" w:hAnsi="Times New Roman" w:cs="Times New Roman"/>
        </w:rPr>
        <w:t xml:space="preserve">, a </w:t>
      </w:r>
      <w:r w:rsidR="007E4B91">
        <w:rPr>
          <w:rFonts w:ascii="Times New Roman" w:hAnsi="Times New Roman" w:cs="Times New Roman"/>
        </w:rPr>
        <w:t xml:space="preserve">jej </w:t>
      </w:r>
      <w:r w:rsidR="00830B75">
        <w:rPr>
          <w:rFonts w:ascii="Times New Roman" w:hAnsi="Times New Roman" w:cs="Times New Roman"/>
        </w:rPr>
        <w:t>kurs był stosunkowo stabilny (najczęściej ofer</w:t>
      </w:r>
      <w:r w:rsidR="007E4B91">
        <w:rPr>
          <w:rFonts w:ascii="Times New Roman" w:hAnsi="Times New Roman" w:cs="Times New Roman"/>
        </w:rPr>
        <w:t>owano połączenie</w:t>
      </w:r>
      <w:r w:rsidR="006A0CD5">
        <w:rPr>
          <w:rFonts w:ascii="Times New Roman" w:hAnsi="Times New Roman" w:cs="Times New Roman"/>
        </w:rPr>
        <w:t xml:space="preserve"> euro z</w:t>
      </w:r>
      <w:r w:rsidR="007E4B91">
        <w:rPr>
          <w:rFonts w:ascii="Times New Roman" w:hAnsi="Times New Roman" w:cs="Times New Roman"/>
        </w:rPr>
        <w:t xml:space="preserve"> jen</w:t>
      </w:r>
      <w:r w:rsidR="006A0CD5">
        <w:rPr>
          <w:rFonts w:ascii="Times New Roman" w:hAnsi="Times New Roman" w:cs="Times New Roman"/>
        </w:rPr>
        <w:t>em</w:t>
      </w:r>
      <w:r w:rsidR="007E4B91">
        <w:rPr>
          <w:rFonts w:ascii="Times New Roman" w:hAnsi="Times New Roman" w:cs="Times New Roman"/>
        </w:rPr>
        <w:t xml:space="preserve"> japoński</w:t>
      </w:r>
      <w:r w:rsidR="006A0CD5">
        <w:rPr>
          <w:rFonts w:ascii="Times New Roman" w:hAnsi="Times New Roman" w:cs="Times New Roman"/>
        </w:rPr>
        <w:t>m</w:t>
      </w:r>
      <w:r w:rsidR="007E4B91">
        <w:rPr>
          <w:rFonts w:ascii="Times New Roman" w:hAnsi="Times New Roman" w:cs="Times New Roman"/>
        </w:rPr>
        <w:t>, lub frank</w:t>
      </w:r>
      <w:r w:rsidR="006A0CD5">
        <w:rPr>
          <w:rFonts w:ascii="Times New Roman" w:hAnsi="Times New Roman" w:cs="Times New Roman"/>
        </w:rPr>
        <w:t>iem</w:t>
      </w:r>
      <w:r w:rsidR="003669C7">
        <w:rPr>
          <w:rFonts w:ascii="Times New Roman" w:hAnsi="Times New Roman" w:cs="Times New Roman"/>
        </w:rPr>
        <w:t xml:space="preserve"> szwajcarsk</w:t>
      </w:r>
      <w:r w:rsidR="007E4B91">
        <w:rPr>
          <w:rFonts w:ascii="Times New Roman" w:hAnsi="Times New Roman" w:cs="Times New Roman"/>
        </w:rPr>
        <w:t>i</w:t>
      </w:r>
      <w:r w:rsidR="006A0CD5">
        <w:rPr>
          <w:rFonts w:ascii="Times New Roman" w:hAnsi="Times New Roman" w:cs="Times New Roman"/>
        </w:rPr>
        <w:t>m</w:t>
      </w:r>
      <w:r w:rsidR="007E4B91">
        <w:rPr>
          <w:rFonts w:ascii="Times New Roman" w:hAnsi="Times New Roman" w:cs="Times New Roman"/>
        </w:rPr>
        <w:t xml:space="preserve">, zdarzały się również kredyty składające się ze </w:t>
      </w:r>
      <w:r w:rsidR="007E4B91">
        <w:rPr>
          <w:rFonts w:ascii="Times New Roman" w:hAnsi="Times New Roman" w:cs="Times New Roman"/>
        </w:rPr>
        <w:lastRenderedPageBreak/>
        <w:t>wszystkich trzech walut</w:t>
      </w:r>
      <w:r w:rsidR="003669C7">
        <w:rPr>
          <w:rFonts w:ascii="Times New Roman" w:hAnsi="Times New Roman" w:cs="Times New Roman"/>
        </w:rPr>
        <w:t>). Kredytobiorcy chętnie korzystali z takiego rozwiązania, ponieważ pozwalało im ono zaciągnąć zobowiązania tańsze i na większy wolumen</w:t>
      </w:r>
      <w:r w:rsidR="007E4B91">
        <w:rPr>
          <w:rStyle w:val="Odwoanieprzypisudolnego"/>
          <w:rFonts w:ascii="Times New Roman" w:hAnsi="Times New Roman" w:cs="Times New Roman"/>
        </w:rPr>
        <w:footnoteReference w:id="56"/>
      </w:r>
      <w:r w:rsidR="003669C7">
        <w:rPr>
          <w:rFonts w:ascii="Times New Roman" w:hAnsi="Times New Roman" w:cs="Times New Roman"/>
        </w:rPr>
        <w:t>.</w:t>
      </w:r>
    </w:p>
    <w:p w14:paraId="5953C7DB" w14:textId="0FCB9338" w:rsidR="000D71E1" w:rsidRDefault="000D71E1" w:rsidP="00D80D68">
      <w:pPr>
        <w:pStyle w:val="Default"/>
        <w:spacing w:line="360" w:lineRule="auto"/>
        <w:jc w:val="both"/>
        <w:rPr>
          <w:rFonts w:ascii="Times New Roman" w:hAnsi="Times New Roman" w:cs="Times New Roman"/>
        </w:rPr>
      </w:pPr>
      <w:r>
        <w:rPr>
          <w:rFonts w:ascii="Times New Roman" w:hAnsi="Times New Roman" w:cs="Times New Roman"/>
        </w:rPr>
        <w:tab/>
        <w:t>Sytuacja wielu kredytobiorców posiadających kredyty wielowalutowe pogorszyła się znacząco po wybuchu kryzysu finansowego w 2008 r., którego skutkami był drastyczny wzrost bezrobocia w Hiszpanii (z 8,57% w czwartym kwartale 2007</w:t>
      </w:r>
      <w:r w:rsidR="00F25E72">
        <w:rPr>
          <w:rFonts w:ascii="Times New Roman" w:hAnsi="Times New Roman" w:cs="Times New Roman"/>
        </w:rPr>
        <w:t xml:space="preserve"> </w:t>
      </w:r>
      <w:r>
        <w:rPr>
          <w:rFonts w:ascii="Times New Roman" w:hAnsi="Times New Roman" w:cs="Times New Roman"/>
        </w:rPr>
        <w:t>r. do 26,94% w pierwszym kwartale 2013</w:t>
      </w:r>
      <w:r w:rsidR="00F25E72">
        <w:rPr>
          <w:rFonts w:ascii="Times New Roman" w:hAnsi="Times New Roman" w:cs="Times New Roman"/>
        </w:rPr>
        <w:t xml:space="preserve"> </w:t>
      </w:r>
      <w:r>
        <w:rPr>
          <w:rFonts w:ascii="Times New Roman" w:hAnsi="Times New Roman" w:cs="Times New Roman"/>
        </w:rPr>
        <w:t>r.</w:t>
      </w:r>
      <w:r w:rsidR="00992FA1">
        <w:rPr>
          <w:rStyle w:val="Odwoanieprzypisudolnego"/>
          <w:rFonts w:ascii="Times New Roman" w:hAnsi="Times New Roman" w:cs="Times New Roman"/>
        </w:rPr>
        <w:footnoteReference w:id="57"/>
      </w:r>
      <w:r w:rsidR="00992FA1">
        <w:rPr>
          <w:rFonts w:ascii="Times New Roman" w:hAnsi="Times New Roman" w:cs="Times New Roman"/>
        </w:rPr>
        <w:t xml:space="preserve">), wzrost stóp oprocentowania kredytów, </w:t>
      </w:r>
      <w:r w:rsidR="00D861B0">
        <w:rPr>
          <w:rFonts w:ascii="Times New Roman" w:hAnsi="Times New Roman" w:cs="Times New Roman"/>
        </w:rPr>
        <w:t xml:space="preserve">spadek cen nieruchomości i spadek kursów EUR/JPY i EUR/CHF. </w:t>
      </w:r>
      <w:r w:rsidR="00172D05">
        <w:rPr>
          <w:rFonts w:ascii="Times New Roman" w:hAnsi="Times New Roman" w:cs="Times New Roman"/>
        </w:rPr>
        <w:t xml:space="preserve">Takie okoliczności </w:t>
      </w:r>
      <w:r w:rsidR="008959D7">
        <w:rPr>
          <w:rFonts w:ascii="Times New Roman" w:hAnsi="Times New Roman" w:cs="Times New Roman"/>
        </w:rPr>
        <w:t>sprawiły, że wielu kredytobiorców nie było w stanie terminowo i w całości spłacać rat zobowiązań. Przez to decydowali się na pozwy indywidualne i zbiorowe przeciwko bankom</w:t>
      </w:r>
      <w:r w:rsidR="00803BA0">
        <w:rPr>
          <w:rFonts w:ascii="Times New Roman" w:hAnsi="Times New Roman" w:cs="Times New Roman"/>
        </w:rPr>
        <w:t xml:space="preserve"> licząc na to, że wyroki sądów potwierdzą abuzywność kredytów wielowalutowych, przez co możliwe stanie się </w:t>
      </w:r>
      <w:r w:rsidR="008959D7">
        <w:rPr>
          <w:rFonts w:ascii="Times New Roman" w:hAnsi="Times New Roman" w:cs="Times New Roman"/>
        </w:rPr>
        <w:t>unieważni</w:t>
      </w:r>
      <w:r w:rsidR="00A44989">
        <w:rPr>
          <w:rFonts w:ascii="Times New Roman" w:hAnsi="Times New Roman" w:cs="Times New Roman"/>
        </w:rPr>
        <w:t>enie</w:t>
      </w:r>
      <w:r w:rsidR="008959D7">
        <w:rPr>
          <w:rFonts w:ascii="Times New Roman" w:hAnsi="Times New Roman" w:cs="Times New Roman"/>
        </w:rPr>
        <w:t xml:space="preserve"> obsługiwa</w:t>
      </w:r>
      <w:r w:rsidR="00803BA0">
        <w:rPr>
          <w:rFonts w:ascii="Times New Roman" w:hAnsi="Times New Roman" w:cs="Times New Roman"/>
        </w:rPr>
        <w:t>nych</w:t>
      </w:r>
      <w:r w:rsidR="008959D7">
        <w:rPr>
          <w:rFonts w:ascii="Times New Roman" w:hAnsi="Times New Roman" w:cs="Times New Roman"/>
        </w:rPr>
        <w:t xml:space="preserve"> zobowiąza</w:t>
      </w:r>
      <w:r w:rsidR="00803BA0">
        <w:rPr>
          <w:rFonts w:ascii="Times New Roman" w:hAnsi="Times New Roman" w:cs="Times New Roman"/>
        </w:rPr>
        <w:t>ń.</w:t>
      </w:r>
    </w:p>
    <w:p w14:paraId="6031846A" w14:textId="1CE1E212" w:rsidR="00D713ED" w:rsidRDefault="00551EF6" w:rsidP="00D80D68">
      <w:pPr>
        <w:pStyle w:val="Default"/>
        <w:spacing w:line="360" w:lineRule="auto"/>
        <w:jc w:val="both"/>
        <w:rPr>
          <w:rFonts w:ascii="Times New Roman" w:hAnsi="Times New Roman" w:cs="Times New Roman"/>
        </w:rPr>
      </w:pPr>
      <w:r>
        <w:rPr>
          <w:rFonts w:ascii="Times New Roman" w:hAnsi="Times New Roman" w:cs="Times New Roman"/>
        </w:rPr>
        <w:tab/>
      </w:r>
      <w:r w:rsidR="006C6C1F">
        <w:rPr>
          <w:rFonts w:ascii="Times New Roman" w:hAnsi="Times New Roman" w:cs="Times New Roman"/>
        </w:rPr>
        <w:t>Trybunał</w:t>
      </w:r>
      <w:r>
        <w:rPr>
          <w:rFonts w:ascii="Times New Roman" w:hAnsi="Times New Roman" w:cs="Times New Roman"/>
        </w:rPr>
        <w:t xml:space="preserve"> Sprawiedliwości </w:t>
      </w:r>
      <w:r w:rsidR="006C6C1F">
        <w:rPr>
          <w:rFonts w:ascii="Times New Roman" w:hAnsi="Times New Roman" w:cs="Times New Roman"/>
        </w:rPr>
        <w:t xml:space="preserve">Unii Europejskiej </w:t>
      </w:r>
      <w:r w:rsidR="00072355">
        <w:rPr>
          <w:rFonts w:ascii="Times New Roman" w:hAnsi="Times New Roman" w:cs="Times New Roman"/>
        </w:rPr>
        <w:t xml:space="preserve">dnia </w:t>
      </w:r>
      <w:r w:rsidR="005D6B6B">
        <w:rPr>
          <w:rFonts w:ascii="Times New Roman" w:hAnsi="Times New Roman" w:cs="Times New Roman"/>
        </w:rPr>
        <w:t>20.09.2017</w:t>
      </w:r>
      <w:r w:rsidR="00EA1BA1">
        <w:rPr>
          <w:rFonts w:ascii="Times New Roman" w:hAnsi="Times New Roman" w:cs="Times New Roman"/>
        </w:rPr>
        <w:t xml:space="preserve"> </w:t>
      </w:r>
      <w:r w:rsidR="00725C43">
        <w:rPr>
          <w:rFonts w:ascii="Times New Roman" w:hAnsi="Times New Roman" w:cs="Times New Roman"/>
        </w:rPr>
        <w:t>r</w:t>
      </w:r>
      <w:r w:rsidR="007C175D">
        <w:rPr>
          <w:rFonts w:ascii="Times New Roman" w:hAnsi="Times New Roman" w:cs="Times New Roman"/>
        </w:rPr>
        <w:t>.</w:t>
      </w:r>
      <w:r w:rsidR="00114817">
        <w:rPr>
          <w:rFonts w:ascii="Times New Roman" w:hAnsi="Times New Roman" w:cs="Times New Roman"/>
        </w:rPr>
        <w:t xml:space="preserve"> orzekł</w:t>
      </w:r>
      <w:r>
        <w:rPr>
          <w:rFonts w:ascii="Times New Roman" w:hAnsi="Times New Roman" w:cs="Times New Roman"/>
        </w:rPr>
        <w:t xml:space="preserve">, że kredyty </w:t>
      </w:r>
      <w:r w:rsidR="006C6C1F">
        <w:rPr>
          <w:rFonts w:ascii="Times New Roman" w:hAnsi="Times New Roman" w:cs="Times New Roman"/>
        </w:rPr>
        <w:t xml:space="preserve">wielowalutowe powinny zostać uznane za abuzywne, jeżeli kredytobiorcy nie zostali wcześniej właściwie poinformowani o zagrożeniach związanych z </w:t>
      </w:r>
      <w:r w:rsidR="00B41538">
        <w:rPr>
          <w:rFonts w:ascii="Times New Roman" w:hAnsi="Times New Roman" w:cs="Times New Roman"/>
        </w:rPr>
        <w:t xml:space="preserve">kredytem wielowalutowym </w:t>
      </w:r>
      <w:r w:rsidR="00C6714C">
        <w:rPr>
          <w:rFonts w:ascii="Times New Roman" w:hAnsi="Times New Roman" w:cs="Times New Roman"/>
        </w:rPr>
        <w:t>i</w:t>
      </w:r>
      <w:r w:rsidR="00B41538">
        <w:rPr>
          <w:rFonts w:ascii="Times New Roman" w:hAnsi="Times New Roman" w:cs="Times New Roman"/>
        </w:rPr>
        <w:t xml:space="preserve"> </w:t>
      </w:r>
      <w:r w:rsidR="00C6714C">
        <w:rPr>
          <w:rFonts w:ascii="Times New Roman" w:hAnsi="Times New Roman" w:cs="Times New Roman"/>
        </w:rPr>
        <w:t>ekonomicz</w:t>
      </w:r>
      <w:r w:rsidR="00B41538">
        <w:rPr>
          <w:rFonts w:ascii="Times New Roman" w:hAnsi="Times New Roman" w:cs="Times New Roman"/>
        </w:rPr>
        <w:t>nych</w:t>
      </w:r>
      <w:r w:rsidR="00C6714C">
        <w:rPr>
          <w:rFonts w:ascii="Times New Roman" w:hAnsi="Times New Roman" w:cs="Times New Roman"/>
        </w:rPr>
        <w:t xml:space="preserve"> konsekwen</w:t>
      </w:r>
      <w:r w:rsidR="00B41538">
        <w:rPr>
          <w:rFonts w:ascii="Times New Roman" w:hAnsi="Times New Roman" w:cs="Times New Roman"/>
        </w:rPr>
        <w:t>cjach</w:t>
      </w:r>
      <w:r w:rsidR="00C6714C">
        <w:rPr>
          <w:rFonts w:ascii="Times New Roman" w:hAnsi="Times New Roman" w:cs="Times New Roman"/>
        </w:rPr>
        <w:t xml:space="preserve"> tych zagrożeń. </w:t>
      </w:r>
      <w:r w:rsidR="00D713ED">
        <w:rPr>
          <w:rFonts w:ascii="Times New Roman" w:hAnsi="Times New Roman" w:cs="Times New Roman"/>
        </w:rPr>
        <w:t xml:space="preserve">Żeby proces informowania kredytobiorców przez bank mógł zostać uznany za </w:t>
      </w:r>
      <w:r w:rsidR="0040633A">
        <w:rPr>
          <w:rFonts w:ascii="Times New Roman" w:hAnsi="Times New Roman" w:cs="Times New Roman"/>
        </w:rPr>
        <w:t>właściwy</w:t>
      </w:r>
      <w:r w:rsidR="00D713ED">
        <w:rPr>
          <w:rFonts w:ascii="Times New Roman" w:hAnsi="Times New Roman" w:cs="Times New Roman"/>
        </w:rPr>
        <w:t>, klient powinien zostać dokładnie uświadomiony nt. wszystkich rodzajów ryzyk</w:t>
      </w:r>
      <w:r w:rsidR="00CA2AF7">
        <w:rPr>
          <w:rFonts w:ascii="Times New Roman" w:hAnsi="Times New Roman" w:cs="Times New Roman"/>
        </w:rPr>
        <w:t>a</w:t>
      </w:r>
      <w:r w:rsidR="00D713ED">
        <w:rPr>
          <w:rFonts w:ascii="Times New Roman" w:hAnsi="Times New Roman" w:cs="Times New Roman"/>
        </w:rPr>
        <w:t xml:space="preserve"> a szczególnie ich konsekwencji dla w</w:t>
      </w:r>
      <w:r w:rsidR="009B05F2">
        <w:rPr>
          <w:rFonts w:ascii="Times New Roman" w:hAnsi="Times New Roman" w:cs="Times New Roman"/>
        </w:rPr>
        <w:t>ysokości przyszłych rat i łącznej kwoty spłacanego kapitału</w:t>
      </w:r>
      <w:r w:rsidR="00155263">
        <w:rPr>
          <w:rStyle w:val="Odwoanieprzypisudolnego"/>
          <w:rFonts w:ascii="Times New Roman" w:hAnsi="Times New Roman" w:cs="Times New Roman"/>
        </w:rPr>
        <w:footnoteReference w:id="58"/>
      </w:r>
      <w:r w:rsidR="009B05F2">
        <w:rPr>
          <w:rFonts w:ascii="Times New Roman" w:hAnsi="Times New Roman" w:cs="Times New Roman"/>
        </w:rPr>
        <w:t>.</w:t>
      </w:r>
      <w:r w:rsidR="00B11352">
        <w:rPr>
          <w:rFonts w:ascii="Times New Roman" w:hAnsi="Times New Roman" w:cs="Times New Roman"/>
        </w:rPr>
        <w:t xml:space="preserve"> </w:t>
      </w:r>
    </w:p>
    <w:p w14:paraId="61F44E81" w14:textId="5D7EAAFF" w:rsidR="00551EF6" w:rsidRDefault="00F81D19" w:rsidP="00D80D68">
      <w:pPr>
        <w:pStyle w:val="Default"/>
        <w:spacing w:line="360" w:lineRule="auto"/>
        <w:jc w:val="both"/>
        <w:rPr>
          <w:rFonts w:ascii="Times New Roman" w:hAnsi="Times New Roman" w:cs="Times New Roman"/>
        </w:rPr>
      </w:pPr>
      <w:r>
        <w:rPr>
          <w:rFonts w:ascii="Times New Roman" w:hAnsi="Times New Roman" w:cs="Times New Roman"/>
        </w:rPr>
        <w:tab/>
      </w:r>
      <w:r w:rsidR="003564FA">
        <w:rPr>
          <w:rFonts w:ascii="Times New Roman" w:hAnsi="Times New Roman" w:cs="Times New Roman"/>
        </w:rPr>
        <w:t xml:space="preserve">Pierwszy wyrok unieważniający kredyt wielowalutowy w Hiszpanii został wydany 17.11.2017 r. przez Sąd Najwyższy w Madrycie. </w:t>
      </w:r>
      <w:r w:rsidR="00ED000F">
        <w:rPr>
          <w:rFonts w:ascii="Times New Roman" w:hAnsi="Times New Roman" w:cs="Times New Roman"/>
        </w:rPr>
        <w:t xml:space="preserve">Od tego czasu </w:t>
      </w:r>
      <w:r w:rsidR="004A50E1">
        <w:rPr>
          <w:rFonts w:ascii="Times New Roman" w:hAnsi="Times New Roman" w:cs="Times New Roman"/>
        </w:rPr>
        <w:t xml:space="preserve">na mocy prawa precedensowego </w:t>
      </w:r>
      <w:r w:rsidR="00ED000F">
        <w:rPr>
          <w:rFonts w:ascii="Times New Roman" w:hAnsi="Times New Roman" w:cs="Times New Roman"/>
        </w:rPr>
        <w:t>coraz częściej wyda</w:t>
      </w:r>
      <w:r w:rsidR="004A50E1">
        <w:rPr>
          <w:rFonts w:ascii="Times New Roman" w:hAnsi="Times New Roman" w:cs="Times New Roman"/>
        </w:rPr>
        <w:t>ne są</w:t>
      </w:r>
      <w:r w:rsidR="00ED000F">
        <w:rPr>
          <w:rFonts w:ascii="Times New Roman" w:hAnsi="Times New Roman" w:cs="Times New Roman"/>
        </w:rPr>
        <w:t xml:space="preserve"> korzystne wyniki dla kredytobiorców</w:t>
      </w:r>
      <w:r w:rsidR="005C468E">
        <w:rPr>
          <w:rFonts w:ascii="Times New Roman" w:hAnsi="Times New Roman" w:cs="Times New Roman"/>
        </w:rPr>
        <w:t>. Sądy</w:t>
      </w:r>
      <w:r w:rsidR="00ED000F">
        <w:rPr>
          <w:rFonts w:ascii="Times New Roman" w:hAnsi="Times New Roman" w:cs="Times New Roman"/>
        </w:rPr>
        <w:t xml:space="preserve"> orzeka</w:t>
      </w:r>
      <w:r w:rsidR="005C468E">
        <w:rPr>
          <w:rFonts w:ascii="Times New Roman" w:hAnsi="Times New Roman" w:cs="Times New Roman"/>
        </w:rPr>
        <w:t>ją</w:t>
      </w:r>
      <w:r w:rsidR="00ED000F">
        <w:rPr>
          <w:rFonts w:ascii="Times New Roman" w:hAnsi="Times New Roman" w:cs="Times New Roman"/>
        </w:rPr>
        <w:t xml:space="preserve">, że kredyty wielowalutowe </w:t>
      </w:r>
      <w:r w:rsidR="0027328E">
        <w:rPr>
          <w:rFonts w:ascii="Times New Roman" w:hAnsi="Times New Roman" w:cs="Times New Roman"/>
        </w:rPr>
        <w:t>można uznać za</w:t>
      </w:r>
      <w:r w:rsidR="003564FA">
        <w:rPr>
          <w:rFonts w:ascii="Times New Roman" w:hAnsi="Times New Roman" w:cs="Times New Roman"/>
        </w:rPr>
        <w:t xml:space="preserve"> skomplikowane</w:t>
      </w:r>
      <w:r w:rsidR="0027328E">
        <w:rPr>
          <w:rFonts w:ascii="Times New Roman" w:hAnsi="Times New Roman" w:cs="Times New Roman"/>
        </w:rPr>
        <w:t xml:space="preserve"> instrumenty spekulacyjne kredytowo-inwestycyjne, a banki nie dopełniły należycie obowiązku informowania klientów o ryzyku walutowym i ryzyku stopy procentowej. </w:t>
      </w:r>
      <w:r w:rsidR="00BD2D1F">
        <w:rPr>
          <w:rFonts w:ascii="Times New Roman" w:hAnsi="Times New Roman" w:cs="Times New Roman"/>
        </w:rPr>
        <w:t>Takie kredyty powinny zostać przewalutowane</w:t>
      </w:r>
      <w:r w:rsidR="00DB353A">
        <w:rPr>
          <w:rFonts w:ascii="Times New Roman" w:hAnsi="Times New Roman" w:cs="Times New Roman"/>
        </w:rPr>
        <w:t xml:space="preserve"> na koszt banków</w:t>
      </w:r>
      <w:r w:rsidR="00BD2D1F">
        <w:rPr>
          <w:rFonts w:ascii="Times New Roman" w:hAnsi="Times New Roman" w:cs="Times New Roman"/>
        </w:rPr>
        <w:t xml:space="preserve"> z powrotem na euro po kursie z dnia zaciągnięcia kredytu, a spłacone ponad ustalony poziom raty </w:t>
      </w:r>
      <w:r w:rsidR="00A602E6">
        <w:rPr>
          <w:rFonts w:ascii="Times New Roman" w:hAnsi="Times New Roman" w:cs="Times New Roman"/>
        </w:rPr>
        <w:t>zwrócone</w:t>
      </w:r>
      <w:r w:rsidR="00BD2D1F">
        <w:rPr>
          <w:rFonts w:ascii="Times New Roman" w:hAnsi="Times New Roman" w:cs="Times New Roman"/>
        </w:rPr>
        <w:t xml:space="preserve"> kredytobiorcy. </w:t>
      </w:r>
      <w:r w:rsidR="00462248">
        <w:rPr>
          <w:rFonts w:ascii="Times New Roman" w:hAnsi="Times New Roman" w:cs="Times New Roman"/>
        </w:rPr>
        <w:t xml:space="preserve">Kredyty wielowalutowe nie zostały jednak </w:t>
      </w:r>
      <w:r w:rsidR="00731B7A">
        <w:rPr>
          <w:rFonts w:ascii="Times New Roman" w:hAnsi="Times New Roman" w:cs="Times New Roman"/>
        </w:rPr>
        <w:t xml:space="preserve">dotąd </w:t>
      </w:r>
      <w:r w:rsidR="00462248">
        <w:rPr>
          <w:rFonts w:ascii="Times New Roman" w:hAnsi="Times New Roman" w:cs="Times New Roman"/>
        </w:rPr>
        <w:t>przewalutowane ustawowo</w:t>
      </w:r>
      <w:r w:rsidR="00F92BCC">
        <w:rPr>
          <w:rFonts w:ascii="Times New Roman" w:hAnsi="Times New Roman" w:cs="Times New Roman"/>
        </w:rPr>
        <w:t xml:space="preserve">. </w:t>
      </w:r>
      <w:r w:rsidR="00731B7A">
        <w:rPr>
          <w:rFonts w:ascii="Times New Roman" w:hAnsi="Times New Roman" w:cs="Times New Roman"/>
        </w:rPr>
        <w:t xml:space="preserve">Banki mają obowiązek przewalutowania </w:t>
      </w:r>
      <w:r w:rsidR="00CB75AA">
        <w:rPr>
          <w:rFonts w:ascii="Times New Roman" w:hAnsi="Times New Roman" w:cs="Times New Roman"/>
        </w:rPr>
        <w:t xml:space="preserve">kredytów </w:t>
      </w:r>
      <w:r w:rsidR="00731B7A">
        <w:rPr>
          <w:rFonts w:ascii="Times New Roman" w:hAnsi="Times New Roman" w:cs="Times New Roman"/>
        </w:rPr>
        <w:t>jedynie na m</w:t>
      </w:r>
      <w:r w:rsidR="003564FA">
        <w:rPr>
          <w:rFonts w:ascii="Times New Roman" w:hAnsi="Times New Roman" w:cs="Times New Roman"/>
        </w:rPr>
        <w:t>ocy pojedynczych wyroków sądów</w:t>
      </w:r>
      <w:r w:rsidR="003564FA">
        <w:rPr>
          <w:rStyle w:val="Odwoanieprzypisudolnego"/>
          <w:rFonts w:ascii="Times New Roman" w:hAnsi="Times New Roman" w:cs="Times New Roman"/>
        </w:rPr>
        <w:footnoteReference w:id="59"/>
      </w:r>
      <w:r w:rsidR="003564FA">
        <w:rPr>
          <w:rFonts w:ascii="Times New Roman" w:hAnsi="Times New Roman" w:cs="Times New Roman"/>
        </w:rPr>
        <w:t>.</w:t>
      </w:r>
    </w:p>
    <w:p w14:paraId="41741C77" w14:textId="0C990AC8" w:rsidR="001250D1" w:rsidRDefault="00BE3AC7" w:rsidP="00D80D68">
      <w:pPr>
        <w:pStyle w:val="Default"/>
        <w:spacing w:line="360" w:lineRule="auto"/>
        <w:jc w:val="both"/>
        <w:rPr>
          <w:rFonts w:ascii="Times New Roman" w:hAnsi="Times New Roman" w:cs="Times New Roman"/>
        </w:rPr>
      </w:pPr>
      <w:r>
        <w:rPr>
          <w:rFonts w:ascii="Times New Roman" w:hAnsi="Times New Roman" w:cs="Times New Roman"/>
        </w:rPr>
        <w:tab/>
        <w:t xml:space="preserve">Dla bezpieczeństwa i stabilności sektora bankowego w Hiszpanii </w:t>
      </w:r>
      <w:r w:rsidR="00496CA4">
        <w:rPr>
          <w:rFonts w:ascii="Times New Roman" w:hAnsi="Times New Roman" w:cs="Times New Roman"/>
        </w:rPr>
        <w:t xml:space="preserve">konieczność przewalutowania pojedynczych kredytów nie jest </w:t>
      </w:r>
      <w:r w:rsidR="00D64108">
        <w:rPr>
          <w:rFonts w:ascii="Times New Roman" w:hAnsi="Times New Roman" w:cs="Times New Roman"/>
        </w:rPr>
        <w:t>zagrożeniem</w:t>
      </w:r>
      <w:r>
        <w:rPr>
          <w:rFonts w:ascii="Times New Roman" w:hAnsi="Times New Roman" w:cs="Times New Roman"/>
        </w:rPr>
        <w:t xml:space="preserve"> z powodu niewielkiej liczby i warto</w:t>
      </w:r>
      <w:r>
        <w:rPr>
          <w:rFonts w:ascii="Times New Roman" w:hAnsi="Times New Roman" w:cs="Times New Roman"/>
        </w:rPr>
        <w:lastRenderedPageBreak/>
        <w:t xml:space="preserve">ści kredytów wielowalutowych w portfelach kredytowych banków. </w:t>
      </w:r>
      <w:r w:rsidR="00D64108">
        <w:rPr>
          <w:rFonts w:ascii="Times New Roman" w:hAnsi="Times New Roman" w:cs="Times New Roman"/>
        </w:rPr>
        <w:t xml:space="preserve">Wydaje się zatem, że banki w Hiszpanii nie muszą obawiać się </w:t>
      </w:r>
      <w:r w:rsidR="00206FE4">
        <w:rPr>
          <w:rFonts w:ascii="Times New Roman" w:hAnsi="Times New Roman" w:cs="Times New Roman"/>
        </w:rPr>
        <w:t xml:space="preserve">możliwości wystąpienia strat. Dla kredytobiorców natomiast przewalutowanie kredytów i zmniejszenie wysokości spłacanych rat może być realną ulgą. </w:t>
      </w:r>
      <w:r w:rsidR="001170A4">
        <w:rPr>
          <w:rFonts w:ascii="Times New Roman" w:hAnsi="Times New Roman" w:cs="Times New Roman"/>
        </w:rPr>
        <w:t xml:space="preserve">Średnia wartość straty wynikającej z aprecjacji walut obcych wynosi średnio ok 200 000 euro na pojedynczą umowę. </w:t>
      </w:r>
      <w:r w:rsidR="00ED7482">
        <w:rPr>
          <w:rFonts w:ascii="Times New Roman" w:hAnsi="Times New Roman" w:cs="Times New Roman"/>
        </w:rPr>
        <w:t>Brak konieczności spłacania tej kwoty powinien znacznie poprawić sytuację finansową kredytobiorców.</w:t>
      </w:r>
    </w:p>
    <w:p w14:paraId="663F55C6" w14:textId="77777777" w:rsidR="00F60D21" w:rsidRDefault="00F60D21" w:rsidP="00D80D68">
      <w:pPr>
        <w:pStyle w:val="Default"/>
        <w:spacing w:line="360" w:lineRule="auto"/>
        <w:jc w:val="both"/>
        <w:rPr>
          <w:rFonts w:ascii="Times New Roman" w:hAnsi="Times New Roman" w:cs="Times New Roman"/>
        </w:rPr>
      </w:pPr>
    </w:p>
    <w:p w14:paraId="7FEB9AA8" w14:textId="494AAFBA" w:rsidR="00F60D21" w:rsidRDefault="00F60D21" w:rsidP="00D80D68">
      <w:pPr>
        <w:pStyle w:val="Nagwek2"/>
        <w:spacing w:line="360" w:lineRule="auto"/>
        <w:jc w:val="both"/>
      </w:pPr>
      <w:bookmarkStart w:id="26" w:name="_Toc513545755"/>
      <w:r w:rsidRPr="00F60D21">
        <w:t>III.</w:t>
      </w:r>
      <w:r w:rsidR="007C04D7">
        <w:t>3</w:t>
      </w:r>
      <w:r w:rsidRPr="00F60D21">
        <w:t xml:space="preserve"> Rozwiązania zastosowane w Chorwacji i ich wpływ na działanie sektora bankowego i sytuację kredytobiorców</w:t>
      </w:r>
      <w:r w:rsidR="00A24377">
        <w:t>.</w:t>
      </w:r>
      <w:bookmarkEnd w:id="26"/>
    </w:p>
    <w:p w14:paraId="344F754D" w14:textId="48F096B1" w:rsidR="002B1F99" w:rsidRDefault="002B1F99" w:rsidP="00D80D68">
      <w:pPr>
        <w:pStyle w:val="Default"/>
        <w:spacing w:line="36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Kolejnym państwem, w którym na dużą skalę udzielano kredytów hipotecznych w walutach obcych jest Chorwacja. W tym państwie kredyty walutowe były denominowane w zdecydowanej większości w CHF z powodu możliwości skorzystania z niższych stóp oprocentowania. Kredytobiorcy rzadziej decydowali się na zaciągnięcie kredytu w EUR, z którym </w:t>
      </w:r>
      <w:r w:rsidR="00793BA7">
        <w:rPr>
          <w:rFonts w:ascii="Times New Roman" w:hAnsi="Times New Roman" w:cs="Times New Roman"/>
        </w:rPr>
        <w:t xml:space="preserve">sztywno powiązana jest chorwacka kuna. </w:t>
      </w:r>
      <w:r w:rsidR="00192B9D">
        <w:rPr>
          <w:rFonts w:ascii="Times New Roman" w:hAnsi="Times New Roman" w:cs="Times New Roman"/>
        </w:rPr>
        <w:t>Nadzór monetarny w Chorwacji dopuszcza wahania w przedziale</w:t>
      </w:r>
      <w:r w:rsidR="003C06CE">
        <w:rPr>
          <w:rFonts w:ascii="Times New Roman" w:hAnsi="Times New Roman" w:cs="Times New Roman"/>
        </w:rPr>
        <w:t xml:space="preserve"> kursowym</w:t>
      </w:r>
      <w:r w:rsidR="00F1447F">
        <w:rPr>
          <w:rFonts w:ascii="Times New Roman" w:hAnsi="Times New Roman" w:cs="Times New Roman"/>
        </w:rPr>
        <w:t xml:space="preserve"> 7,2 – 7,5 </w:t>
      </w:r>
      <w:r w:rsidR="003C06CE">
        <w:rPr>
          <w:rFonts w:ascii="Times New Roman" w:hAnsi="Times New Roman" w:cs="Times New Roman"/>
        </w:rPr>
        <w:t>EUR</w:t>
      </w:r>
      <w:r w:rsidR="00F1447F">
        <w:rPr>
          <w:rFonts w:ascii="Times New Roman" w:hAnsi="Times New Roman" w:cs="Times New Roman"/>
        </w:rPr>
        <w:t>/HRK</w:t>
      </w:r>
      <w:r w:rsidR="003C06CE">
        <w:rPr>
          <w:rFonts w:ascii="Times New Roman" w:hAnsi="Times New Roman" w:cs="Times New Roman"/>
        </w:rPr>
        <w:t xml:space="preserve">. </w:t>
      </w:r>
    </w:p>
    <w:p w14:paraId="1F3F4A58" w14:textId="6226220A" w:rsidR="00BF01C9" w:rsidRDefault="00BF01C9" w:rsidP="00D80D68">
      <w:pPr>
        <w:pStyle w:val="Default"/>
        <w:spacing w:line="360" w:lineRule="auto"/>
        <w:jc w:val="both"/>
        <w:rPr>
          <w:rFonts w:ascii="Times New Roman" w:hAnsi="Times New Roman" w:cs="Times New Roman"/>
        </w:rPr>
      </w:pPr>
      <w:r>
        <w:rPr>
          <w:rFonts w:ascii="Times New Roman" w:hAnsi="Times New Roman" w:cs="Times New Roman"/>
        </w:rPr>
        <w:tab/>
      </w:r>
      <w:r w:rsidR="00C54C19">
        <w:rPr>
          <w:rFonts w:ascii="Times New Roman" w:hAnsi="Times New Roman" w:cs="Times New Roman"/>
        </w:rPr>
        <w:t xml:space="preserve">Zdecydowana większość kredytów hipotecznych w walutach obcych została udzielona w Chorwacji w latach 2000–2007, w okresie </w:t>
      </w:r>
      <w:r w:rsidR="00A81BBA">
        <w:rPr>
          <w:rFonts w:ascii="Times New Roman" w:hAnsi="Times New Roman" w:cs="Times New Roman"/>
        </w:rPr>
        <w:t>boomu na rynku mieszkaniowym.</w:t>
      </w:r>
      <w:r w:rsidR="00F20231">
        <w:rPr>
          <w:rFonts w:ascii="Times New Roman" w:hAnsi="Times New Roman" w:cs="Times New Roman"/>
        </w:rPr>
        <w:t xml:space="preserve"> W 2011 r. Chorwaci spłacali około 100 000 pożyczek denominowanych w CHF, z czego 75 000 długoterminowych kredytów hipotecznych. </w:t>
      </w:r>
      <w:r w:rsidR="00417FA0">
        <w:rPr>
          <w:rFonts w:ascii="Times New Roman" w:hAnsi="Times New Roman" w:cs="Times New Roman"/>
        </w:rPr>
        <w:t xml:space="preserve">Trudności ze spłatą kredytów w CHF przez kredytobiorców rozpoczęły się </w:t>
      </w:r>
      <w:r w:rsidR="001B59F2">
        <w:rPr>
          <w:rFonts w:ascii="Times New Roman" w:hAnsi="Times New Roman" w:cs="Times New Roman"/>
        </w:rPr>
        <w:t>w 2008 r. w związku ze stopniową aprecjacją CHF w stosunku do HRK. Najtrudniejszy okres dla kredytobiorców przypadł na 2011 r., kiedy kurs CHF/HRK przekroczył poziom 7</w:t>
      </w:r>
      <w:r w:rsidR="00887790">
        <w:rPr>
          <w:rFonts w:ascii="Times New Roman" w:hAnsi="Times New Roman" w:cs="Times New Roman"/>
        </w:rPr>
        <w:t>,</w:t>
      </w:r>
      <w:r w:rsidR="001B59F2">
        <w:rPr>
          <w:rFonts w:ascii="Times New Roman" w:hAnsi="Times New Roman" w:cs="Times New Roman"/>
        </w:rPr>
        <w:t>00 (ni</w:t>
      </w:r>
      <w:r w:rsidR="005C294F">
        <w:rPr>
          <w:rFonts w:ascii="Times New Roman" w:hAnsi="Times New Roman" w:cs="Times New Roman"/>
        </w:rPr>
        <w:t>ecałe 4</w:t>
      </w:r>
      <w:r w:rsidR="00887790">
        <w:rPr>
          <w:rFonts w:ascii="Times New Roman" w:hAnsi="Times New Roman" w:cs="Times New Roman"/>
        </w:rPr>
        <w:t>,</w:t>
      </w:r>
      <w:r w:rsidR="005C294F">
        <w:rPr>
          <w:rFonts w:ascii="Times New Roman" w:hAnsi="Times New Roman" w:cs="Times New Roman"/>
        </w:rPr>
        <w:t>50 na początku 2008 r.). Aprecjacja CHF spowodowała, że aż 10,7% kredytów w CHF było w tym czas</w:t>
      </w:r>
      <w:r w:rsidR="004A1B64">
        <w:rPr>
          <w:rFonts w:ascii="Times New Roman" w:hAnsi="Times New Roman" w:cs="Times New Roman"/>
        </w:rPr>
        <w:t>ie niespłacane terminowo z powodu</w:t>
      </w:r>
      <w:r w:rsidR="004B0CC4">
        <w:rPr>
          <w:rFonts w:ascii="Times New Roman" w:hAnsi="Times New Roman" w:cs="Times New Roman"/>
        </w:rPr>
        <w:t xml:space="preserve"> wzrostu miesięcznych rat (</w:t>
      </w:r>
      <w:r w:rsidR="004A1B64">
        <w:rPr>
          <w:rFonts w:ascii="Times New Roman" w:hAnsi="Times New Roman" w:cs="Times New Roman"/>
        </w:rPr>
        <w:t>średni</w:t>
      </w:r>
      <w:r w:rsidR="001A6617">
        <w:rPr>
          <w:rFonts w:ascii="Times New Roman" w:hAnsi="Times New Roman" w:cs="Times New Roman"/>
        </w:rPr>
        <w:t>o</w:t>
      </w:r>
      <w:r w:rsidR="004A1B64">
        <w:rPr>
          <w:rFonts w:ascii="Times New Roman" w:hAnsi="Times New Roman" w:cs="Times New Roman"/>
        </w:rPr>
        <w:t xml:space="preserve"> </w:t>
      </w:r>
      <w:r w:rsidR="004B0CC4">
        <w:rPr>
          <w:rFonts w:ascii="Times New Roman" w:hAnsi="Times New Roman" w:cs="Times New Roman"/>
        </w:rPr>
        <w:t xml:space="preserve">raty wzrosły </w:t>
      </w:r>
      <w:r w:rsidR="004A1B64">
        <w:rPr>
          <w:rFonts w:ascii="Times New Roman" w:hAnsi="Times New Roman" w:cs="Times New Roman"/>
        </w:rPr>
        <w:t>o 220 EUR w porównaniu do prognoz z dnia zaciągnięcia kredytu</w:t>
      </w:r>
      <w:r w:rsidR="00D9725B">
        <w:rPr>
          <w:rFonts w:ascii="Times New Roman" w:hAnsi="Times New Roman" w:cs="Times New Roman"/>
        </w:rPr>
        <w:t>)</w:t>
      </w:r>
      <w:r w:rsidR="007342AE">
        <w:rPr>
          <w:rStyle w:val="Odwoanieprzypisudolnego"/>
          <w:rFonts w:ascii="Times New Roman" w:hAnsi="Times New Roman" w:cs="Times New Roman"/>
        </w:rPr>
        <w:footnoteReference w:id="60"/>
      </w:r>
      <w:r w:rsidR="00637B44">
        <w:rPr>
          <w:rFonts w:ascii="Times New Roman" w:hAnsi="Times New Roman" w:cs="Times New Roman"/>
        </w:rPr>
        <w:t>.</w:t>
      </w:r>
    </w:p>
    <w:p w14:paraId="5255250E" w14:textId="3397A586" w:rsidR="00637B44" w:rsidRPr="002B1F99" w:rsidRDefault="00637B44" w:rsidP="00D80D68">
      <w:pPr>
        <w:pStyle w:val="Default"/>
        <w:spacing w:line="360" w:lineRule="auto"/>
        <w:jc w:val="both"/>
        <w:rPr>
          <w:rFonts w:ascii="Times New Roman" w:hAnsi="Times New Roman" w:cs="Times New Roman"/>
        </w:rPr>
      </w:pPr>
      <w:r>
        <w:rPr>
          <w:rFonts w:ascii="Times New Roman" w:hAnsi="Times New Roman" w:cs="Times New Roman"/>
        </w:rPr>
        <w:tab/>
      </w:r>
      <w:r w:rsidR="00BF2493">
        <w:rPr>
          <w:rFonts w:ascii="Times New Roman" w:hAnsi="Times New Roman" w:cs="Times New Roman"/>
        </w:rPr>
        <w:t xml:space="preserve">Podobnie jak w Hiszpanii, klienci znajdujący się w trudnej sytuacji finansowej decydowali się na pozwy indywidualne i zbiorowe licząc, że sądy uznają udzielone kredyty za sprzeczne z prawem i zostaną one unieważnione. </w:t>
      </w:r>
      <w:r w:rsidR="009676B9">
        <w:rPr>
          <w:rFonts w:ascii="Times New Roman" w:hAnsi="Times New Roman" w:cs="Times New Roman"/>
        </w:rPr>
        <w:t xml:space="preserve">W 2015 r. </w:t>
      </w:r>
      <w:r w:rsidR="00486063">
        <w:rPr>
          <w:rFonts w:ascii="Times New Roman" w:hAnsi="Times New Roman" w:cs="Times New Roman"/>
        </w:rPr>
        <w:t>c</w:t>
      </w:r>
      <w:r w:rsidR="009D50E7">
        <w:rPr>
          <w:rFonts w:ascii="Times New Roman" w:hAnsi="Times New Roman" w:cs="Times New Roman"/>
        </w:rPr>
        <w:t xml:space="preserve">horwacki </w:t>
      </w:r>
      <w:r w:rsidR="00486063">
        <w:rPr>
          <w:rFonts w:ascii="Times New Roman" w:hAnsi="Times New Roman" w:cs="Times New Roman"/>
        </w:rPr>
        <w:t>S</w:t>
      </w:r>
      <w:r w:rsidR="009D50E7">
        <w:rPr>
          <w:rFonts w:ascii="Times New Roman" w:hAnsi="Times New Roman" w:cs="Times New Roman"/>
        </w:rPr>
        <w:t xml:space="preserve">ąd </w:t>
      </w:r>
      <w:r w:rsidR="00486063">
        <w:rPr>
          <w:rFonts w:ascii="Times New Roman" w:hAnsi="Times New Roman" w:cs="Times New Roman"/>
        </w:rPr>
        <w:t>N</w:t>
      </w:r>
      <w:r w:rsidR="009D50E7">
        <w:rPr>
          <w:rFonts w:ascii="Times New Roman" w:hAnsi="Times New Roman" w:cs="Times New Roman"/>
        </w:rPr>
        <w:t>ajwyższy orzekł, że kredyty walutowe były udzielane niezgodne z prawem, ponieważ banki nie dopełniły obo</w:t>
      </w:r>
      <w:r w:rsidR="009D50E7">
        <w:rPr>
          <w:rFonts w:ascii="Times New Roman" w:hAnsi="Times New Roman" w:cs="Times New Roman"/>
        </w:rPr>
        <w:lastRenderedPageBreak/>
        <w:t>wiązku należytego poinformowania kredytobiorców o ryzyku związanym ze zmienną stopą procentową</w:t>
      </w:r>
      <w:r w:rsidR="007C44C1">
        <w:rPr>
          <w:rFonts w:ascii="Times New Roman" w:hAnsi="Times New Roman" w:cs="Times New Roman"/>
        </w:rPr>
        <w:t>,</w:t>
      </w:r>
      <w:r w:rsidR="009D50E7">
        <w:rPr>
          <w:rFonts w:ascii="Times New Roman" w:hAnsi="Times New Roman" w:cs="Times New Roman"/>
        </w:rPr>
        <w:t xml:space="preserve"> ryzykiem walutowym i ich ekonomicznymi konsekwencjami. W </w:t>
      </w:r>
      <w:r w:rsidR="00954CA1">
        <w:rPr>
          <w:rFonts w:ascii="Times New Roman" w:hAnsi="Times New Roman" w:cs="Times New Roman"/>
        </w:rPr>
        <w:t xml:space="preserve">obliczu takiego wyroku sądowego i </w:t>
      </w:r>
      <w:r w:rsidR="009D50E7">
        <w:rPr>
          <w:rFonts w:ascii="Times New Roman" w:hAnsi="Times New Roman" w:cs="Times New Roman"/>
        </w:rPr>
        <w:t>z</w:t>
      </w:r>
      <w:r>
        <w:rPr>
          <w:rFonts w:ascii="Times New Roman" w:hAnsi="Times New Roman" w:cs="Times New Roman"/>
        </w:rPr>
        <w:t xml:space="preserve"> powodu trudnej sytuacji finansowej wielu dłużników </w:t>
      </w:r>
      <w:r w:rsidR="0060331A">
        <w:rPr>
          <w:rFonts w:ascii="Times New Roman" w:hAnsi="Times New Roman" w:cs="Times New Roman"/>
        </w:rPr>
        <w:t xml:space="preserve">(w 2015 r. Szwajcarski Bank </w:t>
      </w:r>
      <w:r w:rsidR="0004278E">
        <w:rPr>
          <w:rFonts w:ascii="Times New Roman" w:hAnsi="Times New Roman" w:cs="Times New Roman"/>
        </w:rPr>
        <w:t>Narodowy</w:t>
      </w:r>
      <w:r w:rsidR="00181E3B">
        <w:rPr>
          <w:rFonts w:ascii="Times New Roman" w:hAnsi="Times New Roman" w:cs="Times New Roman"/>
        </w:rPr>
        <w:t xml:space="preserve"> zakończył powiązanie CHF z</w:t>
      </w:r>
      <w:r w:rsidR="0060331A">
        <w:rPr>
          <w:rFonts w:ascii="Times New Roman" w:hAnsi="Times New Roman" w:cs="Times New Roman"/>
        </w:rPr>
        <w:t xml:space="preserve"> EUR w</w:t>
      </w:r>
      <w:r w:rsidR="00181E3B">
        <w:rPr>
          <w:rFonts w:ascii="Times New Roman" w:hAnsi="Times New Roman" w:cs="Times New Roman"/>
        </w:rPr>
        <w:t>edłu</w:t>
      </w:r>
      <w:r w:rsidR="0060331A">
        <w:rPr>
          <w:rFonts w:ascii="Times New Roman" w:hAnsi="Times New Roman" w:cs="Times New Roman"/>
        </w:rPr>
        <w:t>g sztywnego kursu, co przełożyło się na drastyczną aprecjację CHF)</w:t>
      </w:r>
      <w:r w:rsidR="00FF0077">
        <w:rPr>
          <w:rFonts w:ascii="Times New Roman" w:hAnsi="Times New Roman" w:cs="Times New Roman"/>
        </w:rPr>
        <w:t xml:space="preserve"> </w:t>
      </w:r>
      <w:r w:rsidR="001C06FB">
        <w:rPr>
          <w:rFonts w:ascii="Times New Roman" w:hAnsi="Times New Roman" w:cs="Times New Roman"/>
        </w:rPr>
        <w:t>oraz</w:t>
      </w:r>
      <w:r>
        <w:rPr>
          <w:rFonts w:ascii="Times New Roman" w:hAnsi="Times New Roman" w:cs="Times New Roman"/>
        </w:rPr>
        <w:t xml:space="preserve"> fali protestów społecznych przeciwko bankom</w:t>
      </w:r>
      <w:r w:rsidR="00954CA1">
        <w:rPr>
          <w:rFonts w:ascii="Times New Roman" w:hAnsi="Times New Roman" w:cs="Times New Roman"/>
        </w:rPr>
        <w:t xml:space="preserve"> chorwacki rząd</w:t>
      </w:r>
      <w:r w:rsidR="00FA6795">
        <w:rPr>
          <w:rFonts w:ascii="Times New Roman" w:hAnsi="Times New Roman" w:cs="Times New Roman"/>
        </w:rPr>
        <w:t xml:space="preserve"> </w:t>
      </w:r>
      <w:r>
        <w:rPr>
          <w:rFonts w:ascii="Times New Roman" w:hAnsi="Times New Roman" w:cs="Times New Roman"/>
        </w:rPr>
        <w:t>zdecydo</w:t>
      </w:r>
      <w:r w:rsidR="00BF2493">
        <w:rPr>
          <w:rFonts w:ascii="Times New Roman" w:hAnsi="Times New Roman" w:cs="Times New Roman"/>
        </w:rPr>
        <w:t>wał się</w:t>
      </w:r>
      <w:r>
        <w:rPr>
          <w:rFonts w:ascii="Times New Roman" w:hAnsi="Times New Roman" w:cs="Times New Roman"/>
        </w:rPr>
        <w:t xml:space="preserve"> na </w:t>
      </w:r>
      <w:r w:rsidR="00CF5A27">
        <w:rPr>
          <w:rFonts w:ascii="Times New Roman" w:hAnsi="Times New Roman" w:cs="Times New Roman"/>
        </w:rPr>
        <w:t xml:space="preserve">wprowadzenie </w:t>
      </w:r>
      <w:r>
        <w:rPr>
          <w:rFonts w:ascii="Times New Roman" w:hAnsi="Times New Roman" w:cs="Times New Roman"/>
        </w:rPr>
        <w:t>ustaw</w:t>
      </w:r>
      <w:r w:rsidR="00CF5A27">
        <w:rPr>
          <w:rFonts w:ascii="Times New Roman" w:hAnsi="Times New Roman" w:cs="Times New Roman"/>
        </w:rPr>
        <w:t>y umożliwiającej kredytobiorcom</w:t>
      </w:r>
      <w:r>
        <w:rPr>
          <w:rFonts w:ascii="Times New Roman" w:hAnsi="Times New Roman" w:cs="Times New Roman"/>
        </w:rPr>
        <w:t xml:space="preserve"> przewalutowanie kredytów hipotecznych w CHF na EUR</w:t>
      </w:r>
      <w:r w:rsidR="00B43C06">
        <w:rPr>
          <w:rFonts w:ascii="Times New Roman" w:hAnsi="Times New Roman" w:cs="Times New Roman"/>
        </w:rPr>
        <w:t>.</w:t>
      </w:r>
      <w:r w:rsidR="003757F7">
        <w:rPr>
          <w:rFonts w:ascii="Times New Roman" w:hAnsi="Times New Roman" w:cs="Times New Roman"/>
        </w:rPr>
        <w:t xml:space="preserve"> Przewalutowanie odbywało się według historycznej</w:t>
      </w:r>
      <w:r w:rsidR="00B11352">
        <w:rPr>
          <w:rFonts w:ascii="Times New Roman" w:hAnsi="Times New Roman" w:cs="Times New Roman"/>
        </w:rPr>
        <w:t xml:space="preserve"> stopy procentowej</w:t>
      </w:r>
      <w:r w:rsidR="003757F7">
        <w:rPr>
          <w:rFonts w:ascii="Times New Roman" w:hAnsi="Times New Roman" w:cs="Times New Roman"/>
        </w:rPr>
        <w:t xml:space="preserve"> i po</w:t>
      </w:r>
      <w:r w:rsidR="004D1FC1">
        <w:rPr>
          <w:rFonts w:ascii="Times New Roman" w:hAnsi="Times New Roman" w:cs="Times New Roman"/>
        </w:rPr>
        <w:t xml:space="preserve"> historycznym</w:t>
      </w:r>
      <w:r w:rsidR="003757F7">
        <w:rPr>
          <w:rFonts w:ascii="Times New Roman" w:hAnsi="Times New Roman" w:cs="Times New Roman"/>
        </w:rPr>
        <w:t xml:space="preserve"> kursie </w:t>
      </w:r>
      <w:r w:rsidR="004D1FC1">
        <w:rPr>
          <w:rFonts w:ascii="Times New Roman" w:hAnsi="Times New Roman" w:cs="Times New Roman"/>
        </w:rPr>
        <w:t>walutowym</w:t>
      </w:r>
      <w:r w:rsidR="003757F7">
        <w:rPr>
          <w:rFonts w:ascii="Times New Roman" w:hAnsi="Times New Roman" w:cs="Times New Roman"/>
        </w:rPr>
        <w:t xml:space="preserve"> z dnia podpisania umowy kredytowej</w:t>
      </w:r>
      <w:r w:rsidR="00AC68A6">
        <w:rPr>
          <w:rStyle w:val="Odwoanieprzypisudolnego"/>
          <w:rFonts w:ascii="Times New Roman" w:hAnsi="Times New Roman" w:cs="Times New Roman"/>
        </w:rPr>
        <w:footnoteReference w:id="61"/>
      </w:r>
      <w:r w:rsidR="003757F7">
        <w:rPr>
          <w:rFonts w:ascii="Times New Roman" w:hAnsi="Times New Roman" w:cs="Times New Roman"/>
        </w:rPr>
        <w:t xml:space="preserve">. </w:t>
      </w:r>
      <w:r w:rsidR="006F66C4">
        <w:rPr>
          <w:rFonts w:ascii="Times New Roman" w:hAnsi="Times New Roman" w:cs="Times New Roman"/>
        </w:rPr>
        <w:t xml:space="preserve">Kredytobiorcy bardzo ochoczo skorzystali z zaproponowanego rozwiązania. Do lipca 2016 r. aż 94% kredytobiorców </w:t>
      </w:r>
      <w:r w:rsidR="005E659D">
        <w:rPr>
          <w:rFonts w:ascii="Times New Roman" w:hAnsi="Times New Roman" w:cs="Times New Roman"/>
        </w:rPr>
        <w:t>(w przybliżeniu 55 000 gospodarstw domowych)</w:t>
      </w:r>
      <w:r w:rsidR="00812FD6">
        <w:rPr>
          <w:rFonts w:ascii="Times New Roman" w:hAnsi="Times New Roman" w:cs="Times New Roman"/>
        </w:rPr>
        <w:t xml:space="preserve"> </w:t>
      </w:r>
      <w:r w:rsidR="006F66C4">
        <w:rPr>
          <w:rFonts w:ascii="Times New Roman" w:hAnsi="Times New Roman" w:cs="Times New Roman"/>
        </w:rPr>
        <w:t>zdecydowało się na przewalutowanie długu</w:t>
      </w:r>
      <w:r w:rsidR="00BA668A">
        <w:rPr>
          <w:rStyle w:val="Odwoanieprzypisudolnego"/>
          <w:rFonts w:ascii="Times New Roman" w:hAnsi="Times New Roman" w:cs="Times New Roman"/>
        </w:rPr>
        <w:footnoteReference w:id="62"/>
      </w:r>
      <w:r w:rsidR="006F66C4">
        <w:rPr>
          <w:rFonts w:ascii="Times New Roman" w:hAnsi="Times New Roman" w:cs="Times New Roman"/>
        </w:rPr>
        <w:t>.</w:t>
      </w:r>
    </w:p>
    <w:p w14:paraId="6F640F8A" w14:textId="708EB0D3" w:rsidR="00182F2A" w:rsidRDefault="00BC1530" w:rsidP="00D80D68">
      <w:pPr>
        <w:pStyle w:val="Default"/>
        <w:spacing w:line="360" w:lineRule="auto"/>
        <w:jc w:val="both"/>
        <w:rPr>
          <w:rFonts w:ascii="Times New Roman" w:hAnsi="Times New Roman" w:cs="Times New Roman"/>
        </w:rPr>
      </w:pPr>
      <w:r>
        <w:rPr>
          <w:rFonts w:ascii="Times New Roman" w:hAnsi="Times New Roman" w:cs="Times New Roman"/>
          <w:b/>
        </w:rPr>
        <w:tab/>
      </w:r>
      <w:r w:rsidR="005528A4">
        <w:rPr>
          <w:rFonts w:ascii="Times New Roman" w:hAnsi="Times New Roman" w:cs="Times New Roman"/>
        </w:rPr>
        <w:t>Koszty przewalutowania kredytów zgodnie z treścią ustawy zostały pokryte w całości przez banki.</w:t>
      </w:r>
      <w:r w:rsidR="00AC68A6">
        <w:rPr>
          <w:rFonts w:ascii="Times New Roman" w:hAnsi="Times New Roman" w:cs="Times New Roman"/>
        </w:rPr>
        <w:t xml:space="preserve"> Chorwacki Bank Centralny oszacował c</w:t>
      </w:r>
      <w:r w:rsidR="00C16214">
        <w:rPr>
          <w:rFonts w:ascii="Times New Roman" w:hAnsi="Times New Roman" w:cs="Times New Roman"/>
        </w:rPr>
        <w:t>ałkowity koszt przewalutowania kred</w:t>
      </w:r>
      <w:r w:rsidR="00275D15">
        <w:rPr>
          <w:rFonts w:ascii="Times New Roman" w:hAnsi="Times New Roman" w:cs="Times New Roman"/>
        </w:rPr>
        <w:t xml:space="preserve">ytów </w:t>
      </w:r>
      <w:r w:rsidR="00AC68A6">
        <w:rPr>
          <w:rFonts w:ascii="Times New Roman" w:hAnsi="Times New Roman" w:cs="Times New Roman"/>
        </w:rPr>
        <w:t>na 1,06</w:t>
      </w:r>
      <w:r w:rsidR="00275D15">
        <w:rPr>
          <w:rFonts w:ascii="Times New Roman" w:hAnsi="Times New Roman" w:cs="Times New Roman"/>
        </w:rPr>
        <w:t xml:space="preserve"> mld euro, co odpowiada wartości dwuletnich zysków całego sektora bankowego w Chorwacji</w:t>
      </w:r>
      <w:r w:rsidR="00AC68A6">
        <w:rPr>
          <w:rStyle w:val="Odwoanieprzypisudolnego"/>
          <w:rFonts w:ascii="Times New Roman" w:hAnsi="Times New Roman" w:cs="Times New Roman"/>
        </w:rPr>
        <w:footnoteReference w:id="63"/>
      </w:r>
      <w:r w:rsidR="00275D15">
        <w:rPr>
          <w:rFonts w:ascii="Times New Roman" w:hAnsi="Times New Roman" w:cs="Times New Roman"/>
        </w:rPr>
        <w:t>.</w:t>
      </w:r>
      <w:r w:rsidR="001B69BC">
        <w:rPr>
          <w:rFonts w:ascii="Times New Roman" w:hAnsi="Times New Roman" w:cs="Times New Roman"/>
        </w:rPr>
        <w:t xml:space="preserve"> </w:t>
      </w:r>
      <w:r w:rsidR="001A6F07">
        <w:rPr>
          <w:rFonts w:ascii="Times New Roman" w:hAnsi="Times New Roman" w:cs="Times New Roman"/>
        </w:rPr>
        <w:t>Konieczność poniesienia kosztów przewalutowania znacząco wpłynęła na zmniejszenie wyników finansowych banków za 2015 r. i wymusiła wykazanie strat.</w:t>
      </w:r>
      <w:r w:rsidR="00A20877">
        <w:rPr>
          <w:rFonts w:ascii="Times New Roman" w:hAnsi="Times New Roman" w:cs="Times New Roman"/>
        </w:rPr>
        <w:t xml:space="preserve"> Wskaźniki efektywności dla całego sektora bankowego również uległy znaczącemu pogorszeniu.</w:t>
      </w:r>
      <w:r w:rsidR="001A6F07">
        <w:rPr>
          <w:rFonts w:ascii="Times New Roman" w:hAnsi="Times New Roman" w:cs="Times New Roman"/>
        </w:rPr>
        <w:t xml:space="preserve"> Wskaźnik ROE</w:t>
      </w:r>
      <w:r w:rsidR="00BD6240">
        <w:rPr>
          <w:rFonts w:ascii="Times New Roman" w:hAnsi="Times New Roman" w:cs="Times New Roman"/>
        </w:rPr>
        <w:t xml:space="preserve"> sektora bankowego</w:t>
      </w:r>
      <w:r w:rsidR="00A20877">
        <w:rPr>
          <w:rFonts w:ascii="Times New Roman" w:hAnsi="Times New Roman" w:cs="Times New Roman"/>
        </w:rPr>
        <w:t xml:space="preserve"> spadł z 0,5% w 2014 r. do -1,20% w 2015 r., a ROA z 2,8% w 2014 r. do – 8,00% w 2015 r.</w:t>
      </w:r>
      <w:r w:rsidR="001A6F07">
        <w:rPr>
          <w:rFonts w:ascii="Times New Roman" w:hAnsi="Times New Roman" w:cs="Times New Roman"/>
        </w:rPr>
        <w:t xml:space="preserve"> Banki zostały dokapitalizowane przez </w:t>
      </w:r>
      <w:r w:rsidR="001A6F07" w:rsidRPr="00B03277">
        <w:rPr>
          <w:rFonts w:ascii="Times New Roman" w:hAnsi="Times New Roman" w:cs="Times New Roman"/>
        </w:rPr>
        <w:t>banki</w:t>
      </w:r>
      <w:r w:rsidR="00B03277" w:rsidRPr="00B03277">
        <w:rPr>
          <w:rFonts w:ascii="Times New Roman" w:hAnsi="Times New Roman" w:cs="Times New Roman"/>
        </w:rPr>
        <w:t xml:space="preserve"> mac</w:t>
      </w:r>
      <w:r w:rsidR="001A6F07" w:rsidRPr="00B03277">
        <w:rPr>
          <w:rFonts w:ascii="Times New Roman" w:hAnsi="Times New Roman" w:cs="Times New Roman"/>
        </w:rPr>
        <w:t>i</w:t>
      </w:r>
      <w:r w:rsidR="00B03277" w:rsidRPr="00B03277">
        <w:rPr>
          <w:rFonts w:ascii="Times New Roman" w:hAnsi="Times New Roman" w:cs="Times New Roman"/>
        </w:rPr>
        <w:t>erzyste</w:t>
      </w:r>
      <w:r w:rsidR="001A6F07">
        <w:rPr>
          <w:rFonts w:ascii="Times New Roman" w:hAnsi="Times New Roman" w:cs="Times New Roman"/>
        </w:rPr>
        <w:t xml:space="preserve"> w celu utrzymania wysokiego współczynnika adekwatności kapitałowej, co w razie potrzeby miało umożliwić bankom absorpcję strat z tytułu niespłacanych kredytów (odsetek zagrożonych kredytów wciąż znajdował się na poziomie powyżej 16%)</w:t>
      </w:r>
      <w:r w:rsidR="005F7F03">
        <w:rPr>
          <w:rFonts w:ascii="Times New Roman" w:hAnsi="Times New Roman" w:cs="Times New Roman"/>
        </w:rPr>
        <w:t>. Mimo przejściowych problemów, wartość przewalutowanych kredytów i koszty nie były na tyle duże, żeby zagrozić bezpieczeństwu chorwackiego systemu bankowego</w:t>
      </w:r>
      <w:r w:rsidR="00BA668A">
        <w:rPr>
          <w:rStyle w:val="Odwoanieprzypisudolnego"/>
          <w:rFonts w:ascii="Times New Roman" w:hAnsi="Times New Roman" w:cs="Times New Roman"/>
        </w:rPr>
        <w:footnoteReference w:id="64"/>
      </w:r>
      <w:r w:rsidR="001A6F07">
        <w:rPr>
          <w:rFonts w:ascii="Times New Roman" w:hAnsi="Times New Roman" w:cs="Times New Roman"/>
        </w:rPr>
        <w:t>.</w:t>
      </w:r>
    </w:p>
    <w:p w14:paraId="7A51430F" w14:textId="09063B00" w:rsidR="00182F2A" w:rsidRPr="00182F2A" w:rsidRDefault="00182F2A" w:rsidP="00D80D68">
      <w:pPr>
        <w:pStyle w:val="Nagwek2"/>
        <w:spacing w:line="360" w:lineRule="auto"/>
        <w:jc w:val="both"/>
      </w:pPr>
      <w:bookmarkStart w:id="27" w:name="_Toc513545756"/>
      <w:r w:rsidRPr="00182F2A">
        <w:lastRenderedPageBreak/>
        <w:t>III.</w:t>
      </w:r>
      <w:r w:rsidR="00E44969">
        <w:t>4</w:t>
      </w:r>
      <w:r w:rsidRPr="00182F2A">
        <w:t xml:space="preserve"> Rozwiązania zastosowane w Austrii i ich wpływ na działanie sektora bankowego i sytuację kredytobiorców</w:t>
      </w:r>
      <w:r w:rsidR="00A24377">
        <w:t>.</w:t>
      </w:r>
      <w:bookmarkEnd w:id="27"/>
    </w:p>
    <w:p w14:paraId="6CB51771" w14:textId="366111E6" w:rsidR="00182F2A" w:rsidRDefault="003D4351" w:rsidP="00D80D68">
      <w:pPr>
        <w:pStyle w:val="Default"/>
        <w:spacing w:line="360" w:lineRule="auto"/>
        <w:jc w:val="both"/>
        <w:rPr>
          <w:rFonts w:ascii="Times New Roman" w:hAnsi="Times New Roman" w:cs="Times New Roman"/>
        </w:rPr>
      </w:pPr>
      <w:r>
        <w:rPr>
          <w:rFonts w:ascii="Times New Roman" w:hAnsi="Times New Roman" w:cs="Times New Roman"/>
        </w:rPr>
        <w:tab/>
      </w:r>
      <w:r w:rsidR="005523F6">
        <w:rPr>
          <w:rFonts w:ascii="Times New Roman" w:hAnsi="Times New Roman" w:cs="Times New Roman"/>
        </w:rPr>
        <w:t xml:space="preserve">Kolejnym państwem, w którym kredyty hipoteczne w walutach obcych były popularnym źródłem finansowania jest Austria. </w:t>
      </w:r>
      <w:r w:rsidR="00D706B9">
        <w:rPr>
          <w:rFonts w:ascii="Times New Roman" w:hAnsi="Times New Roman" w:cs="Times New Roman"/>
        </w:rPr>
        <w:t xml:space="preserve">Zdecydowanie najpopularniejszą walutą jest CHF. Łączna wartość zadłużenia gospodarstw domowych </w:t>
      </w:r>
      <w:r w:rsidR="006D04C3">
        <w:rPr>
          <w:rFonts w:ascii="Times New Roman" w:hAnsi="Times New Roman" w:cs="Times New Roman"/>
        </w:rPr>
        <w:t xml:space="preserve">z tytułu kredytów hipotecznych </w:t>
      </w:r>
      <w:r w:rsidR="00D706B9">
        <w:rPr>
          <w:rFonts w:ascii="Times New Roman" w:hAnsi="Times New Roman" w:cs="Times New Roman"/>
        </w:rPr>
        <w:t>w tej walucie wynosiła</w:t>
      </w:r>
      <w:r w:rsidR="006D04C3">
        <w:rPr>
          <w:rFonts w:ascii="Times New Roman" w:hAnsi="Times New Roman" w:cs="Times New Roman"/>
        </w:rPr>
        <w:t xml:space="preserve"> w IV</w:t>
      </w:r>
      <w:r w:rsidR="00D706B9">
        <w:rPr>
          <w:rFonts w:ascii="Times New Roman" w:hAnsi="Times New Roman" w:cs="Times New Roman"/>
        </w:rPr>
        <w:t xml:space="preserve"> kwarta</w:t>
      </w:r>
      <w:r w:rsidR="006D04C3">
        <w:rPr>
          <w:rFonts w:ascii="Times New Roman" w:hAnsi="Times New Roman" w:cs="Times New Roman"/>
        </w:rPr>
        <w:t>le 2016 r. około 16,5</w:t>
      </w:r>
      <w:r w:rsidR="00D706B9">
        <w:rPr>
          <w:rFonts w:ascii="Times New Roman" w:hAnsi="Times New Roman" w:cs="Times New Roman"/>
        </w:rPr>
        <w:t xml:space="preserve"> mld euro</w:t>
      </w:r>
      <w:r w:rsidR="00035B97">
        <w:rPr>
          <w:rStyle w:val="Odwoanieprzypisudolnego"/>
          <w:rFonts w:ascii="Times New Roman" w:hAnsi="Times New Roman" w:cs="Times New Roman"/>
        </w:rPr>
        <w:footnoteReference w:id="65"/>
      </w:r>
      <w:r w:rsidR="00D706B9">
        <w:rPr>
          <w:rFonts w:ascii="Times New Roman" w:hAnsi="Times New Roman" w:cs="Times New Roman"/>
        </w:rPr>
        <w:t xml:space="preserve">. Drugą walutą najpopularniejszą wśród kredytobiorców jest JPY. Wartość zadłużenia Austriaków w tej walucie wynosiła w marcu 2014 r. 1,5 mld euro. </w:t>
      </w:r>
      <w:r>
        <w:rPr>
          <w:rFonts w:ascii="Times New Roman" w:hAnsi="Times New Roman" w:cs="Times New Roman"/>
        </w:rPr>
        <w:t xml:space="preserve">Austria jest państwem o najwyższej wartości zadłużenia z tytułu kredytów w CHF w Europie i najwyższej wartości takiego zadłużenia w stosunku do PKB. Według danych Austriackiego Banku Narodowego około 70% wartości zadłużenia w CHF przypada na kredyty hipoteczne spłacane przez gospodarstwa domowe. </w:t>
      </w:r>
      <w:r w:rsidR="003132A5">
        <w:rPr>
          <w:rFonts w:ascii="Times New Roman" w:hAnsi="Times New Roman" w:cs="Times New Roman"/>
        </w:rPr>
        <w:t>Geneza i</w:t>
      </w:r>
      <w:r w:rsidR="00D62893">
        <w:rPr>
          <w:rFonts w:ascii="Times New Roman" w:hAnsi="Times New Roman" w:cs="Times New Roman"/>
        </w:rPr>
        <w:t xml:space="preserve"> konstrukcja</w:t>
      </w:r>
      <w:r w:rsidR="003132A5">
        <w:rPr>
          <w:rFonts w:ascii="Times New Roman" w:hAnsi="Times New Roman" w:cs="Times New Roman"/>
        </w:rPr>
        <w:t xml:space="preserve"> hipotecznych kredytów walutowych w Austrii jest jednak inna, niż w państwach omawianych w poprzednich rozdziałach.</w:t>
      </w:r>
    </w:p>
    <w:p w14:paraId="44F86A2A" w14:textId="4B638680" w:rsidR="00EF60CC" w:rsidRDefault="00EF60CC" w:rsidP="00D80D68">
      <w:pPr>
        <w:pStyle w:val="Default"/>
        <w:spacing w:line="360" w:lineRule="auto"/>
        <w:jc w:val="both"/>
        <w:rPr>
          <w:rFonts w:ascii="Times New Roman" w:hAnsi="Times New Roman" w:cs="Times New Roman"/>
        </w:rPr>
      </w:pPr>
      <w:r>
        <w:rPr>
          <w:rFonts w:ascii="Times New Roman" w:hAnsi="Times New Roman" w:cs="Times New Roman"/>
        </w:rPr>
        <w:tab/>
        <w:t>Popularność kredytów walutowych w Austrii rozpoczęła się</w:t>
      </w:r>
      <w:r w:rsidR="00B11352">
        <w:rPr>
          <w:rFonts w:ascii="Times New Roman" w:hAnsi="Times New Roman" w:cs="Times New Roman"/>
        </w:rPr>
        <w:t xml:space="preserve"> </w:t>
      </w:r>
      <w:r>
        <w:rPr>
          <w:rFonts w:ascii="Times New Roman" w:hAnsi="Times New Roman" w:cs="Times New Roman"/>
        </w:rPr>
        <w:t>na początku lat 90-tych XX wieku, kiedy Austriacy pracujący w Szwajcarii i uzyskujący dochody w CHF decydowali się na zaciąganie zobowiązań w szwajcarskiej walucie z powodu znacznie niższego oprocentowania w porównaniu do ówczesnej waluty</w:t>
      </w:r>
      <w:r w:rsidR="004B3F11">
        <w:rPr>
          <w:rFonts w:ascii="Times New Roman" w:hAnsi="Times New Roman" w:cs="Times New Roman"/>
        </w:rPr>
        <w:t xml:space="preserve"> krajowej</w:t>
      </w:r>
      <w:r>
        <w:rPr>
          <w:rFonts w:ascii="Times New Roman" w:hAnsi="Times New Roman" w:cs="Times New Roman"/>
        </w:rPr>
        <w:t xml:space="preserve"> – szylinga. </w:t>
      </w:r>
      <w:r w:rsidR="0066000D">
        <w:rPr>
          <w:rFonts w:ascii="Times New Roman" w:hAnsi="Times New Roman" w:cs="Times New Roman"/>
        </w:rPr>
        <w:t>Z możliwości uzyskania tańszego finansowania w CHF wkrótce zaczęli korzystać Austriacy, którzy otrzymywali dochody w krajowej walucie.</w:t>
      </w:r>
      <w:r w:rsidR="006A438B">
        <w:rPr>
          <w:rFonts w:ascii="Times New Roman" w:hAnsi="Times New Roman" w:cs="Times New Roman"/>
        </w:rPr>
        <w:t xml:space="preserve"> Kredyty hipoteczne w CHF były także chętnie zaciągane w latach 2003-2008, również z powodu znacznie niższego oprocentowania</w:t>
      </w:r>
      <w:r w:rsidR="00E431CA">
        <w:rPr>
          <w:rFonts w:ascii="Times New Roman" w:hAnsi="Times New Roman" w:cs="Times New Roman"/>
        </w:rPr>
        <w:t>, niż te, które oferowały kredyty w EUR.</w:t>
      </w:r>
      <w:r w:rsidR="0066000D">
        <w:rPr>
          <w:rFonts w:ascii="Times New Roman" w:hAnsi="Times New Roman" w:cs="Times New Roman"/>
        </w:rPr>
        <w:t xml:space="preserve"> </w:t>
      </w:r>
      <w:r w:rsidR="00491EEA">
        <w:rPr>
          <w:rFonts w:ascii="Times New Roman" w:hAnsi="Times New Roman" w:cs="Times New Roman"/>
        </w:rPr>
        <w:t>Więks</w:t>
      </w:r>
      <w:r w:rsidR="003E70B9">
        <w:rPr>
          <w:rFonts w:ascii="Times New Roman" w:hAnsi="Times New Roman" w:cs="Times New Roman"/>
        </w:rPr>
        <w:t>za część zobowiązań Austriaków z tytułu kredytów hipotecznych w CHF pochodzi właśnie z tego okresu (5,17 mld w EUR w 2002 r. w porównaniu do</w:t>
      </w:r>
      <w:r w:rsidR="00302292">
        <w:rPr>
          <w:rFonts w:ascii="Times New Roman" w:hAnsi="Times New Roman" w:cs="Times New Roman"/>
        </w:rPr>
        <w:t xml:space="preserve"> 26,06 mld EUR w 2007 r.).</w:t>
      </w:r>
      <w:r w:rsidR="003C3D7E">
        <w:rPr>
          <w:rFonts w:ascii="Times New Roman" w:hAnsi="Times New Roman" w:cs="Times New Roman"/>
        </w:rPr>
        <w:t xml:space="preserve"> Zobowiązania w CHF stanowiły na koniec 2007 r. 95% wartości wszystkich zobowiązań w walutach obcych gospodarstw domowych w Austrii.</w:t>
      </w:r>
      <w:r w:rsidR="00302292">
        <w:rPr>
          <w:rFonts w:ascii="Times New Roman" w:hAnsi="Times New Roman" w:cs="Times New Roman"/>
        </w:rPr>
        <w:t xml:space="preserve"> </w:t>
      </w:r>
      <w:r w:rsidR="002D72CB">
        <w:rPr>
          <w:rFonts w:ascii="Times New Roman" w:hAnsi="Times New Roman" w:cs="Times New Roman"/>
        </w:rPr>
        <w:t>W 2015 r. około 150 000 austriackich gospodarstw domowych dalej posiadało zobowiązania w CHF</w:t>
      </w:r>
      <w:r w:rsidR="00E51CB7">
        <w:rPr>
          <w:rFonts w:ascii="Times New Roman" w:hAnsi="Times New Roman" w:cs="Times New Roman"/>
        </w:rPr>
        <w:t xml:space="preserve">, z czego 4% z nich </w:t>
      </w:r>
      <w:r w:rsidR="009B7618">
        <w:rPr>
          <w:rFonts w:ascii="Times New Roman" w:hAnsi="Times New Roman" w:cs="Times New Roman"/>
        </w:rPr>
        <w:t>było</w:t>
      </w:r>
      <w:r w:rsidR="00E51CB7">
        <w:rPr>
          <w:rFonts w:ascii="Times New Roman" w:hAnsi="Times New Roman" w:cs="Times New Roman"/>
        </w:rPr>
        <w:t xml:space="preserve"> spłacane nieterminowo</w:t>
      </w:r>
      <w:r w:rsidR="00CA6A5F">
        <w:rPr>
          <w:rStyle w:val="Odwoanieprzypisudolnego"/>
          <w:rFonts w:ascii="Times New Roman" w:hAnsi="Times New Roman" w:cs="Times New Roman"/>
        </w:rPr>
        <w:footnoteReference w:id="66"/>
      </w:r>
      <w:r w:rsidR="002D72CB">
        <w:rPr>
          <w:rFonts w:ascii="Times New Roman" w:hAnsi="Times New Roman" w:cs="Times New Roman"/>
        </w:rPr>
        <w:t xml:space="preserve">. </w:t>
      </w:r>
    </w:p>
    <w:p w14:paraId="7F0F4668" w14:textId="2A85F0DF" w:rsidR="005311D6" w:rsidRDefault="005311D6" w:rsidP="00D80D68">
      <w:pPr>
        <w:pStyle w:val="Default"/>
        <w:spacing w:line="360" w:lineRule="auto"/>
        <w:jc w:val="both"/>
        <w:rPr>
          <w:rFonts w:ascii="Times New Roman" w:hAnsi="Times New Roman" w:cs="Times New Roman"/>
        </w:rPr>
      </w:pPr>
      <w:r>
        <w:rPr>
          <w:rFonts w:ascii="Times New Roman" w:hAnsi="Times New Roman" w:cs="Times New Roman"/>
        </w:rPr>
        <w:tab/>
        <w:t xml:space="preserve">Poza genezą, austriackie kredyty walutowe w CHF różnią się również konstrukcją. Często do </w:t>
      </w:r>
      <w:r w:rsidR="00A52064">
        <w:rPr>
          <w:rFonts w:ascii="Times New Roman" w:hAnsi="Times New Roman" w:cs="Times New Roman"/>
        </w:rPr>
        <w:t xml:space="preserve">kredytów hipotecznych </w:t>
      </w:r>
      <w:r>
        <w:rPr>
          <w:rFonts w:ascii="Times New Roman" w:hAnsi="Times New Roman" w:cs="Times New Roman"/>
        </w:rPr>
        <w:t xml:space="preserve">dołączane były </w:t>
      </w:r>
      <w:r w:rsidR="00513CA9">
        <w:rPr>
          <w:rFonts w:ascii="Times New Roman" w:hAnsi="Times New Roman" w:cs="Times New Roman"/>
        </w:rPr>
        <w:t>polisy</w:t>
      </w:r>
      <w:r>
        <w:rPr>
          <w:rFonts w:ascii="Times New Roman" w:hAnsi="Times New Roman" w:cs="Times New Roman"/>
        </w:rPr>
        <w:t xml:space="preserve"> inwestycyjne mające pomóc w </w:t>
      </w:r>
      <w:r w:rsidR="00514E29">
        <w:rPr>
          <w:rFonts w:ascii="Times New Roman" w:hAnsi="Times New Roman" w:cs="Times New Roman"/>
        </w:rPr>
        <w:t xml:space="preserve">terminowej </w:t>
      </w:r>
      <w:r>
        <w:rPr>
          <w:rFonts w:ascii="Times New Roman" w:hAnsi="Times New Roman" w:cs="Times New Roman"/>
        </w:rPr>
        <w:t>spłacie kredytu</w:t>
      </w:r>
      <w:r w:rsidR="00782C7A">
        <w:rPr>
          <w:rStyle w:val="Odwoanieprzypisudolnego"/>
          <w:rFonts w:ascii="Times New Roman" w:hAnsi="Times New Roman" w:cs="Times New Roman"/>
        </w:rPr>
        <w:footnoteReference w:id="67"/>
      </w:r>
      <w:r w:rsidR="004B408D">
        <w:rPr>
          <w:rFonts w:ascii="Times New Roman" w:hAnsi="Times New Roman" w:cs="Times New Roman"/>
        </w:rPr>
        <w:t>.</w:t>
      </w:r>
      <w:r>
        <w:rPr>
          <w:rFonts w:ascii="Times New Roman" w:hAnsi="Times New Roman" w:cs="Times New Roman"/>
        </w:rPr>
        <w:t xml:space="preserve"> </w:t>
      </w:r>
      <w:r w:rsidR="00603C76">
        <w:rPr>
          <w:rFonts w:ascii="Times New Roman" w:hAnsi="Times New Roman" w:cs="Times New Roman"/>
        </w:rPr>
        <w:t>Oznaczało to, że kredytobiorcy byli zachęcani przez banki do za</w:t>
      </w:r>
      <w:r w:rsidR="00603C76">
        <w:rPr>
          <w:rFonts w:ascii="Times New Roman" w:hAnsi="Times New Roman" w:cs="Times New Roman"/>
        </w:rPr>
        <w:lastRenderedPageBreak/>
        <w:t>ciągnięcia zobowiązania powyżej kwoty wymaganej do zakupu nieruchomości.</w:t>
      </w:r>
      <w:r w:rsidR="004B408D">
        <w:rPr>
          <w:rFonts w:ascii="Times New Roman" w:hAnsi="Times New Roman" w:cs="Times New Roman"/>
        </w:rPr>
        <w:t xml:space="preserve"> Takie rozwiązanie przestało sprawdzać się, gdy w 20</w:t>
      </w:r>
      <w:r w:rsidR="002107CA">
        <w:rPr>
          <w:rFonts w:ascii="Times New Roman" w:hAnsi="Times New Roman" w:cs="Times New Roman"/>
        </w:rPr>
        <w:t>0</w:t>
      </w:r>
      <w:r w:rsidR="004B408D">
        <w:rPr>
          <w:rFonts w:ascii="Times New Roman" w:hAnsi="Times New Roman" w:cs="Times New Roman"/>
        </w:rPr>
        <w:t xml:space="preserve">8 r. doszło do załamania gospodarczego na światowych rynkach, przez co </w:t>
      </w:r>
      <w:r w:rsidR="00513CA9">
        <w:rPr>
          <w:rFonts w:ascii="Times New Roman" w:hAnsi="Times New Roman" w:cs="Times New Roman"/>
        </w:rPr>
        <w:t>polisy</w:t>
      </w:r>
      <w:r w:rsidR="004B408D">
        <w:rPr>
          <w:rFonts w:ascii="Times New Roman" w:hAnsi="Times New Roman" w:cs="Times New Roman"/>
        </w:rPr>
        <w:t xml:space="preserve"> inwestycyjne znacznie zmniejszyły swoją rentowność, bądź zaczęły nawet przynosić straty.</w:t>
      </w:r>
      <w:r w:rsidR="00C82A0D">
        <w:rPr>
          <w:rFonts w:ascii="Times New Roman" w:hAnsi="Times New Roman" w:cs="Times New Roman"/>
        </w:rPr>
        <w:t xml:space="preserve"> Duża część kredytów hipotecznych w walutach obcych nie jest spłacana za pomocą miesięcznych rat kapitałowo-odsetkowych. Odsetki od kwoty wypłaconego kapitału spłacane są za pomocą miesięcznych rat odsetkowych, natomiast kapitał spłacany jest w racie balonowej na koniec okresu kredytowania. </w:t>
      </w:r>
      <w:r w:rsidR="00513CA9">
        <w:rPr>
          <w:rFonts w:ascii="Times New Roman" w:hAnsi="Times New Roman" w:cs="Times New Roman"/>
        </w:rPr>
        <w:t>Polisy</w:t>
      </w:r>
      <w:r w:rsidR="00CA6649">
        <w:rPr>
          <w:rFonts w:ascii="Times New Roman" w:hAnsi="Times New Roman" w:cs="Times New Roman"/>
        </w:rPr>
        <w:t xml:space="preserve"> inwestycyjne dodawane do kredytów miały wspomóc dłużników w spłacie ostatniej, zdecydowanie największej raty. Szacuje się, że kredyty o takiej konstrukcji stanowią około 7</w:t>
      </w:r>
      <w:r w:rsidR="008D076B">
        <w:rPr>
          <w:rFonts w:ascii="Times New Roman" w:hAnsi="Times New Roman" w:cs="Times New Roman"/>
        </w:rPr>
        <w:t>5</w:t>
      </w:r>
      <w:r w:rsidR="00CA6649">
        <w:rPr>
          <w:rFonts w:ascii="Times New Roman" w:hAnsi="Times New Roman" w:cs="Times New Roman"/>
        </w:rPr>
        <w:t>% aktywnych kredytów hipotecznych w walutach obcych</w:t>
      </w:r>
      <w:r w:rsidR="008D076B">
        <w:rPr>
          <w:rFonts w:ascii="Times New Roman" w:hAnsi="Times New Roman" w:cs="Times New Roman"/>
        </w:rPr>
        <w:t>, kredyty z ratami kapitałowo</w:t>
      </w:r>
      <w:r w:rsidR="007319D2">
        <w:rPr>
          <w:rFonts w:ascii="Times New Roman" w:hAnsi="Times New Roman" w:cs="Times New Roman"/>
        </w:rPr>
        <w:t>-odsetkowymi stanowią jedynie 25% takich zobowiązań</w:t>
      </w:r>
      <w:r w:rsidR="00EA21E0">
        <w:rPr>
          <w:rStyle w:val="Odwoanieprzypisudolnego"/>
          <w:rFonts w:ascii="Times New Roman" w:hAnsi="Times New Roman" w:cs="Times New Roman"/>
        </w:rPr>
        <w:footnoteReference w:id="68"/>
      </w:r>
      <w:r w:rsidR="007319D2">
        <w:rPr>
          <w:rFonts w:ascii="Times New Roman" w:hAnsi="Times New Roman" w:cs="Times New Roman"/>
        </w:rPr>
        <w:t>.</w:t>
      </w:r>
    </w:p>
    <w:p w14:paraId="6F7653CE" w14:textId="0A6877AC" w:rsidR="00A12339" w:rsidRPr="003D4351" w:rsidRDefault="00A12339" w:rsidP="00D80D68">
      <w:pPr>
        <w:pStyle w:val="Default"/>
        <w:spacing w:line="360" w:lineRule="auto"/>
        <w:jc w:val="both"/>
        <w:rPr>
          <w:rFonts w:ascii="Times New Roman" w:hAnsi="Times New Roman" w:cs="Times New Roman"/>
        </w:rPr>
      </w:pPr>
      <w:r>
        <w:rPr>
          <w:rFonts w:ascii="Times New Roman" w:hAnsi="Times New Roman" w:cs="Times New Roman"/>
        </w:rPr>
        <w:tab/>
        <w:t xml:space="preserve">Kolejnym popularnym rozwiązaniem </w:t>
      </w:r>
      <w:r w:rsidR="00C94A3C">
        <w:rPr>
          <w:rFonts w:ascii="Times New Roman" w:hAnsi="Times New Roman" w:cs="Times New Roman"/>
        </w:rPr>
        <w:t>było stosowanie przez</w:t>
      </w:r>
      <w:r w:rsidR="006F454B">
        <w:rPr>
          <w:rFonts w:ascii="Times New Roman" w:hAnsi="Times New Roman" w:cs="Times New Roman"/>
        </w:rPr>
        <w:t xml:space="preserve"> </w:t>
      </w:r>
      <w:r w:rsidR="00C94A3C">
        <w:rPr>
          <w:rFonts w:ascii="Times New Roman" w:hAnsi="Times New Roman" w:cs="Times New Roman"/>
        </w:rPr>
        <w:t>banki klauzul typu stop loss, których zadaniem było ograniczenie strat klientów w sytuacji, gdyby CHF uległ znacznej aprecjacji. Klauzule miały automatycznie wywoływać konwersję</w:t>
      </w:r>
      <w:r w:rsidR="006F454B">
        <w:rPr>
          <w:rFonts w:ascii="Times New Roman" w:hAnsi="Times New Roman" w:cs="Times New Roman"/>
        </w:rPr>
        <w:t xml:space="preserve"> </w:t>
      </w:r>
      <w:r w:rsidR="00C94A3C">
        <w:rPr>
          <w:rFonts w:ascii="Times New Roman" w:hAnsi="Times New Roman" w:cs="Times New Roman"/>
        </w:rPr>
        <w:t>kredytów na EUR w sytuacji gdyby kurs EUR/CHF spadł poniżej poziomu określonego w umowie kredytowej.</w:t>
      </w:r>
      <w:r w:rsidR="006C01C1">
        <w:rPr>
          <w:rFonts w:ascii="Times New Roman" w:hAnsi="Times New Roman" w:cs="Times New Roman"/>
        </w:rPr>
        <w:t xml:space="preserve"> Najczęściej </w:t>
      </w:r>
      <w:r w:rsidR="00F47811">
        <w:rPr>
          <w:rFonts w:ascii="Times New Roman" w:hAnsi="Times New Roman" w:cs="Times New Roman"/>
        </w:rPr>
        <w:t xml:space="preserve">klauzule miały docelowo uruchamiać się w przypadku osiągnięcia kursu EUR/CHF poziomu około 0,80. </w:t>
      </w:r>
      <w:r w:rsidR="00B86C6D">
        <w:rPr>
          <w:rFonts w:ascii="Times New Roman" w:hAnsi="Times New Roman" w:cs="Times New Roman"/>
        </w:rPr>
        <w:t xml:space="preserve">Okazało się jednak, że duża część klauzul uruchomiła przy wyższym poziomie kursu (często nawet nieznacznie powyżej poziomu 1,00 kursu EUR/CHF). Przyczynami tej nieprawidłowości były przeciążenie informatycznych systemów bankowych i </w:t>
      </w:r>
      <w:r w:rsidR="002F7932">
        <w:rPr>
          <w:rFonts w:ascii="Times New Roman" w:hAnsi="Times New Roman" w:cs="Times New Roman"/>
        </w:rPr>
        <w:t>niska podaż CHF na rynku walutowym w dniu zaprzestania obrony minimalnego kursu EUR/CHF przez Szwajcarski Bank Narodowy 15.01.2015 r</w:t>
      </w:r>
      <w:r w:rsidR="000927E8">
        <w:rPr>
          <w:rStyle w:val="Odwoanieprzypisudolnego"/>
          <w:rFonts w:ascii="Times New Roman" w:hAnsi="Times New Roman" w:cs="Times New Roman"/>
        </w:rPr>
        <w:footnoteReference w:id="69"/>
      </w:r>
      <w:r w:rsidR="002F7932">
        <w:rPr>
          <w:rFonts w:ascii="Times New Roman" w:hAnsi="Times New Roman" w:cs="Times New Roman"/>
        </w:rPr>
        <w:t>.</w:t>
      </w:r>
    </w:p>
    <w:p w14:paraId="02C80D29" w14:textId="49742076" w:rsidR="00E51CB7" w:rsidRDefault="00E51CB7" w:rsidP="00D80D68">
      <w:pPr>
        <w:pStyle w:val="Default"/>
        <w:spacing w:line="360" w:lineRule="auto"/>
        <w:jc w:val="both"/>
        <w:rPr>
          <w:rFonts w:ascii="Times New Roman" w:hAnsi="Times New Roman" w:cs="Times New Roman"/>
        </w:rPr>
      </w:pPr>
      <w:r>
        <w:rPr>
          <w:rFonts w:ascii="Times New Roman" w:hAnsi="Times New Roman" w:cs="Times New Roman"/>
        </w:rPr>
        <w:tab/>
      </w:r>
      <w:r w:rsidR="007D16D2">
        <w:rPr>
          <w:rFonts w:ascii="Times New Roman" w:hAnsi="Times New Roman" w:cs="Times New Roman"/>
        </w:rPr>
        <w:t>Austriackie banki twierdzą</w:t>
      </w:r>
      <w:r>
        <w:rPr>
          <w:rFonts w:ascii="Times New Roman" w:hAnsi="Times New Roman" w:cs="Times New Roman"/>
        </w:rPr>
        <w:t xml:space="preserve">, że </w:t>
      </w:r>
      <w:r w:rsidR="00606B6B">
        <w:rPr>
          <w:rFonts w:ascii="Times New Roman" w:hAnsi="Times New Roman" w:cs="Times New Roman"/>
        </w:rPr>
        <w:t>duża wartość kredytów hipotecznych w CHF w</w:t>
      </w:r>
      <w:r w:rsidR="007D16D2">
        <w:rPr>
          <w:rFonts w:ascii="Times New Roman" w:hAnsi="Times New Roman" w:cs="Times New Roman"/>
        </w:rPr>
        <w:t xml:space="preserve"> ich</w:t>
      </w:r>
      <w:r w:rsidR="00606B6B">
        <w:rPr>
          <w:rFonts w:ascii="Times New Roman" w:hAnsi="Times New Roman" w:cs="Times New Roman"/>
        </w:rPr>
        <w:t xml:space="preserve"> aktywach nie jest zagrożeniem dla </w:t>
      </w:r>
      <w:r w:rsidR="00C27677">
        <w:rPr>
          <w:rFonts w:ascii="Times New Roman" w:hAnsi="Times New Roman" w:cs="Times New Roman"/>
        </w:rPr>
        <w:t>wyniku finansowego całego sektora</w:t>
      </w:r>
      <w:r w:rsidR="00946AA0">
        <w:rPr>
          <w:rFonts w:ascii="Times New Roman" w:hAnsi="Times New Roman" w:cs="Times New Roman"/>
        </w:rPr>
        <w:t>, a tym bardz</w:t>
      </w:r>
      <w:r w:rsidR="00DC6823">
        <w:rPr>
          <w:rFonts w:ascii="Times New Roman" w:hAnsi="Times New Roman" w:cs="Times New Roman"/>
        </w:rPr>
        <w:t>iej</w:t>
      </w:r>
      <w:r w:rsidR="00946AA0">
        <w:rPr>
          <w:rFonts w:ascii="Times New Roman" w:hAnsi="Times New Roman" w:cs="Times New Roman"/>
        </w:rPr>
        <w:t xml:space="preserve"> dla</w:t>
      </w:r>
      <w:r w:rsidR="00C27677">
        <w:rPr>
          <w:rFonts w:ascii="Times New Roman" w:hAnsi="Times New Roman" w:cs="Times New Roman"/>
        </w:rPr>
        <w:t xml:space="preserve"> bezpieczeństwa sektora finansowego i całej gospodarki.</w:t>
      </w:r>
      <w:r w:rsidR="00946AA0">
        <w:rPr>
          <w:rFonts w:ascii="Times New Roman" w:hAnsi="Times New Roman" w:cs="Times New Roman"/>
        </w:rPr>
        <w:t xml:space="preserve"> Podobnego zdania są agencje ratingowe, m.in. Fitch</w:t>
      </w:r>
      <w:r w:rsidR="00F500B1">
        <w:rPr>
          <w:rFonts w:ascii="Times New Roman" w:hAnsi="Times New Roman" w:cs="Times New Roman"/>
        </w:rPr>
        <w:t>.</w:t>
      </w:r>
      <w:r w:rsidR="00C27677">
        <w:rPr>
          <w:rFonts w:ascii="Times New Roman" w:hAnsi="Times New Roman" w:cs="Times New Roman"/>
        </w:rPr>
        <w:t xml:space="preserve"> </w:t>
      </w:r>
      <w:r w:rsidR="007E3C3D">
        <w:rPr>
          <w:rFonts w:ascii="Times New Roman" w:hAnsi="Times New Roman" w:cs="Times New Roman"/>
        </w:rPr>
        <w:t>Głównymi przyczynami</w:t>
      </w:r>
      <w:r w:rsidR="006725EE">
        <w:rPr>
          <w:rFonts w:ascii="Times New Roman" w:hAnsi="Times New Roman" w:cs="Times New Roman"/>
        </w:rPr>
        <w:t xml:space="preserve"> takich stanowisk</w:t>
      </w:r>
      <w:r w:rsidR="007E3C3D">
        <w:rPr>
          <w:rFonts w:ascii="Times New Roman" w:hAnsi="Times New Roman" w:cs="Times New Roman"/>
        </w:rPr>
        <w:t xml:space="preserve"> są wysoki poziom cen nieruchomości zabezpieczających kredyty </w:t>
      </w:r>
      <w:r w:rsidR="00701126">
        <w:rPr>
          <w:rFonts w:ascii="Times New Roman" w:hAnsi="Times New Roman" w:cs="Times New Roman"/>
        </w:rPr>
        <w:t xml:space="preserve">(średni poziom cen nieruchomości w Austrii wzrósł o 45% od 2007 r. do 2014 r.) </w:t>
      </w:r>
      <w:r w:rsidR="007E3C3D">
        <w:rPr>
          <w:rFonts w:ascii="Times New Roman" w:hAnsi="Times New Roman" w:cs="Times New Roman"/>
        </w:rPr>
        <w:t xml:space="preserve">i </w:t>
      </w:r>
      <w:r w:rsidR="00C82A0D">
        <w:rPr>
          <w:rFonts w:ascii="Times New Roman" w:hAnsi="Times New Roman" w:cs="Times New Roman"/>
        </w:rPr>
        <w:t>stosunkowo wysoki poziom dochodów kredytobiorców spłacających kredyty w CHF</w:t>
      </w:r>
      <w:r w:rsidR="00046162">
        <w:rPr>
          <w:rStyle w:val="Odwoanieprzypisudolnego"/>
          <w:rFonts w:ascii="Times New Roman" w:hAnsi="Times New Roman" w:cs="Times New Roman"/>
        </w:rPr>
        <w:footnoteReference w:id="70"/>
      </w:r>
      <w:r w:rsidR="00C82A0D">
        <w:rPr>
          <w:rFonts w:ascii="Times New Roman" w:hAnsi="Times New Roman" w:cs="Times New Roman"/>
        </w:rPr>
        <w:t>.</w:t>
      </w:r>
    </w:p>
    <w:p w14:paraId="4A4C62E2" w14:textId="51E984A7" w:rsidR="008053D5" w:rsidRDefault="006A438B" w:rsidP="00D80D68">
      <w:pPr>
        <w:pStyle w:val="Default"/>
        <w:spacing w:line="360" w:lineRule="auto"/>
        <w:jc w:val="both"/>
        <w:rPr>
          <w:rFonts w:ascii="Times New Roman" w:hAnsi="Times New Roman" w:cs="Times New Roman"/>
        </w:rPr>
      </w:pPr>
      <w:r>
        <w:rPr>
          <w:rFonts w:ascii="Times New Roman" w:hAnsi="Times New Roman" w:cs="Times New Roman"/>
        </w:rPr>
        <w:tab/>
        <w:t xml:space="preserve">Mimo braku ustawowego </w:t>
      </w:r>
      <w:r w:rsidR="00090C0E">
        <w:rPr>
          <w:rFonts w:ascii="Times New Roman" w:hAnsi="Times New Roman" w:cs="Times New Roman"/>
        </w:rPr>
        <w:t>nakazu przewalutowania kredytów zaciągniętych w walutach obcych na euro</w:t>
      </w:r>
      <w:r w:rsidR="0010704A">
        <w:rPr>
          <w:rFonts w:ascii="Times New Roman" w:hAnsi="Times New Roman" w:cs="Times New Roman"/>
        </w:rPr>
        <w:t>, austriackie banki same proponują klientom takie rozwiązanie</w:t>
      </w:r>
      <w:r w:rsidR="00CA0D45">
        <w:rPr>
          <w:rFonts w:ascii="Times New Roman" w:hAnsi="Times New Roman" w:cs="Times New Roman"/>
        </w:rPr>
        <w:t>, co miało</w:t>
      </w:r>
      <w:r w:rsidR="00CA0D45">
        <w:rPr>
          <w:rFonts w:ascii="Times New Roman" w:hAnsi="Times New Roman" w:cs="Times New Roman"/>
        </w:rPr>
        <w:lastRenderedPageBreak/>
        <w:t>by doprowadzić do wyeliminowania</w:t>
      </w:r>
      <w:r w:rsidR="00700EDC">
        <w:rPr>
          <w:rFonts w:ascii="Times New Roman" w:hAnsi="Times New Roman" w:cs="Times New Roman"/>
        </w:rPr>
        <w:t xml:space="preserve"> dalsze</w:t>
      </w:r>
      <w:r w:rsidR="00CA0D45">
        <w:rPr>
          <w:rFonts w:ascii="Times New Roman" w:hAnsi="Times New Roman" w:cs="Times New Roman"/>
        </w:rPr>
        <w:t>go</w:t>
      </w:r>
      <w:r w:rsidR="00700EDC">
        <w:rPr>
          <w:rFonts w:ascii="Times New Roman" w:hAnsi="Times New Roman" w:cs="Times New Roman"/>
        </w:rPr>
        <w:t xml:space="preserve"> występowani</w:t>
      </w:r>
      <w:r w:rsidR="00CA0D45">
        <w:rPr>
          <w:rFonts w:ascii="Times New Roman" w:hAnsi="Times New Roman" w:cs="Times New Roman"/>
        </w:rPr>
        <w:t>a</w:t>
      </w:r>
      <w:r w:rsidR="00700EDC">
        <w:rPr>
          <w:rFonts w:ascii="Times New Roman" w:hAnsi="Times New Roman" w:cs="Times New Roman"/>
        </w:rPr>
        <w:t xml:space="preserve"> ryzyka walutowego. Przewalutowanie miałoby odbywać się po obowiązującym kursie rynkowym, na koszt kredytobiorców.</w:t>
      </w:r>
      <w:r w:rsidR="00D94B58">
        <w:rPr>
          <w:rFonts w:ascii="Times New Roman" w:hAnsi="Times New Roman" w:cs="Times New Roman"/>
        </w:rPr>
        <w:t xml:space="preserve"> Klienci jednak z powodu stopniowej deprecjacji CHF </w:t>
      </w:r>
      <w:r w:rsidR="00C55E08">
        <w:rPr>
          <w:rFonts w:ascii="Times New Roman" w:hAnsi="Times New Roman" w:cs="Times New Roman"/>
        </w:rPr>
        <w:t xml:space="preserve">w ostatnich latach </w:t>
      </w:r>
      <w:r w:rsidR="00D94B58">
        <w:rPr>
          <w:rFonts w:ascii="Times New Roman" w:hAnsi="Times New Roman" w:cs="Times New Roman"/>
        </w:rPr>
        <w:t>niechętnie korzystają z propozycji banków.</w:t>
      </w:r>
      <w:r w:rsidR="00C5723B">
        <w:rPr>
          <w:rFonts w:ascii="Times New Roman" w:hAnsi="Times New Roman" w:cs="Times New Roman"/>
        </w:rPr>
        <w:t xml:space="preserve"> Kredytobiorcy zamiast tego (w tym poprzez zorganizowane do tego celu stowarzyszenia) starają się wymusić ustawowe przewalutowanie takich kredytów</w:t>
      </w:r>
      <w:r w:rsidR="00F16956">
        <w:rPr>
          <w:rFonts w:ascii="Times New Roman" w:hAnsi="Times New Roman" w:cs="Times New Roman"/>
        </w:rPr>
        <w:t xml:space="preserve"> na euro</w:t>
      </w:r>
      <w:r w:rsidR="00C5723B">
        <w:rPr>
          <w:rFonts w:ascii="Times New Roman" w:hAnsi="Times New Roman" w:cs="Times New Roman"/>
        </w:rPr>
        <w:t xml:space="preserve"> po historycznym kursie z dnia podpisania umowy kredytowej.</w:t>
      </w:r>
      <w:r w:rsidR="005C1DC0">
        <w:rPr>
          <w:rFonts w:ascii="Times New Roman" w:hAnsi="Times New Roman" w:cs="Times New Roman"/>
        </w:rPr>
        <w:t xml:space="preserve"> Scenariusz ustawowego przewalutowania kredytów hipotecznych walutowych wydaje się </w:t>
      </w:r>
      <w:r w:rsidR="00C82EC4">
        <w:rPr>
          <w:rFonts w:ascii="Times New Roman" w:hAnsi="Times New Roman" w:cs="Times New Roman"/>
        </w:rPr>
        <w:t xml:space="preserve">jednak </w:t>
      </w:r>
      <w:r w:rsidR="005C1DC0">
        <w:rPr>
          <w:rFonts w:ascii="Times New Roman" w:hAnsi="Times New Roman" w:cs="Times New Roman"/>
        </w:rPr>
        <w:t xml:space="preserve">mało prawdopodobny, ponieważ </w:t>
      </w:r>
      <w:r w:rsidR="00C5723B">
        <w:rPr>
          <w:rFonts w:ascii="Times New Roman" w:hAnsi="Times New Roman" w:cs="Times New Roman"/>
        </w:rPr>
        <w:t xml:space="preserve">austriacki rząd od początku nasilenia się popularności takich pożyczek </w:t>
      </w:r>
      <w:r w:rsidR="006E05E3">
        <w:rPr>
          <w:rFonts w:ascii="Times New Roman" w:hAnsi="Times New Roman" w:cs="Times New Roman"/>
        </w:rPr>
        <w:t>wzywał i</w:t>
      </w:r>
      <w:r w:rsidR="00C5723B">
        <w:rPr>
          <w:rFonts w:ascii="Times New Roman" w:hAnsi="Times New Roman" w:cs="Times New Roman"/>
        </w:rPr>
        <w:t xml:space="preserve"> zachęcał kredytobiorców do </w:t>
      </w:r>
      <w:r w:rsidR="00C801B3">
        <w:rPr>
          <w:rFonts w:ascii="Times New Roman" w:hAnsi="Times New Roman" w:cs="Times New Roman"/>
        </w:rPr>
        <w:t xml:space="preserve">dobrowolnego </w:t>
      </w:r>
      <w:r w:rsidR="00C5723B">
        <w:rPr>
          <w:rFonts w:ascii="Times New Roman" w:hAnsi="Times New Roman" w:cs="Times New Roman"/>
        </w:rPr>
        <w:t xml:space="preserve">przewalutowania </w:t>
      </w:r>
      <w:r w:rsidR="00F4251C">
        <w:rPr>
          <w:rFonts w:ascii="Times New Roman" w:hAnsi="Times New Roman" w:cs="Times New Roman"/>
        </w:rPr>
        <w:t>zobowiązań</w:t>
      </w:r>
      <w:r w:rsidR="00C5723B">
        <w:rPr>
          <w:rFonts w:ascii="Times New Roman" w:hAnsi="Times New Roman" w:cs="Times New Roman"/>
        </w:rPr>
        <w:t xml:space="preserve"> na EUR.</w:t>
      </w:r>
      <w:r w:rsidR="005C7015">
        <w:rPr>
          <w:rFonts w:ascii="Times New Roman" w:hAnsi="Times New Roman" w:cs="Times New Roman"/>
        </w:rPr>
        <w:t xml:space="preserve"> </w:t>
      </w:r>
      <w:r w:rsidR="00D6623A">
        <w:rPr>
          <w:rFonts w:ascii="Times New Roman" w:hAnsi="Times New Roman" w:cs="Times New Roman"/>
        </w:rPr>
        <w:t>Rząd podjął jednak kroki zapobiegające dalszemu zadłużeniu się Austriaków w walutach obcych.</w:t>
      </w:r>
      <w:r w:rsidR="004760AE">
        <w:rPr>
          <w:rFonts w:ascii="Times New Roman" w:hAnsi="Times New Roman" w:cs="Times New Roman"/>
        </w:rPr>
        <w:tab/>
        <w:t xml:space="preserve"> </w:t>
      </w:r>
    </w:p>
    <w:p w14:paraId="6CCD4C58" w14:textId="1A7A9D59" w:rsidR="008053D5" w:rsidRDefault="008053D5" w:rsidP="00D80D68">
      <w:pPr>
        <w:pStyle w:val="Default"/>
        <w:spacing w:line="360" w:lineRule="auto"/>
        <w:jc w:val="both"/>
        <w:rPr>
          <w:rFonts w:ascii="Times New Roman" w:hAnsi="Times New Roman" w:cs="Times New Roman"/>
        </w:rPr>
      </w:pPr>
      <w:r>
        <w:rPr>
          <w:rFonts w:ascii="Times New Roman" w:hAnsi="Times New Roman" w:cs="Times New Roman"/>
        </w:rPr>
        <w:tab/>
        <w:t xml:space="preserve">W obawie o duże ryzyko nieterminowej spłaty zobowiązań w walutach obcych przez gospodarstwa domowe w październiku 2008 r., krótko po wybuchu kryzysu finansowego austriacki nadzór finansowy wprowadził nowe regulacje uniemożliwiające zaciągnięcie kredytów walutowych. Od tej pory Austriacy mogą zaciągać zobowiązania tylko w walucie, w której otrzymują dochody. Od tego czasu Austriacy bardzo szybko starali się spłacać posiadane </w:t>
      </w:r>
      <w:r w:rsidR="001C6EA7">
        <w:rPr>
          <w:rFonts w:ascii="Times New Roman" w:hAnsi="Times New Roman" w:cs="Times New Roman"/>
        </w:rPr>
        <w:t xml:space="preserve">dewizowe </w:t>
      </w:r>
      <w:r>
        <w:rPr>
          <w:rFonts w:ascii="Times New Roman" w:hAnsi="Times New Roman" w:cs="Times New Roman"/>
        </w:rPr>
        <w:t xml:space="preserve">kredyty </w:t>
      </w:r>
      <w:r w:rsidR="005A003B">
        <w:rPr>
          <w:rFonts w:ascii="Times New Roman" w:hAnsi="Times New Roman" w:cs="Times New Roman"/>
        </w:rPr>
        <w:t xml:space="preserve">hipoteczne </w:t>
      </w:r>
      <w:r>
        <w:rPr>
          <w:rFonts w:ascii="Times New Roman" w:hAnsi="Times New Roman" w:cs="Times New Roman"/>
        </w:rPr>
        <w:t>(270 000 gospodarstw w 2009, 154 000 w 2015r.</w:t>
      </w:r>
      <w:r>
        <w:rPr>
          <w:rStyle w:val="Odwoanieprzypisudolnego"/>
          <w:rFonts w:ascii="Times New Roman" w:hAnsi="Times New Roman" w:cs="Times New Roman"/>
        </w:rPr>
        <w:footnoteReference w:id="71"/>
      </w:r>
      <w:r>
        <w:rPr>
          <w:rFonts w:ascii="Times New Roman" w:hAnsi="Times New Roman" w:cs="Times New Roman"/>
        </w:rPr>
        <w:t xml:space="preserve">). </w:t>
      </w:r>
    </w:p>
    <w:p w14:paraId="3F73ECAA" w14:textId="40D30DAF" w:rsidR="006A438B" w:rsidRDefault="006A438B" w:rsidP="00D80D68">
      <w:pPr>
        <w:pStyle w:val="Default"/>
        <w:spacing w:line="360" w:lineRule="auto"/>
        <w:jc w:val="both"/>
        <w:rPr>
          <w:rFonts w:ascii="Times New Roman" w:hAnsi="Times New Roman" w:cs="Times New Roman"/>
        </w:rPr>
      </w:pPr>
    </w:p>
    <w:p w14:paraId="0144A567" w14:textId="63F7C87A" w:rsidR="00513CA9" w:rsidRDefault="00513CA9" w:rsidP="00D80D68">
      <w:pPr>
        <w:pStyle w:val="Nagwek2"/>
        <w:spacing w:line="360" w:lineRule="auto"/>
        <w:jc w:val="both"/>
      </w:pPr>
      <w:bookmarkStart w:id="28" w:name="_Toc513545757"/>
      <w:r w:rsidRPr="00513CA9">
        <w:t>III.</w:t>
      </w:r>
      <w:r w:rsidR="00413E52">
        <w:t>5</w:t>
      </w:r>
      <w:r w:rsidRPr="00513CA9">
        <w:t xml:space="preserve"> Rozwiązania zastosowane na Węgrzech i ich wpływ na działanie sektora bankowego i sytuację kredytobiorców</w:t>
      </w:r>
      <w:r w:rsidR="00A24377">
        <w:t>.</w:t>
      </w:r>
      <w:bookmarkEnd w:id="28"/>
    </w:p>
    <w:p w14:paraId="6C297131" w14:textId="595411C5" w:rsidR="00AA2AC5" w:rsidRPr="008D3673" w:rsidRDefault="008E18F6" w:rsidP="00D80D68">
      <w:pPr>
        <w:pStyle w:val="Default"/>
        <w:spacing w:line="36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Kredyty hipoteczne w walutach obcych na Węgrzech były bardzo popularne w latach 2003-2008.</w:t>
      </w:r>
      <w:r w:rsidR="00A0741C">
        <w:rPr>
          <w:rFonts w:ascii="Times New Roman" w:hAnsi="Times New Roman" w:cs="Times New Roman"/>
        </w:rPr>
        <w:t xml:space="preserve"> Ze względu na wartość zobowiązań najbardziej znaczącą walutą obcą był CHF (ok 91% wartości kredytów hipotecznych dewizowych i ok 43% wartości wszystkich kredytów hipotecznych w 2008 r.), ale klienci zaciągali również zobowiązania w EUR (ok 9% wartości kredytów hipotecznych dewizowych i ok 4% wartości wszystkich kredytów hipotecznych w 2008 r.)</w:t>
      </w:r>
      <w:r w:rsidR="004236D3">
        <w:rPr>
          <w:rFonts w:ascii="Times New Roman" w:hAnsi="Times New Roman" w:cs="Times New Roman"/>
        </w:rPr>
        <w:t>.</w:t>
      </w:r>
      <w:r w:rsidR="00A0741C">
        <w:rPr>
          <w:rFonts w:ascii="Times New Roman" w:hAnsi="Times New Roman" w:cs="Times New Roman"/>
          <w:b/>
        </w:rPr>
        <w:t xml:space="preserve"> </w:t>
      </w:r>
      <w:r w:rsidR="003C3D7E">
        <w:rPr>
          <w:rFonts w:ascii="Times New Roman" w:hAnsi="Times New Roman" w:cs="Times New Roman"/>
        </w:rPr>
        <w:t xml:space="preserve">Wartość zadłużenia w CHF dla tego kraju wzrosła z 1,2 mld euro w 2002 r. do 32,6 mld euro w 2007. </w:t>
      </w:r>
      <w:r>
        <w:rPr>
          <w:rFonts w:ascii="Times New Roman" w:hAnsi="Times New Roman" w:cs="Times New Roman"/>
        </w:rPr>
        <w:t>Powody były analogiczne, jak w poprzednio omawianych państwach – klienci chcieli skorzystać z tańszego źródła finansowania z powodu znacznie niższych stóp oprocentowania oferowanych dla kredytów w walutach zagranicznych</w:t>
      </w:r>
      <w:r w:rsidR="00D75D0C">
        <w:rPr>
          <w:rFonts w:ascii="Times New Roman" w:hAnsi="Times New Roman" w:cs="Times New Roman"/>
        </w:rPr>
        <w:t>, niż dla waluty krajowej – forinta</w:t>
      </w:r>
      <w:r w:rsidR="004236D3">
        <w:rPr>
          <w:rStyle w:val="Odwoanieprzypisudolnego"/>
          <w:rFonts w:ascii="Times New Roman" w:hAnsi="Times New Roman" w:cs="Times New Roman"/>
        </w:rPr>
        <w:footnoteReference w:id="72"/>
      </w:r>
      <w:r w:rsidR="00D75D0C">
        <w:rPr>
          <w:rFonts w:ascii="Times New Roman" w:hAnsi="Times New Roman" w:cs="Times New Roman"/>
        </w:rPr>
        <w:t>.</w:t>
      </w:r>
      <w:r w:rsidR="00F16E48">
        <w:rPr>
          <w:rFonts w:ascii="Times New Roman" w:hAnsi="Times New Roman" w:cs="Times New Roman"/>
        </w:rPr>
        <w:t xml:space="preserve"> </w:t>
      </w:r>
    </w:p>
    <w:p w14:paraId="640642EF" w14:textId="7EDFC7F5" w:rsidR="008E18F6" w:rsidRPr="007B1537" w:rsidRDefault="00E4555C" w:rsidP="00D80D68">
      <w:pPr>
        <w:pStyle w:val="Default"/>
        <w:spacing w:line="360" w:lineRule="auto"/>
        <w:ind w:firstLine="708"/>
        <w:jc w:val="both"/>
        <w:rPr>
          <w:rFonts w:ascii="Times New Roman" w:hAnsi="Times New Roman" w:cs="Times New Roman"/>
        </w:rPr>
      </w:pPr>
      <w:r>
        <w:rPr>
          <w:rFonts w:ascii="Times New Roman" w:hAnsi="Times New Roman" w:cs="Times New Roman"/>
        </w:rPr>
        <w:t>Kredyty</w:t>
      </w:r>
      <w:r w:rsidR="00BF2956">
        <w:rPr>
          <w:rFonts w:ascii="Times New Roman" w:hAnsi="Times New Roman" w:cs="Times New Roman"/>
        </w:rPr>
        <w:t xml:space="preserve"> hipoteczne w CHF były bardzo ochoczo oferowane przez banki, które zachęcały klientów </w:t>
      </w:r>
      <w:r w:rsidR="004030F0">
        <w:rPr>
          <w:rFonts w:ascii="Times New Roman" w:hAnsi="Times New Roman" w:cs="Times New Roman"/>
        </w:rPr>
        <w:t xml:space="preserve">możliwością otrzymania taniego pieniądza i </w:t>
      </w:r>
      <w:r w:rsidR="00D73F25">
        <w:rPr>
          <w:rFonts w:ascii="Times New Roman" w:hAnsi="Times New Roman" w:cs="Times New Roman"/>
        </w:rPr>
        <w:t xml:space="preserve">otrzymania większej kwoty, niż </w:t>
      </w:r>
      <w:r w:rsidR="00D73F25">
        <w:rPr>
          <w:rFonts w:ascii="Times New Roman" w:hAnsi="Times New Roman" w:cs="Times New Roman"/>
        </w:rPr>
        <w:lastRenderedPageBreak/>
        <w:t xml:space="preserve">było to możliwe w forincie i innych walutach zagranicznych. </w:t>
      </w:r>
      <w:r w:rsidR="00F45EBD">
        <w:rPr>
          <w:rFonts w:ascii="Times New Roman" w:hAnsi="Times New Roman" w:cs="Times New Roman"/>
        </w:rPr>
        <w:t xml:space="preserve">Dużą skalę problemu obrazuje fakt, że poza strefą euro Węgry były przed przewalutowaniem kredytów na </w:t>
      </w:r>
      <w:r w:rsidR="001D2AEB">
        <w:rPr>
          <w:rFonts w:ascii="Times New Roman" w:hAnsi="Times New Roman" w:cs="Times New Roman"/>
        </w:rPr>
        <w:t>HUF</w:t>
      </w:r>
      <w:r w:rsidR="00F45EBD">
        <w:rPr>
          <w:rFonts w:ascii="Times New Roman" w:hAnsi="Times New Roman" w:cs="Times New Roman"/>
        </w:rPr>
        <w:t xml:space="preserve"> krajem o największej wartości zadłużenia z tytułu kredytów w CHF w stosunku do wartości PKB (12,2%).</w:t>
      </w:r>
      <w:r w:rsidR="00C06883">
        <w:rPr>
          <w:rFonts w:ascii="Times New Roman" w:hAnsi="Times New Roman" w:cs="Times New Roman"/>
        </w:rPr>
        <w:t xml:space="preserve"> Odsetek nieruchomości obciążonych kredytem</w:t>
      </w:r>
      <w:r w:rsidR="00B11352">
        <w:rPr>
          <w:rFonts w:ascii="Times New Roman" w:hAnsi="Times New Roman" w:cs="Times New Roman"/>
        </w:rPr>
        <w:t xml:space="preserve"> </w:t>
      </w:r>
      <w:r w:rsidR="00C06883">
        <w:rPr>
          <w:rFonts w:ascii="Times New Roman" w:hAnsi="Times New Roman" w:cs="Times New Roman"/>
        </w:rPr>
        <w:t>hipotecznym w tym kraju również był w tym czasie relatywnie wysoki (20,6%)</w:t>
      </w:r>
      <w:r w:rsidR="005D10BA">
        <w:rPr>
          <w:rFonts w:ascii="Times New Roman" w:hAnsi="Times New Roman" w:cs="Times New Roman"/>
        </w:rPr>
        <w:t>, najwyższy</w:t>
      </w:r>
      <w:r w:rsidR="00C06883">
        <w:rPr>
          <w:rFonts w:ascii="Times New Roman" w:hAnsi="Times New Roman" w:cs="Times New Roman"/>
        </w:rPr>
        <w:t xml:space="preserve"> </w:t>
      </w:r>
      <w:r w:rsidR="005D10BA">
        <w:rPr>
          <w:rFonts w:ascii="Times New Roman" w:hAnsi="Times New Roman" w:cs="Times New Roman"/>
        </w:rPr>
        <w:t>po Islandii i Wielkiej Brytanii</w:t>
      </w:r>
      <w:r w:rsidR="00C06883">
        <w:rPr>
          <w:rFonts w:ascii="Times New Roman" w:hAnsi="Times New Roman" w:cs="Times New Roman"/>
        </w:rPr>
        <w:t xml:space="preserve"> </w:t>
      </w:r>
      <w:r w:rsidR="005D10BA">
        <w:rPr>
          <w:rFonts w:ascii="Times New Roman" w:hAnsi="Times New Roman" w:cs="Times New Roman"/>
        </w:rPr>
        <w:t>wśród państw spoza</w:t>
      </w:r>
      <w:r w:rsidR="00C06883">
        <w:rPr>
          <w:rFonts w:ascii="Times New Roman" w:hAnsi="Times New Roman" w:cs="Times New Roman"/>
        </w:rPr>
        <w:t xml:space="preserve"> strefy euro</w:t>
      </w:r>
      <w:r w:rsidR="00927763">
        <w:rPr>
          <w:rStyle w:val="Odwoanieprzypisudolnego"/>
          <w:rFonts w:ascii="Times New Roman" w:hAnsi="Times New Roman" w:cs="Times New Roman"/>
        </w:rPr>
        <w:footnoteReference w:id="73"/>
      </w:r>
      <w:r w:rsidR="00927763">
        <w:rPr>
          <w:rFonts w:ascii="Times New Roman" w:hAnsi="Times New Roman" w:cs="Times New Roman"/>
        </w:rPr>
        <w:t>.</w:t>
      </w:r>
      <w:r w:rsidR="00C06883">
        <w:rPr>
          <w:rFonts w:ascii="Times New Roman" w:hAnsi="Times New Roman" w:cs="Times New Roman"/>
        </w:rPr>
        <w:t xml:space="preserve"> </w:t>
      </w:r>
      <w:r w:rsidR="00EC57BE" w:rsidRPr="007B1537">
        <w:rPr>
          <w:rFonts w:ascii="Times New Roman" w:hAnsi="Times New Roman" w:cs="Times New Roman"/>
        </w:rPr>
        <w:t>Dodatkowo, Węgry cech</w:t>
      </w:r>
      <w:r w:rsidR="00E10FD8" w:rsidRPr="007B1537">
        <w:rPr>
          <w:rFonts w:ascii="Times New Roman" w:hAnsi="Times New Roman" w:cs="Times New Roman"/>
        </w:rPr>
        <w:t>owały</w:t>
      </w:r>
      <w:r w:rsidR="00EC57BE" w:rsidRPr="007B1537">
        <w:rPr>
          <w:rFonts w:ascii="Times New Roman" w:hAnsi="Times New Roman" w:cs="Times New Roman"/>
        </w:rPr>
        <w:t xml:space="preserve"> się wysokim odsetkiem </w:t>
      </w:r>
      <w:r w:rsidR="00E46833" w:rsidRPr="007B1537">
        <w:rPr>
          <w:rFonts w:ascii="Times New Roman" w:hAnsi="Times New Roman" w:cs="Times New Roman"/>
        </w:rPr>
        <w:t xml:space="preserve">gospodarstw domowych, które </w:t>
      </w:r>
      <w:r w:rsidR="00EC57BE" w:rsidRPr="007B1537">
        <w:rPr>
          <w:rFonts w:ascii="Times New Roman" w:hAnsi="Times New Roman" w:cs="Times New Roman"/>
        </w:rPr>
        <w:t>nieterminowo spłaca</w:t>
      </w:r>
      <w:r w:rsidR="001033B6" w:rsidRPr="007B1537">
        <w:rPr>
          <w:rFonts w:ascii="Times New Roman" w:hAnsi="Times New Roman" w:cs="Times New Roman"/>
        </w:rPr>
        <w:t>ły</w:t>
      </w:r>
      <w:r w:rsidR="00EC57BE" w:rsidRPr="007B1537">
        <w:rPr>
          <w:rFonts w:ascii="Times New Roman" w:hAnsi="Times New Roman" w:cs="Times New Roman"/>
        </w:rPr>
        <w:t xml:space="preserve"> kredyt</w:t>
      </w:r>
      <w:r w:rsidR="00E46833" w:rsidRPr="007B1537">
        <w:rPr>
          <w:rFonts w:ascii="Times New Roman" w:hAnsi="Times New Roman" w:cs="Times New Roman"/>
        </w:rPr>
        <w:t>y</w:t>
      </w:r>
      <w:r w:rsidR="00EC57BE" w:rsidRPr="007B1537">
        <w:rPr>
          <w:rFonts w:ascii="Times New Roman" w:hAnsi="Times New Roman" w:cs="Times New Roman"/>
        </w:rPr>
        <w:t xml:space="preserve"> hipoteczn</w:t>
      </w:r>
      <w:r w:rsidR="00E46833" w:rsidRPr="007B1537">
        <w:rPr>
          <w:rFonts w:ascii="Times New Roman" w:hAnsi="Times New Roman" w:cs="Times New Roman"/>
        </w:rPr>
        <w:t>e</w:t>
      </w:r>
      <w:r w:rsidR="00EC57BE" w:rsidRPr="007B1537">
        <w:rPr>
          <w:rFonts w:ascii="Times New Roman" w:hAnsi="Times New Roman" w:cs="Times New Roman"/>
        </w:rPr>
        <w:t xml:space="preserve"> w walutach obcych</w:t>
      </w:r>
      <w:r w:rsidR="00E46833" w:rsidRPr="007B1537">
        <w:rPr>
          <w:rFonts w:ascii="Times New Roman" w:hAnsi="Times New Roman" w:cs="Times New Roman"/>
        </w:rPr>
        <w:t xml:space="preserve"> (w</w:t>
      </w:r>
      <w:r w:rsidR="005874F2" w:rsidRPr="007B1537">
        <w:rPr>
          <w:rFonts w:ascii="Times New Roman" w:hAnsi="Times New Roman" w:cs="Times New Roman"/>
        </w:rPr>
        <w:t>e wrześniu</w:t>
      </w:r>
      <w:r w:rsidR="00E46833" w:rsidRPr="007B1537">
        <w:rPr>
          <w:rFonts w:ascii="Times New Roman" w:hAnsi="Times New Roman" w:cs="Times New Roman"/>
        </w:rPr>
        <w:t xml:space="preserve"> 2014 r. wynosił on </w:t>
      </w:r>
      <w:r w:rsidR="005874F2" w:rsidRPr="007B1537">
        <w:rPr>
          <w:rFonts w:ascii="Times New Roman" w:hAnsi="Times New Roman" w:cs="Times New Roman"/>
        </w:rPr>
        <w:t>ponad</w:t>
      </w:r>
      <w:r w:rsidR="00E46833" w:rsidRPr="007B1537">
        <w:rPr>
          <w:rFonts w:ascii="Times New Roman" w:hAnsi="Times New Roman" w:cs="Times New Roman"/>
        </w:rPr>
        <w:t xml:space="preserve"> 2</w:t>
      </w:r>
      <w:r w:rsidR="005874F2" w:rsidRPr="007B1537">
        <w:rPr>
          <w:rFonts w:ascii="Times New Roman" w:hAnsi="Times New Roman" w:cs="Times New Roman"/>
        </w:rPr>
        <w:t>4</w:t>
      </w:r>
      <w:r w:rsidR="00E46833" w:rsidRPr="007B1537">
        <w:rPr>
          <w:rFonts w:ascii="Times New Roman" w:hAnsi="Times New Roman" w:cs="Times New Roman"/>
        </w:rPr>
        <w:t>%)</w:t>
      </w:r>
      <w:r w:rsidR="0083763C" w:rsidRPr="007B1537">
        <w:rPr>
          <w:rStyle w:val="Odwoanieprzypisudolnego"/>
          <w:rFonts w:ascii="Times New Roman" w:hAnsi="Times New Roman" w:cs="Times New Roman"/>
        </w:rPr>
        <w:footnoteReference w:id="74"/>
      </w:r>
      <w:r w:rsidR="00E46833" w:rsidRPr="007B1537">
        <w:rPr>
          <w:rFonts w:ascii="Times New Roman" w:hAnsi="Times New Roman" w:cs="Times New Roman"/>
        </w:rPr>
        <w:t>.</w:t>
      </w:r>
      <w:r w:rsidR="00EC57BE" w:rsidRPr="007B1537">
        <w:rPr>
          <w:rFonts w:ascii="Times New Roman" w:hAnsi="Times New Roman" w:cs="Times New Roman"/>
        </w:rPr>
        <w:t xml:space="preserve"> </w:t>
      </w:r>
    </w:p>
    <w:p w14:paraId="42ECE628" w14:textId="2F925F0D" w:rsidR="00D94B58" w:rsidRDefault="00513CA9" w:rsidP="00D80D68">
      <w:pPr>
        <w:pStyle w:val="Default"/>
        <w:spacing w:line="360" w:lineRule="auto"/>
        <w:jc w:val="both"/>
        <w:rPr>
          <w:rFonts w:ascii="Times New Roman" w:hAnsi="Times New Roman" w:cs="Times New Roman"/>
        </w:rPr>
      </w:pPr>
      <w:r>
        <w:rPr>
          <w:rFonts w:ascii="Times New Roman" w:hAnsi="Times New Roman" w:cs="Times New Roman"/>
          <w:b/>
        </w:rPr>
        <w:tab/>
      </w:r>
      <w:r w:rsidR="00F913A4">
        <w:rPr>
          <w:rFonts w:ascii="Times New Roman" w:hAnsi="Times New Roman" w:cs="Times New Roman"/>
        </w:rPr>
        <w:t xml:space="preserve">Węgry to kolejny kraj, w którym problem zadłużenia gospodarstw domowych został rozwiązany ustawowo. </w:t>
      </w:r>
      <w:r w:rsidR="000A5C6B">
        <w:rPr>
          <w:rFonts w:ascii="Times New Roman" w:hAnsi="Times New Roman" w:cs="Times New Roman"/>
        </w:rPr>
        <w:t>W porozumieniu z bankami, w</w:t>
      </w:r>
      <w:r w:rsidR="00F913A4">
        <w:rPr>
          <w:rFonts w:ascii="Times New Roman" w:hAnsi="Times New Roman" w:cs="Times New Roman"/>
        </w:rPr>
        <w:t xml:space="preserve"> </w:t>
      </w:r>
      <w:r w:rsidR="00AE2D23">
        <w:rPr>
          <w:rFonts w:ascii="Times New Roman" w:hAnsi="Times New Roman" w:cs="Times New Roman"/>
        </w:rPr>
        <w:t xml:space="preserve">listopadzie </w:t>
      </w:r>
      <w:r w:rsidR="00F913A4">
        <w:rPr>
          <w:rFonts w:ascii="Times New Roman" w:hAnsi="Times New Roman" w:cs="Times New Roman"/>
        </w:rPr>
        <w:t xml:space="preserve">2014 r. węgierski rząd uchwalił ustawę, która nakazywała przewalutowanie kredytów hipotecznych w </w:t>
      </w:r>
      <w:r w:rsidR="007127DC">
        <w:rPr>
          <w:rFonts w:ascii="Times New Roman" w:hAnsi="Times New Roman" w:cs="Times New Roman"/>
        </w:rPr>
        <w:t xml:space="preserve">walutach obcych </w:t>
      </w:r>
      <w:r w:rsidR="00F913A4">
        <w:rPr>
          <w:rFonts w:ascii="Times New Roman" w:hAnsi="Times New Roman" w:cs="Times New Roman"/>
        </w:rPr>
        <w:t xml:space="preserve">na forinty </w:t>
      </w:r>
      <w:r w:rsidR="00FE31F1">
        <w:rPr>
          <w:rFonts w:ascii="Times New Roman" w:hAnsi="Times New Roman" w:cs="Times New Roman"/>
        </w:rPr>
        <w:t>według kurs</w:t>
      </w:r>
      <w:r w:rsidR="00032670">
        <w:rPr>
          <w:rFonts w:ascii="Times New Roman" w:hAnsi="Times New Roman" w:cs="Times New Roman"/>
        </w:rPr>
        <w:t>u</w:t>
      </w:r>
      <w:r w:rsidR="00FE31F1">
        <w:rPr>
          <w:rFonts w:ascii="Times New Roman" w:hAnsi="Times New Roman" w:cs="Times New Roman"/>
        </w:rPr>
        <w:t xml:space="preserve"> zbliżonego do aktualnego kursu rynkowego CHF/HUF</w:t>
      </w:r>
      <w:r w:rsidR="0085457E">
        <w:rPr>
          <w:rFonts w:ascii="Times New Roman" w:hAnsi="Times New Roman" w:cs="Times New Roman"/>
        </w:rPr>
        <w:t>, lub EUR/CHF</w:t>
      </w:r>
      <w:r w:rsidR="00FE31F1">
        <w:rPr>
          <w:rFonts w:ascii="Times New Roman" w:hAnsi="Times New Roman" w:cs="Times New Roman"/>
        </w:rPr>
        <w:t xml:space="preserve">. </w:t>
      </w:r>
      <w:r w:rsidR="004B1F6D">
        <w:rPr>
          <w:rFonts w:ascii="Times New Roman" w:hAnsi="Times New Roman" w:cs="Times New Roman"/>
        </w:rPr>
        <w:t>Przewalutowanie miało odbywać się według korzystniejszego z dwóch branych pod uwagę kursów:</w:t>
      </w:r>
    </w:p>
    <w:p w14:paraId="562822AA" w14:textId="2D228B2F" w:rsidR="004B723D" w:rsidRDefault="004B723D" w:rsidP="00D80D68">
      <w:pPr>
        <w:pStyle w:val="Default"/>
        <w:spacing w:line="360" w:lineRule="auto"/>
        <w:jc w:val="both"/>
        <w:rPr>
          <w:rFonts w:ascii="Times New Roman" w:hAnsi="Times New Roman" w:cs="Times New Roman"/>
        </w:rPr>
      </w:pPr>
      <w:r>
        <w:rPr>
          <w:rFonts w:ascii="Times New Roman" w:hAnsi="Times New Roman" w:cs="Times New Roman"/>
        </w:rPr>
        <w:t>a) kurs średni CHF/HUF</w:t>
      </w:r>
      <w:r w:rsidR="00DA648C">
        <w:rPr>
          <w:rFonts w:ascii="Times New Roman" w:hAnsi="Times New Roman" w:cs="Times New Roman"/>
        </w:rPr>
        <w:t xml:space="preserve"> lub EUR/CHF</w:t>
      </w:r>
      <w:r>
        <w:rPr>
          <w:rFonts w:ascii="Times New Roman" w:hAnsi="Times New Roman" w:cs="Times New Roman"/>
        </w:rPr>
        <w:t xml:space="preserve"> utrzymujący się od dnia 16.0</w:t>
      </w:r>
      <w:r w:rsidR="0085457E">
        <w:rPr>
          <w:rFonts w:ascii="Times New Roman" w:hAnsi="Times New Roman" w:cs="Times New Roman"/>
        </w:rPr>
        <w:t>7</w:t>
      </w:r>
      <w:r>
        <w:rPr>
          <w:rFonts w:ascii="Times New Roman" w:hAnsi="Times New Roman" w:cs="Times New Roman"/>
        </w:rPr>
        <w:t>.2014 r. do dnia 7.11.2014 r.</w:t>
      </w:r>
      <w:r w:rsidR="005B77E4">
        <w:rPr>
          <w:rFonts w:ascii="Times New Roman" w:hAnsi="Times New Roman" w:cs="Times New Roman"/>
        </w:rPr>
        <w:t xml:space="preserve"> </w:t>
      </w:r>
    </w:p>
    <w:p w14:paraId="73E989D9" w14:textId="6CEF852E" w:rsidR="004B723D" w:rsidRDefault="004B723D" w:rsidP="00D80D68">
      <w:pPr>
        <w:pStyle w:val="Default"/>
        <w:spacing w:line="360" w:lineRule="auto"/>
        <w:jc w:val="both"/>
        <w:rPr>
          <w:rFonts w:ascii="Times New Roman" w:hAnsi="Times New Roman" w:cs="Times New Roman"/>
        </w:rPr>
      </w:pPr>
      <w:r>
        <w:rPr>
          <w:rFonts w:ascii="Times New Roman" w:hAnsi="Times New Roman" w:cs="Times New Roman"/>
        </w:rPr>
        <w:t>b) kurs CHF/HUF</w:t>
      </w:r>
      <w:r w:rsidR="00DA648C">
        <w:rPr>
          <w:rFonts w:ascii="Times New Roman" w:hAnsi="Times New Roman" w:cs="Times New Roman"/>
        </w:rPr>
        <w:t>, lub EUR/CHF</w:t>
      </w:r>
      <w:r>
        <w:rPr>
          <w:rFonts w:ascii="Times New Roman" w:hAnsi="Times New Roman" w:cs="Times New Roman"/>
        </w:rPr>
        <w:t xml:space="preserve"> z dnia 7.11.2014 r</w:t>
      </w:r>
      <w:r w:rsidR="007127DC">
        <w:rPr>
          <w:rStyle w:val="Odwoanieprzypisudolnego"/>
          <w:rFonts w:ascii="Times New Roman" w:hAnsi="Times New Roman" w:cs="Times New Roman"/>
        </w:rPr>
        <w:footnoteReference w:id="75"/>
      </w:r>
      <w:r w:rsidR="00DA648C">
        <w:rPr>
          <w:rFonts w:ascii="Times New Roman" w:hAnsi="Times New Roman" w:cs="Times New Roman"/>
        </w:rPr>
        <w:t>.</w:t>
      </w:r>
      <w:r>
        <w:rPr>
          <w:rFonts w:ascii="Times New Roman" w:hAnsi="Times New Roman" w:cs="Times New Roman"/>
        </w:rPr>
        <w:t xml:space="preserve"> </w:t>
      </w:r>
    </w:p>
    <w:p w14:paraId="3CAB83B9" w14:textId="6990850F" w:rsidR="00C5078A" w:rsidRDefault="00C5078A" w:rsidP="00D80D68">
      <w:pPr>
        <w:pStyle w:val="Default"/>
        <w:spacing w:line="360" w:lineRule="auto"/>
        <w:jc w:val="both"/>
        <w:rPr>
          <w:rFonts w:ascii="Times New Roman" w:hAnsi="Times New Roman" w:cs="Times New Roman"/>
        </w:rPr>
      </w:pPr>
      <w:r>
        <w:rPr>
          <w:rFonts w:ascii="Times New Roman" w:hAnsi="Times New Roman" w:cs="Times New Roman"/>
        </w:rPr>
        <w:tab/>
      </w:r>
      <w:r w:rsidR="00E209B0">
        <w:rPr>
          <w:rFonts w:ascii="Times New Roman" w:hAnsi="Times New Roman" w:cs="Times New Roman"/>
        </w:rPr>
        <w:t xml:space="preserve">Ostateczne kursy, według których odbywało się przewalutowanie to </w:t>
      </w:r>
      <w:r w:rsidR="009A7326">
        <w:rPr>
          <w:rFonts w:ascii="Times New Roman" w:hAnsi="Times New Roman" w:cs="Times New Roman"/>
        </w:rPr>
        <w:t xml:space="preserve">256 CHF/HUF i 309 EUR/HUF. </w:t>
      </w:r>
      <w:r w:rsidR="003C6335">
        <w:rPr>
          <w:rFonts w:ascii="Times New Roman" w:hAnsi="Times New Roman" w:cs="Times New Roman"/>
        </w:rPr>
        <w:t>W lutym 2015 r.</w:t>
      </w:r>
      <w:r w:rsidR="00EB4684">
        <w:rPr>
          <w:rFonts w:ascii="Times New Roman" w:hAnsi="Times New Roman" w:cs="Times New Roman"/>
        </w:rPr>
        <w:t>,</w:t>
      </w:r>
      <w:r w:rsidR="003C6335">
        <w:rPr>
          <w:rFonts w:ascii="Times New Roman" w:hAnsi="Times New Roman" w:cs="Times New Roman"/>
        </w:rPr>
        <w:t xml:space="preserve"> p</w:t>
      </w:r>
      <w:r w:rsidR="00E32D5A">
        <w:rPr>
          <w:rFonts w:ascii="Times New Roman" w:hAnsi="Times New Roman" w:cs="Times New Roman"/>
        </w:rPr>
        <w:t>o dostarczeniu</w:t>
      </w:r>
      <w:r w:rsidR="00821637">
        <w:rPr>
          <w:rFonts w:ascii="Times New Roman" w:hAnsi="Times New Roman" w:cs="Times New Roman"/>
        </w:rPr>
        <w:t xml:space="preserve"> przez banki dokumentów z kalkulacją kwoty rekompensaty i kwoty pozostałej do spłaty</w:t>
      </w:r>
      <w:r w:rsidR="00EB4684">
        <w:rPr>
          <w:rFonts w:ascii="Times New Roman" w:hAnsi="Times New Roman" w:cs="Times New Roman"/>
        </w:rPr>
        <w:t>,</w:t>
      </w:r>
      <w:r w:rsidR="00821637">
        <w:rPr>
          <w:rFonts w:ascii="Times New Roman" w:hAnsi="Times New Roman" w:cs="Times New Roman"/>
        </w:rPr>
        <w:t xml:space="preserve"> klienci mieli 30 dni na podjęcie decyzji o przewalutowaniu. </w:t>
      </w:r>
      <w:r>
        <w:rPr>
          <w:rFonts w:ascii="Times New Roman" w:hAnsi="Times New Roman" w:cs="Times New Roman"/>
        </w:rPr>
        <w:t>Przewaluto</w:t>
      </w:r>
      <w:r w:rsidR="0068398F">
        <w:rPr>
          <w:rFonts w:ascii="Times New Roman" w:hAnsi="Times New Roman" w:cs="Times New Roman"/>
        </w:rPr>
        <w:t xml:space="preserve">wanie </w:t>
      </w:r>
      <w:r w:rsidR="000464B5">
        <w:rPr>
          <w:rFonts w:ascii="Times New Roman" w:hAnsi="Times New Roman" w:cs="Times New Roman"/>
        </w:rPr>
        <w:t xml:space="preserve">kredytów </w:t>
      </w:r>
      <w:r w:rsidR="0068034A">
        <w:rPr>
          <w:rFonts w:ascii="Times New Roman" w:hAnsi="Times New Roman" w:cs="Times New Roman"/>
        </w:rPr>
        <w:t xml:space="preserve">odbywało się </w:t>
      </w:r>
      <w:r w:rsidR="00F26210">
        <w:rPr>
          <w:rFonts w:ascii="Times New Roman" w:hAnsi="Times New Roman" w:cs="Times New Roman"/>
        </w:rPr>
        <w:t>d</w:t>
      </w:r>
      <w:r w:rsidR="000E47E7">
        <w:rPr>
          <w:rFonts w:ascii="Times New Roman" w:hAnsi="Times New Roman" w:cs="Times New Roman"/>
        </w:rPr>
        <w:t>o</w:t>
      </w:r>
      <w:r w:rsidR="00F26210">
        <w:rPr>
          <w:rFonts w:ascii="Times New Roman" w:hAnsi="Times New Roman" w:cs="Times New Roman"/>
        </w:rPr>
        <w:t xml:space="preserve"> </w:t>
      </w:r>
      <w:r w:rsidR="00FB08F2">
        <w:rPr>
          <w:rFonts w:ascii="Times New Roman" w:hAnsi="Times New Roman" w:cs="Times New Roman"/>
        </w:rPr>
        <w:t>31.03.</w:t>
      </w:r>
      <w:r w:rsidR="0068398F">
        <w:rPr>
          <w:rFonts w:ascii="Times New Roman" w:hAnsi="Times New Roman" w:cs="Times New Roman"/>
        </w:rPr>
        <w:t xml:space="preserve">2015 r. </w:t>
      </w:r>
    </w:p>
    <w:p w14:paraId="60C62A67" w14:textId="4B41A50D" w:rsidR="00BE4B9F" w:rsidRDefault="00847AC4" w:rsidP="00D80D68">
      <w:pPr>
        <w:pStyle w:val="Default"/>
        <w:spacing w:line="360" w:lineRule="auto"/>
        <w:jc w:val="both"/>
        <w:rPr>
          <w:rFonts w:ascii="Times New Roman" w:hAnsi="Times New Roman" w:cs="Times New Roman"/>
        </w:rPr>
      </w:pPr>
      <w:r>
        <w:rPr>
          <w:rFonts w:ascii="Times New Roman" w:hAnsi="Times New Roman" w:cs="Times New Roman"/>
        </w:rPr>
        <w:tab/>
        <w:t xml:space="preserve">Jeżeli kredytobiorca nie chciał przewalutować swojego zobowiązania na HUF musiał złożyć w banku specjalne oświadczenie, w innym przypadku następowała konwersja zadłużenia na krajową walutę. </w:t>
      </w:r>
      <w:r w:rsidR="00220DA2">
        <w:rPr>
          <w:rFonts w:ascii="Times New Roman" w:hAnsi="Times New Roman" w:cs="Times New Roman"/>
        </w:rPr>
        <w:t xml:space="preserve">Odmowa konwersji zadłużenia była jednak możliwa tylko w przypadku, gdy kredytobiorca otrzymywał dochody w walucie kredytu. </w:t>
      </w:r>
      <w:r w:rsidR="00BE4B9F">
        <w:rPr>
          <w:rFonts w:ascii="Times New Roman" w:hAnsi="Times New Roman" w:cs="Times New Roman"/>
        </w:rPr>
        <w:t>Takie rozwiązanie nie do końca zadowoliło kredytobiorców, ponieważ domagali się oni przewalutowania długu po kursie historycznym obowiązującym w dniu podpisania umowy kredytowej.</w:t>
      </w:r>
      <w:r w:rsidR="00F53878">
        <w:rPr>
          <w:rFonts w:ascii="Times New Roman" w:hAnsi="Times New Roman" w:cs="Times New Roman"/>
        </w:rPr>
        <w:t xml:space="preserve"> </w:t>
      </w:r>
      <w:r w:rsidR="002F4BFA">
        <w:rPr>
          <w:rFonts w:ascii="Times New Roman" w:hAnsi="Times New Roman" w:cs="Times New Roman"/>
        </w:rPr>
        <w:t>Mimo tego, zdecydowana większość dłużników zdecydowała się na konwersję kredytów na HUF.</w:t>
      </w:r>
    </w:p>
    <w:p w14:paraId="73E77CD6" w14:textId="751411B0" w:rsidR="00F23E87" w:rsidRDefault="00D80E54" w:rsidP="00D80D68">
      <w:pPr>
        <w:pStyle w:val="Default"/>
        <w:spacing w:line="360" w:lineRule="auto"/>
        <w:jc w:val="both"/>
        <w:rPr>
          <w:rFonts w:ascii="Times New Roman" w:hAnsi="Times New Roman" w:cs="Times New Roman"/>
        </w:rPr>
      </w:pPr>
      <w:r>
        <w:rPr>
          <w:rFonts w:ascii="Times New Roman" w:hAnsi="Times New Roman" w:cs="Times New Roman"/>
        </w:rPr>
        <w:tab/>
        <w:t>Na mocy treści ustawy obowiązek pokrycia kosztów przewalutowania został w całości poniesiony przez banki</w:t>
      </w:r>
      <w:r w:rsidR="00E219CD">
        <w:rPr>
          <w:rFonts w:ascii="Times New Roman" w:hAnsi="Times New Roman" w:cs="Times New Roman"/>
        </w:rPr>
        <w:t xml:space="preserve"> i budżet państwa</w:t>
      </w:r>
      <w:r>
        <w:rPr>
          <w:rFonts w:ascii="Times New Roman" w:hAnsi="Times New Roman" w:cs="Times New Roman"/>
        </w:rPr>
        <w:t xml:space="preserve">. </w:t>
      </w:r>
      <w:r w:rsidR="0083053D">
        <w:rPr>
          <w:rFonts w:ascii="Times New Roman" w:hAnsi="Times New Roman" w:cs="Times New Roman"/>
        </w:rPr>
        <w:t>Koszt ten wyniósł około 9 mld eur</w:t>
      </w:r>
      <w:r w:rsidR="005B77E4">
        <w:rPr>
          <w:rFonts w:ascii="Times New Roman" w:hAnsi="Times New Roman" w:cs="Times New Roman"/>
        </w:rPr>
        <w:t>o. Kwotę tę</w:t>
      </w:r>
      <w:r w:rsidR="00E2038C">
        <w:rPr>
          <w:rFonts w:ascii="Times New Roman" w:hAnsi="Times New Roman" w:cs="Times New Roman"/>
        </w:rPr>
        <w:t xml:space="preserve"> ze swoich rezerw monetarnych</w:t>
      </w:r>
      <w:r w:rsidR="005B77E4">
        <w:rPr>
          <w:rFonts w:ascii="Times New Roman" w:hAnsi="Times New Roman" w:cs="Times New Roman"/>
        </w:rPr>
        <w:t xml:space="preserve"> zabezpieczył dla banków komercyjnych węgierski bank central</w:t>
      </w:r>
      <w:r w:rsidR="005B77E4">
        <w:rPr>
          <w:rFonts w:ascii="Times New Roman" w:hAnsi="Times New Roman" w:cs="Times New Roman"/>
        </w:rPr>
        <w:lastRenderedPageBreak/>
        <w:t>ny. Dzięki temu banki, które udzieliły kredytów nie musiały wymieniać walut na rynku walutowym</w:t>
      </w:r>
      <w:r w:rsidR="00E2038C">
        <w:rPr>
          <w:rFonts w:ascii="Times New Roman" w:hAnsi="Times New Roman" w:cs="Times New Roman"/>
        </w:rPr>
        <w:t>, co nie doprowadziło do deprecjacji forinta</w:t>
      </w:r>
      <w:r w:rsidR="008A485F">
        <w:rPr>
          <w:rStyle w:val="Odwoanieprzypisudolnego"/>
          <w:rFonts w:ascii="Times New Roman" w:hAnsi="Times New Roman" w:cs="Times New Roman"/>
        </w:rPr>
        <w:footnoteReference w:id="76"/>
      </w:r>
      <w:r w:rsidR="00E2038C">
        <w:rPr>
          <w:rFonts w:ascii="Times New Roman" w:hAnsi="Times New Roman" w:cs="Times New Roman"/>
        </w:rPr>
        <w:t>.</w:t>
      </w:r>
      <w:r w:rsidR="005B77E4">
        <w:rPr>
          <w:rFonts w:ascii="Times New Roman" w:hAnsi="Times New Roman" w:cs="Times New Roman"/>
        </w:rPr>
        <w:t xml:space="preserve"> </w:t>
      </w:r>
    </w:p>
    <w:p w14:paraId="4554DE45" w14:textId="4A3696AF" w:rsidR="008B2530" w:rsidRDefault="00C942EB" w:rsidP="00D80D68">
      <w:pPr>
        <w:pStyle w:val="Default"/>
        <w:spacing w:line="360" w:lineRule="auto"/>
        <w:ind w:firstLine="708"/>
        <w:jc w:val="both"/>
        <w:rPr>
          <w:rFonts w:ascii="Times New Roman" w:hAnsi="Times New Roman" w:cs="Times New Roman"/>
        </w:rPr>
      </w:pPr>
      <w:r>
        <w:rPr>
          <w:rFonts w:ascii="Times New Roman" w:hAnsi="Times New Roman" w:cs="Times New Roman"/>
        </w:rPr>
        <w:t xml:space="preserve">Węgierski </w:t>
      </w:r>
      <w:r w:rsidR="00F23E87" w:rsidRPr="0096548D">
        <w:rPr>
          <w:rFonts w:ascii="Times New Roman" w:hAnsi="Times New Roman" w:cs="Times New Roman"/>
        </w:rPr>
        <w:t>Sąd Najwyższy i Trybunał Konstytucyjny uznał</w:t>
      </w:r>
      <w:r w:rsidR="00660FFE">
        <w:rPr>
          <w:rFonts w:ascii="Times New Roman" w:hAnsi="Times New Roman" w:cs="Times New Roman"/>
        </w:rPr>
        <w:t>y</w:t>
      </w:r>
      <w:r w:rsidR="00B64F60" w:rsidRPr="0096548D">
        <w:rPr>
          <w:rFonts w:ascii="Times New Roman" w:hAnsi="Times New Roman" w:cs="Times New Roman"/>
        </w:rPr>
        <w:t xml:space="preserve"> za abuzywne powszechn</w:t>
      </w:r>
      <w:r w:rsidR="0066731B">
        <w:rPr>
          <w:rFonts w:ascii="Times New Roman" w:hAnsi="Times New Roman" w:cs="Times New Roman"/>
        </w:rPr>
        <w:t>e wśród banków</w:t>
      </w:r>
      <w:r w:rsidR="00B64F60" w:rsidRPr="0096548D">
        <w:rPr>
          <w:rFonts w:ascii="Times New Roman" w:hAnsi="Times New Roman" w:cs="Times New Roman"/>
        </w:rPr>
        <w:t xml:space="preserve"> </w:t>
      </w:r>
      <w:r w:rsidR="00D56276" w:rsidRPr="0096548D">
        <w:rPr>
          <w:rFonts w:ascii="Times New Roman" w:hAnsi="Times New Roman" w:cs="Times New Roman"/>
        </w:rPr>
        <w:t>nieuzasadnion</w:t>
      </w:r>
      <w:r w:rsidR="00D56276">
        <w:rPr>
          <w:rFonts w:ascii="Times New Roman" w:hAnsi="Times New Roman" w:cs="Times New Roman"/>
        </w:rPr>
        <w:t>e</w:t>
      </w:r>
      <w:r w:rsidR="00D56276" w:rsidRPr="0096548D">
        <w:rPr>
          <w:rFonts w:ascii="Times New Roman" w:hAnsi="Times New Roman" w:cs="Times New Roman"/>
        </w:rPr>
        <w:t xml:space="preserve"> </w:t>
      </w:r>
      <w:r w:rsidR="00D56276">
        <w:rPr>
          <w:rFonts w:ascii="Times New Roman" w:hAnsi="Times New Roman" w:cs="Times New Roman"/>
        </w:rPr>
        <w:t>stosowanie</w:t>
      </w:r>
      <w:r w:rsidR="00402019" w:rsidRPr="0096548D">
        <w:rPr>
          <w:rFonts w:ascii="Times New Roman" w:hAnsi="Times New Roman" w:cs="Times New Roman"/>
        </w:rPr>
        <w:t xml:space="preserve"> spreadów walutowych podczas wymiany walut na środki niezbędne do spłaty rat kredytowych i nieuzasadnio</w:t>
      </w:r>
      <w:r w:rsidR="001461A5">
        <w:rPr>
          <w:rFonts w:ascii="Times New Roman" w:hAnsi="Times New Roman" w:cs="Times New Roman"/>
        </w:rPr>
        <w:t xml:space="preserve">ne jednostronne podwyżki </w:t>
      </w:r>
      <w:r w:rsidR="00402019" w:rsidRPr="0096548D">
        <w:rPr>
          <w:rFonts w:ascii="Times New Roman" w:hAnsi="Times New Roman" w:cs="Times New Roman"/>
        </w:rPr>
        <w:t xml:space="preserve">oprocentowania kredytów bez konsultacji z klientami. </w:t>
      </w:r>
      <w:r w:rsidR="00A7630E" w:rsidRPr="0096548D">
        <w:rPr>
          <w:rFonts w:ascii="Times New Roman" w:hAnsi="Times New Roman" w:cs="Times New Roman"/>
        </w:rPr>
        <w:t xml:space="preserve">Po wprowadzeniu ustawy o przewalutowaniu kredytów hipotecznych </w:t>
      </w:r>
      <w:r w:rsidR="00D2508E" w:rsidRPr="0096548D">
        <w:rPr>
          <w:rFonts w:ascii="Times New Roman" w:hAnsi="Times New Roman" w:cs="Times New Roman"/>
        </w:rPr>
        <w:t>b</w:t>
      </w:r>
      <w:r w:rsidR="005B77E4" w:rsidRPr="0096548D">
        <w:rPr>
          <w:rFonts w:ascii="Times New Roman" w:hAnsi="Times New Roman" w:cs="Times New Roman"/>
        </w:rPr>
        <w:t xml:space="preserve">anki musiały </w:t>
      </w:r>
      <w:r w:rsidR="00A7630E" w:rsidRPr="0096548D">
        <w:rPr>
          <w:rFonts w:ascii="Times New Roman" w:hAnsi="Times New Roman" w:cs="Times New Roman"/>
        </w:rPr>
        <w:t>zatem</w:t>
      </w:r>
      <w:r w:rsidR="00983228" w:rsidRPr="0096548D">
        <w:rPr>
          <w:rFonts w:ascii="Times New Roman" w:hAnsi="Times New Roman" w:cs="Times New Roman"/>
        </w:rPr>
        <w:t xml:space="preserve"> </w:t>
      </w:r>
      <w:r w:rsidR="005B77E4" w:rsidRPr="0096548D">
        <w:rPr>
          <w:rFonts w:ascii="Times New Roman" w:hAnsi="Times New Roman" w:cs="Times New Roman"/>
        </w:rPr>
        <w:t>zwrócić klientom środki za stosowane przez nie nieuczciwe praktyki</w:t>
      </w:r>
      <w:r w:rsidR="00D628B9" w:rsidRPr="0096548D">
        <w:rPr>
          <w:rStyle w:val="Odwoanieprzypisudolnego"/>
          <w:rFonts w:ascii="Times New Roman" w:hAnsi="Times New Roman" w:cs="Times New Roman"/>
        </w:rPr>
        <w:footnoteReference w:id="77"/>
      </w:r>
      <w:r w:rsidR="00193815" w:rsidRPr="0096548D">
        <w:rPr>
          <w:rFonts w:ascii="Times New Roman" w:hAnsi="Times New Roman" w:cs="Times New Roman"/>
        </w:rPr>
        <w:t>.</w:t>
      </w:r>
      <w:r w:rsidR="005B77E4" w:rsidRPr="0096548D">
        <w:rPr>
          <w:rFonts w:ascii="Times New Roman" w:hAnsi="Times New Roman" w:cs="Times New Roman"/>
        </w:rPr>
        <w:t xml:space="preserve"> </w:t>
      </w:r>
      <w:r w:rsidR="00776CD3" w:rsidRPr="0096548D">
        <w:rPr>
          <w:rFonts w:ascii="Times New Roman" w:hAnsi="Times New Roman" w:cs="Times New Roman"/>
        </w:rPr>
        <w:t xml:space="preserve">Wszystkie środki z tytułu zawyżonego spreadu walutowego zostały </w:t>
      </w:r>
      <w:r w:rsidR="00FD6E5B">
        <w:rPr>
          <w:rFonts w:ascii="Times New Roman" w:hAnsi="Times New Roman" w:cs="Times New Roman"/>
        </w:rPr>
        <w:t>zwrócone</w:t>
      </w:r>
      <w:r w:rsidR="00776CD3" w:rsidRPr="0096548D">
        <w:rPr>
          <w:rFonts w:ascii="Times New Roman" w:hAnsi="Times New Roman" w:cs="Times New Roman"/>
        </w:rPr>
        <w:t xml:space="preserve"> kredytobiorcom, którzy zgodzili się na przewalutowanie kredytów</w:t>
      </w:r>
      <w:r w:rsidR="00115DB5" w:rsidRPr="0096548D">
        <w:rPr>
          <w:rFonts w:ascii="Times New Roman" w:hAnsi="Times New Roman" w:cs="Times New Roman"/>
        </w:rPr>
        <w:t xml:space="preserve">. Natomiast </w:t>
      </w:r>
      <w:r w:rsidR="00776CD3" w:rsidRPr="0096548D">
        <w:rPr>
          <w:rFonts w:ascii="Times New Roman" w:hAnsi="Times New Roman" w:cs="Times New Roman"/>
        </w:rPr>
        <w:t xml:space="preserve">środki z tytułu </w:t>
      </w:r>
      <w:r w:rsidR="008E5B7F" w:rsidRPr="0096548D">
        <w:rPr>
          <w:rFonts w:ascii="Times New Roman" w:hAnsi="Times New Roman" w:cs="Times New Roman"/>
        </w:rPr>
        <w:t xml:space="preserve">różnicy pomiędzy wartością </w:t>
      </w:r>
      <w:r w:rsidR="004949B7" w:rsidRPr="0096548D">
        <w:rPr>
          <w:rFonts w:ascii="Times New Roman" w:hAnsi="Times New Roman" w:cs="Times New Roman"/>
        </w:rPr>
        <w:t xml:space="preserve">obowiązującego </w:t>
      </w:r>
      <w:r w:rsidR="008E5B7F" w:rsidRPr="0096548D">
        <w:rPr>
          <w:rFonts w:ascii="Times New Roman" w:hAnsi="Times New Roman" w:cs="Times New Roman"/>
        </w:rPr>
        <w:t>stałe</w:t>
      </w:r>
      <w:r w:rsidR="00115DB5" w:rsidRPr="0096548D">
        <w:rPr>
          <w:rFonts w:ascii="Times New Roman" w:hAnsi="Times New Roman" w:cs="Times New Roman"/>
        </w:rPr>
        <w:t xml:space="preserve">go oprocentowania a wartością zmiennego oprocentowania opartego na rynkowej stopie LIBOR CHF zostały nadpłacane na poczet przyszłych rat. </w:t>
      </w:r>
      <w:r w:rsidR="00436153" w:rsidRPr="0096548D">
        <w:rPr>
          <w:rFonts w:ascii="Times New Roman" w:hAnsi="Times New Roman" w:cs="Times New Roman"/>
        </w:rPr>
        <w:t>Oprocentowanie kredytów uległo również zmianie. Zostało one ustalone na podstawie marży bankowych i wskaźnika BUBOR 3M, który obowiązywał w dniu podpisywania umowy kredytowej.</w:t>
      </w:r>
      <w:r w:rsidR="0096548D" w:rsidRPr="0096548D">
        <w:rPr>
          <w:rFonts w:ascii="Times New Roman" w:hAnsi="Times New Roman" w:cs="Times New Roman"/>
        </w:rPr>
        <w:t xml:space="preserve"> </w:t>
      </w:r>
      <w:r w:rsidR="00810243" w:rsidRPr="0096548D">
        <w:rPr>
          <w:rFonts w:ascii="Times New Roman" w:hAnsi="Times New Roman" w:cs="Times New Roman"/>
        </w:rPr>
        <w:t>Zwrot środków dotyczył także kredytobiorców, którzy wcześniej spłacili już całkowicie swoje zobowiązania</w:t>
      </w:r>
      <w:r w:rsidR="00796BBB">
        <w:rPr>
          <w:rStyle w:val="Odwoanieprzypisudolnego"/>
          <w:rFonts w:ascii="Times New Roman" w:hAnsi="Times New Roman" w:cs="Times New Roman"/>
        </w:rPr>
        <w:footnoteReference w:id="78"/>
      </w:r>
      <w:r w:rsidR="00810243" w:rsidRPr="0096548D">
        <w:rPr>
          <w:rFonts w:ascii="Times New Roman" w:hAnsi="Times New Roman" w:cs="Times New Roman"/>
        </w:rPr>
        <w:t>.</w:t>
      </w:r>
      <w:r w:rsidR="0083053D" w:rsidRPr="0096548D">
        <w:rPr>
          <w:rFonts w:ascii="Times New Roman" w:hAnsi="Times New Roman" w:cs="Times New Roman"/>
        </w:rPr>
        <w:t xml:space="preserve"> </w:t>
      </w:r>
    </w:p>
    <w:p w14:paraId="5B22843D" w14:textId="452604EA" w:rsidR="00D30273" w:rsidRDefault="007127DC" w:rsidP="00D80D68">
      <w:pPr>
        <w:pStyle w:val="Default"/>
        <w:spacing w:line="360" w:lineRule="auto"/>
        <w:jc w:val="both"/>
        <w:rPr>
          <w:rFonts w:ascii="Times New Roman" w:hAnsi="Times New Roman" w:cs="Times New Roman"/>
        </w:rPr>
      </w:pPr>
      <w:r>
        <w:rPr>
          <w:rFonts w:ascii="Times New Roman" w:hAnsi="Times New Roman" w:cs="Times New Roman"/>
        </w:rPr>
        <w:tab/>
      </w:r>
      <w:r w:rsidR="00C5078A">
        <w:rPr>
          <w:rFonts w:ascii="Times New Roman" w:hAnsi="Times New Roman" w:cs="Times New Roman"/>
        </w:rPr>
        <w:t>Szczęśliwie dla kredytobiorców przewalutowanie nakazane przez rząd o</w:t>
      </w:r>
      <w:r w:rsidR="00DA35AB">
        <w:rPr>
          <w:rFonts w:ascii="Times New Roman" w:hAnsi="Times New Roman" w:cs="Times New Roman"/>
        </w:rPr>
        <w:t>dbyło</w:t>
      </w:r>
      <w:r w:rsidR="00C5078A">
        <w:rPr>
          <w:rFonts w:ascii="Times New Roman" w:hAnsi="Times New Roman" w:cs="Times New Roman"/>
        </w:rPr>
        <w:t xml:space="preserve"> się zaledwie dwa miesiące przed zakończeniem podtrzymywania sztucznego kursu EUR/CHF na poziomie 1,20 przez Szwajcarski Bank Narodowy. Po tym wydarzeniu CHF ulegał drastycznej aprecjacji, a kurs EUR/CHF spadł chwilowo nawet poniżej poziomu 1,00. </w:t>
      </w:r>
      <w:r w:rsidR="001136E3">
        <w:rPr>
          <w:rFonts w:ascii="Times New Roman" w:hAnsi="Times New Roman" w:cs="Times New Roman"/>
        </w:rPr>
        <w:t>Wzrost wartości</w:t>
      </w:r>
      <w:r w:rsidR="00C5078A">
        <w:rPr>
          <w:rFonts w:ascii="Times New Roman" w:hAnsi="Times New Roman" w:cs="Times New Roman"/>
        </w:rPr>
        <w:t xml:space="preserve"> CHF nie dotyczył już jednak węgierskich kredytobiorców</w:t>
      </w:r>
      <w:r w:rsidR="00E10B02">
        <w:rPr>
          <w:rFonts w:ascii="Times New Roman" w:hAnsi="Times New Roman" w:cs="Times New Roman"/>
        </w:rPr>
        <w:t>.</w:t>
      </w:r>
      <w:r w:rsidR="00C5078A">
        <w:rPr>
          <w:rFonts w:ascii="Times New Roman" w:hAnsi="Times New Roman" w:cs="Times New Roman"/>
          <w:b/>
        </w:rPr>
        <w:t xml:space="preserve"> </w:t>
      </w:r>
    </w:p>
    <w:p w14:paraId="699A2FA4" w14:textId="50F33110" w:rsidR="00D30273" w:rsidRPr="00D30273" w:rsidRDefault="00414604" w:rsidP="00D80D68">
      <w:pPr>
        <w:pStyle w:val="Default"/>
        <w:spacing w:line="360" w:lineRule="auto"/>
        <w:jc w:val="both"/>
        <w:rPr>
          <w:rFonts w:ascii="Times New Roman" w:hAnsi="Times New Roman" w:cs="Times New Roman"/>
        </w:rPr>
      </w:pPr>
      <w:r>
        <w:rPr>
          <w:rFonts w:ascii="Times New Roman" w:hAnsi="Times New Roman" w:cs="Times New Roman"/>
        </w:rPr>
        <w:tab/>
        <w:t xml:space="preserve">Oprócz znacznego zmniejszenia stanu rezerw węgierskiego banku centralnego i chwilowego zmniejszenia płynności banków, cały sektor bankowy na Węgrzech dotkliwie odczuł skutki przewalutowania kredytów hipotecznych na HUF. </w:t>
      </w:r>
      <w:r w:rsidR="00EF70C8">
        <w:rPr>
          <w:rFonts w:ascii="Times New Roman" w:hAnsi="Times New Roman" w:cs="Times New Roman"/>
        </w:rPr>
        <w:t>Banki, chcąc ograniczyć koszty zmniejszyły zatrudnienie.</w:t>
      </w:r>
      <w:r w:rsidR="00366976">
        <w:rPr>
          <w:rFonts w:ascii="Times New Roman" w:hAnsi="Times New Roman" w:cs="Times New Roman"/>
        </w:rPr>
        <w:t xml:space="preserve"> W 2014 r. sektor bankowy </w:t>
      </w:r>
      <w:r w:rsidR="002C0684">
        <w:rPr>
          <w:rFonts w:ascii="Times New Roman" w:hAnsi="Times New Roman" w:cs="Times New Roman"/>
        </w:rPr>
        <w:t xml:space="preserve">poniósł poważną stratę w wysokości około 2,5% PKB. Poskutkowało to </w:t>
      </w:r>
      <w:r w:rsidR="00EF70C8">
        <w:rPr>
          <w:rFonts w:ascii="Times New Roman" w:hAnsi="Times New Roman" w:cs="Times New Roman"/>
        </w:rPr>
        <w:t>ogranicz</w:t>
      </w:r>
      <w:r w:rsidR="002C0684">
        <w:rPr>
          <w:rFonts w:ascii="Times New Roman" w:hAnsi="Times New Roman" w:cs="Times New Roman"/>
        </w:rPr>
        <w:t>eniem akcji</w:t>
      </w:r>
      <w:r w:rsidR="00EF70C8">
        <w:rPr>
          <w:rFonts w:ascii="Times New Roman" w:hAnsi="Times New Roman" w:cs="Times New Roman"/>
        </w:rPr>
        <w:t xml:space="preserve"> kredytow</w:t>
      </w:r>
      <w:r w:rsidR="002C0684">
        <w:rPr>
          <w:rFonts w:ascii="Times New Roman" w:hAnsi="Times New Roman" w:cs="Times New Roman"/>
        </w:rPr>
        <w:t>ej</w:t>
      </w:r>
      <w:r w:rsidR="00EF70C8">
        <w:rPr>
          <w:rFonts w:ascii="Times New Roman" w:hAnsi="Times New Roman" w:cs="Times New Roman"/>
        </w:rPr>
        <w:t xml:space="preserve">, co wpłynęło na spadek popytu na rynku nieruchomości. </w:t>
      </w:r>
      <w:r w:rsidR="00DA645D">
        <w:rPr>
          <w:rFonts w:ascii="Times New Roman" w:hAnsi="Times New Roman" w:cs="Times New Roman"/>
        </w:rPr>
        <w:t>Część baków została dokapitalizowana przez banki macierzyste z innych kraj</w:t>
      </w:r>
      <w:r w:rsidR="00356118">
        <w:rPr>
          <w:rFonts w:ascii="Times New Roman" w:hAnsi="Times New Roman" w:cs="Times New Roman"/>
        </w:rPr>
        <w:t xml:space="preserve">ów. </w:t>
      </w:r>
      <w:r w:rsidR="00CE3B16">
        <w:rPr>
          <w:rFonts w:ascii="Times New Roman" w:hAnsi="Times New Roman" w:cs="Times New Roman"/>
        </w:rPr>
        <w:t xml:space="preserve">Inne banki zostały zmuszone do sprzedaży </w:t>
      </w:r>
      <w:r w:rsidR="006F5E66">
        <w:rPr>
          <w:rFonts w:ascii="Times New Roman" w:hAnsi="Times New Roman" w:cs="Times New Roman"/>
        </w:rPr>
        <w:t xml:space="preserve">swojej działalności. </w:t>
      </w:r>
      <w:r w:rsidR="00557605">
        <w:rPr>
          <w:rFonts w:ascii="Times New Roman" w:hAnsi="Times New Roman" w:cs="Times New Roman"/>
        </w:rPr>
        <w:t xml:space="preserve">Jedynie </w:t>
      </w:r>
      <w:r w:rsidR="00557605" w:rsidRPr="00557605">
        <w:rPr>
          <w:rFonts w:ascii="Times New Roman" w:hAnsi="Times New Roman" w:cs="Times New Roman"/>
        </w:rPr>
        <w:t>OTP Bank</w:t>
      </w:r>
      <w:r w:rsidR="00557605">
        <w:rPr>
          <w:rFonts w:ascii="Times New Roman" w:hAnsi="Times New Roman" w:cs="Times New Roman"/>
        </w:rPr>
        <w:t>, największy pod względem wartości aktywów bank na Węgrzech zdołał zamortyzować straty jedynie przy użyciu własnego kapitału</w:t>
      </w:r>
      <w:r w:rsidR="00557605">
        <w:rPr>
          <w:rStyle w:val="Odwoanieprzypisudolnego"/>
          <w:rFonts w:ascii="Times New Roman" w:hAnsi="Times New Roman" w:cs="Times New Roman"/>
        </w:rPr>
        <w:footnoteReference w:id="79"/>
      </w:r>
      <w:r w:rsidR="00557605">
        <w:rPr>
          <w:rFonts w:ascii="Times New Roman" w:hAnsi="Times New Roman" w:cs="Times New Roman"/>
        </w:rPr>
        <w:t>.</w:t>
      </w:r>
      <w:r w:rsidR="00D30273">
        <w:rPr>
          <w:rFonts w:ascii="Times New Roman" w:hAnsi="Times New Roman" w:cs="Times New Roman"/>
          <w:b/>
        </w:rPr>
        <w:t xml:space="preserve"> </w:t>
      </w:r>
    </w:p>
    <w:p w14:paraId="12F13C51" w14:textId="3BDD2FE9" w:rsidR="00A24377" w:rsidRDefault="00263953" w:rsidP="00D80D68">
      <w:pPr>
        <w:pStyle w:val="Default"/>
        <w:spacing w:line="360" w:lineRule="auto"/>
        <w:jc w:val="both"/>
        <w:rPr>
          <w:rFonts w:ascii="Times New Roman" w:hAnsi="Times New Roman" w:cs="Times New Roman"/>
        </w:rPr>
      </w:pPr>
      <w:r>
        <w:rPr>
          <w:rFonts w:ascii="Times New Roman" w:hAnsi="Times New Roman" w:cs="Times New Roman"/>
          <w:b/>
        </w:rPr>
        <w:lastRenderedPageBreak/>
        <w:tab/>
      </w:r>
      <w:r w:rsidR="00847823" w:rsidRPr="00E973F8">
        <w:rPr>
          <w:rFonts w:ascii="Times New Roman" w:hAnsi="Times New Roman" w:cs="Times New Roman"/>
        </w:rPr>
        <w:t>Po przewalutowaniu dewizowych kredytów hipotecznych na forinty wysokość rat kredytowych</w:t>
      </w:r>
      <w:r w:rsidR="00FC3114">
        <w:rPr>
          <w:rFonts w:ascii="Times New Roman" w:hAnsi="Times New Roman" w:cs="Times New Roman"/>
        </w:rPr>
        <w:t xml:space="preserve"> </w:t>
      </w:r>
      <w:r w:rsidR="00F01920">
        <w:rPr>
          <w:rFonts w:ascii="Times New Roman" w:hAnsi="Times New Roman" w:cs="Times New Roman"/>
        </w:rPr>
        <w:t>spłacanych przez</w:t>
      </w:r>
      <w:r w:rsidR="00E7323A">
        <w:rPr>
          <w:rFonts w:ascii="Times New Roman" w:hAnsi="Times New Roman" w:cs="Times New Roman"/>
        </w:rPr>
        <w:t xml:space="preserve"> dłużników</w:t>
      </w:r>
      <w:r w:rsidR="00F01920">
        <w:rPr>
          <w:rFonts w:ascii="Times New Roman" w:hAnsi="Times New Roman" w:cs="Times New Roman"/>
        </w:rPr>
        <w:t xml:space="preserve"> </w:t>
      </w:r>
      <w:r w:rsidR="00847823" w:rsidRPr="00E973F8">
        <w:rPr>
          <w:rFonts w:ascii="Times New Roman" w:hAnsi="Times New Roman" w:cs="Times New Roman"/>
        </w:rPr>
        <w:t xml:space="preserve">spadła </w:t>
      </w:r>
      <w:r w:rsidR="00F74716" w:rsidRPr="00E973F8">
        <w:rPr>
          <w:rFonts w:ascii="Times New Roman" w:hAnsi="Times New Roman" w:cs="Times New Roman"/>
        </w:rPr>
        <w:t xml:space="preserve">średnio </w:t>
      </w:r>
      <w:r w:rsidR="00847823" w:rsidRPr="00E973F8">
        <w:rPr>
          <w:rFonts w:ascii="Times New Roman" w:hAnsi="Times New Roman" w:cs="Times New Roman"/>
        </w:rPr>
        <w:t>o 20%.</w:t>
      </w:r>
      <w:r w:rsidR="0019072E" w:rsidRPr="00E973F8">
        <w:rPr>
          <w:rFonts w:ascii="Times New Roman" w:hAnsi="Times New Roman" w:cs="Times New Roman"/>
        </w:rPr>
        <w:t xml:space="preserve"> Zmniejszenie obciążenia finansowego gospodarstw domowych korzystnie wpłynęło </w:t>
      </w:r>
      <w:r w:rsidR="003B5536" w:rsidRPr="00E973F8">
        <w:rPr>
          <w:rFonts w:ascii="Times New Roman" w:hAnsi="Times New Roman" w:cs="Times New Roman"/>
        </w:rPr>
        <w:t>pozytywnie na wzrost popytu wewnętrznego, spadek bezrobocia</w:t>
      </w:r>
      <w:r w:rsidR="00B57761">
        <w:rPr>
          <w:rFonts w:ascii="Times New Roman" w:hAnsi="Times New Roman" w:cs="Times New Roman"/>
        </w:rPr>
        <w:t>,</w:t>
      </w:r>
      <w:r w:rsidR="003B5536" w:rsidRPr="00E973F8">
        <w:rPr>
          <w:rFonts w:ascii="Times New Roman" w:hAnsi="Times New Roman" w:cs="Times New Roman"/>
        </w:rPr>
        <w:t xml:space="preserve"> a także na wzrost PKB o 3,6% w 2014 r. </w:t>
      </w:r>
      <w:r w:rsidR="00497B73" w:rsidRPr="00E973F8">
        <w:rPr>
          <w:rFonts w:ascii="Times New Roman" w:hAnsi="Times New Roman" w:cs="Times New Roman"/>
        </w:rPr>
        <w:t xml:space="preserve">Konwersja zadłużenia HUF choć wpłynęła negatywnie na wyniki sektora bankowego, nie wywołała negatywnych efektów </w:t>
      </w:r>
      <w:r w:rsidR="007815D4">
        <w:rPr>
          <w:rFonts w:ascii="Times New Roman" w:hAnsi="Times New Roman" w:cs="Times New Roman"/>
        </w:rPr>
        <w:t>dla</w:t>
      </w:r>
      <w:r w:rsidR="00497B73" w:rsidRPr="00E973F8">
        <w:rPr>
          <w:rFonts w:ascii="Times New Roman" w:hAnsi="Times New Roman" w:cs="Times New Roman"/>
        </w:rPr>
        <w:t xml:space="preserve"> cał</w:t>
      </w:r>
      <w:r w:rsidR="007815D4">
        <w:rPr>
          <w:rFonts w:ascii="Times New Roman" w:hAnsi="Times New Roman" w:cs="Times New Roman"/>
        </w:rPr>
        <w:t>ej</w:t>
      </w:r>
      <w:r w:rsidR="00497B73" w:rsidRPr="00E973F8">
        <w:rPr>
          <w:rFonts w:ascii="Times New Roman" w:hAnsi="Times New Roman" w:cs="Times New Roman"/>
        </w:rPr>
        <w:t xml:space="preserve"> gospodark</w:t>
      </w:r>
      <w:r w:rsidR="0095614E">
        <w:rPr>
          <w:rFonts w:ascii="Times New Roman" w:hAnsi="Times New Roman" w:cs="Times New Roman"/>
        </w:rPr>
        <w:t>i</w:t>
      </w:r>
      <w:r w:rsidR="00497B73" w:rsidRPr="00E973F8">
        <w:rPr>
          <w:rFonts w:ascii="Times New Roman" w:hAnsi="Times New Roman" w:cs="Times New Roman"/>
        </w:rPr>
        <w:t xml:space="preserve"> Węgier. </w:t>
      </w:r>
      <w:r w:rsidR="0080658A" w:rsidRPr="00E973F8">
        <w:rPr>
          <w:rFonts w:ascii="Times New Roman" w:hAnsi="Times New Roman" w:cs="Times New Roman"/>
        </w:rPr>
        <w:t>Międzynarodowy Fundusz Walutowy pozytywnie ocenił skutki przewalutowania obcego długu hipotecznego</w:t>
      </w:r>
      <w:r w:rsidR="0080658A" w:rsidRPr="00E973F8">
        <w:rPr>
          <w:rStyle w:val="Odwoanieprzypisudolnego"/>
          <w:rFonts w:ascii="Times New Roman" w:hAnsi="Times New Roman" w:cs="Times New Roman"/>
        </w:rPr>
        <w:footnoteReference w:id="80"/>
      </w:r>
      <w:r w:rsidR="0080658A" w:rsidRPr="00E973F8">
        <w:rPr>
          <w:rFonts w:ascii="Times New Roman" w:hAnsi="Times New Roman" w:cs="Times New Roman"/>
        </w:rPr>
        <w:t>.</w:t>
      </w:r>
    </w:p>
    <w:p w14:paraId="78A06204" w14:textId="6E3F551D" w:rsidR="00263953" w:rsidRPr="00A24377" w:rsidRDefault="00A24377" w:rsidP="00D80D68">
      <w:pPr>
        <w:spacing w:line="360" w:lineRule="auto"/>
        <w:jc w:val="both"/>
        <w:rPr>
          <w:rFonts w:cs="Times New Roman"/>
          <w:color w:val="000000"/>
          <w:szCs w:val="24"/>
        </w:rPr>
      </w:pPr>
      <w:r>
        <w:rPr>
          <w:rFonts w:cs="Times New Roman"/>
        </w:rPr>
        <w:br w:type="page"/>
      </w:r>
    </w:p>
    <w:p w14:paraId="3207FCF2" w14:textId="1D0737C0" w:rsidR="00A24377" w:rsidRPr="00CF2507" w:rsidRDefault="00A24377" w:rsidP="00D867E3">
      <w:pPr>
        <w:pStyle w:val="Nagwek1"/>
        <w:spacing w:line="360" w:lineRule="auto"/>
        <w:jc w:val="both"/>
      </w:pPr>
      <w:bookmarkStart w:id="29" w:name="_Toc513545758"/>
      <w:r w:rsidRPr="00CF2507">
        <w:lastRenderedPageBreak/>
        <w:t>IV. Propozycje rozwiązania problemu zadłużenia gospodarstw domowych w walutach obcych w Polsce</w:t>
      </w:r>
      <w:r>
        <w:t>.</w:t>
      </w:r>
      <w:bookmarkEnd w:id="29"/>
    </w:p>
    <w:p w14:paraId="777FAFF8" w14:textId="00F6452C" w:rsidR="00A24377" w:rsidRDefault="00A24377" w:rsidP="00D867E3">
      <w:pPr>
        <w:pStyle w:val="Nagwek2"/>
        <w:spacing w:line="360" w:lineRule="auto"/>
        <w:jc w:val="both"/>
      </w:pPr>
      <w:bookmarkStart w:id="30" w:name="_Toc513545759"/>
      <w:r w:rsidRPr="00DA6BCC">
        <w:t>IV.1 Przewalutowanie kredytów walutowych na PLN według kursu z dnia udzielenia kredytu</w:t>
      </w:r>
      <w:r>
        <w:t>.</w:t>
      </w:r>
      <w:bookmarkEnd w:id="30"/>
    </w:p>
    <w:p w14:paraId="788EB80C" w14:textId="77777777" w:rsidR="00A24377" w:rsidRDefault="00A24377" w:rsidP="00D867E3">
      <w:pPr>
        <w:pStyle w:val="Default"/>
        <w:spacing w:line="36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Propozycje ustawowego rozwiązania problemu zadłużenia gospodarstw domowych w walutach obcych z tytułu kredytów hipotecznych miały miejsce również w Polsce. Jedną z propozycji jest ustawa o restrukturyzacji kredytów walutowych uchwalona przez Sejm 5 sierpnia 2015 r. Założeniem ustawy było zmniejszenie wartości zadłużenia kredytobiorców w Polsce, którzy spłacają kredyty walutowe w walutach obcych. Projekt ustawy ma zatem rozwiązać problem zadłużenia we wszystkich walutach obcych, nie tylko w najpopularniejszym CHF</w:t>
      </w:r>
      <w:r>
        <w:rPr>
          <w:rStyle w:val="Odwoanieprzypisudolnego"/>
          <w:rFonts w:ascii="Times New Roman" w:hAnsi="Times New Roman" w:cs="Times New Roman"/>
        </w:rPr>
        <w:footnoteReference w:id="81"/>
      </w:r>
      <w:r>
        <w:rPr>
          <w:rFonts w:ascii="Times New Roman" w:hAnsi="Times New Roman" w:cs="Times New Roman"/>
        </w:rPr>
        <w:t xml:space="preserve">. </w:t>
      </w:r>
    </w:p>
    <w:p w14:paraId="1637A769" w14:textId="77777777" w:rsidR="00A24377" w:rsidRDefault="00A24377" w:rsidP="00D867E3">
      <w:pPr>
        <w:pStyle w:val="Default"/>
        <w:spacing w:line="360" w:lineRule="auto"/>
        <w:jc w:val="both"/>
        <w:rPr>
          <w:rFonts w:ascii="Times New Roman" w:hAnsi="Times New Roman" w:cs="Times New Roman"/>
        </w:rPr>
      </w:pPr>
      <w:r>
        <w:rPr>
          <w:rFonts w:ascii="Times New Roman" w:hAnsi="Times New Roman" w:cs="Times New Roman"/>
        </w:rPr>
        <w:tab/>
        <w:t>Według treści ustawy kredytobiorcy otrzymaliby możliwość restrukturyzacji i przewalutowania spłacanych kredytów hipotecznych. Przewalutowanie miało odbywać się na podstawie wniosku dobrowolnie złożonego przez kredytobiorcę. Ostateczny termin składania wniosków miałby upływać 30 czerwca 2020 r. Bank miał mieć obowiązek rozpatrzenia wniosku w ciągu 30 dni od jego złożenia. Do skorzystania z możliwości przewalutowania długu kredytobiorca musiał spełnić następujące warunki: nieruchomość stanowiąca zabezpieczenie musiała być jedynym lokalem mieszkalnym, lub domem rodzinnym w posiadaniu kredytobiorcy, przy czym jej powierzchnia nie mogła przekraczać 100 m</w:t>
      </w:r>
      <w:r>
        <w:rPr>
          <w:rFonts w:ascii="Times New Roman" w:hAnsi="Times New Roman" w:cs="Times New Roman"/>
          <w:vertAlign w:val="superscript"/>
        </w:rPr>
        <w:t>2</w:t>
      </w:r>
      <w:r>
        <w:rPr>
          <w:rFonts w:ascii="Times New Roman" w:hAnsi="Times New Roman" w:cs="Times New Roman"/>
        </w:rPr>
        <w:t xml:space="preserve"> (w przypadku lokalu mieszkalnego lub 150 m</w:t>
      </w:r>
      <w:r>
        <w:rPr>
          <w:rFonts w:ascii="Times New Roman" w:hAnsi="Times New Roman" w:cs="Times New Roman"/>
          <w:vertAlign w:val="superscript"/>
        </w:rPr>
        <w:t xml:space="preserve">2 </w:t>
      </w:r>
      <w:r>
        <w:rPr>
          <w:rFonts w:ascii="Times New Roman" w:hAnsi="Times New Roman" w:cs="Times New Roman"/>
        </w:rPr>
        <w:t xml:space="preserve">(w przypadku domu jednorodzinnego). Dodatkowo, wartość wskaźnika LTV w dniu złożenia wniosku nie mogła wynieść poniżej 80%. Powyższe ograniczenia nie miały dotyczyć kredytobiorców wychowujących troje lub więcej dzieci. </w:t>
      </w:r>
    </w:p>
    <w:p w14:paraId="701E3524" w14:textId="77777777" w:rsidR="00A24377" w:rsidRDefault="00A24377" w:rsidP="00D867E3">
      <w:pPr>
        <w:pStyle w:val="Default"/>
        <w:spacing w:line="360" w:lineRule="auto"/>
        <w:jc w:val="both"/>
        <w:rPr>
          <w:rFonts w:ascii="Times New Roman" w:hAnsi="Times New Roman" w:cs="Times New Roman"/>
        </w:rPr>
      </w:pPr>
      <w:r>
        <w:rPr>
          <w:rFonts w:ascii="Times New Roman" w:hAnsi="Times New Roman" w:cs="Times New Roman"/>
        </w:rPr>
        <w:tab/>
        <w:t xml:space="preserve">Ustawa zakładała przewalutowanie kredytów w walutach obcych na PLN. Kwota kapitału pozostałego do spłaty miała zostać obliczona jako różnica pomiędzy kwotą kapitału kredytu w walucie obcej przeliczoną na PLN według kursu sprzedaży waluty kredytu opublikowanego przez NBP w dniu poprzedzającym złożenie wniosku kredytowego a kwotą kapitału pozostałego do spłaty obliczonego w sposób, jakby kredyt od początku był udzielony i spłacany w PLN. Bank miałby obowiązek umorzenia 90% różnicy pomiędzy tymi kwotami. Na tej podstawie miała być wyznaczana ostateczna kwota kapitału kredytu pozostałego do spłaty. Po restrukturyzacji umowy kredytowej obowiązujące oprocentowanie miałoby zostać oparte o stopę bazową WIBOR i marżę dla kredytu złotowego obowiązującą w dniu złożenia </w:t>
      </w:r>
      <w:r>
        <w:rPr>
          <w:rFonts w:ascii="Times New Roman" w:hAnsi="Times New Roman" w:cs="Times New Roman"/>
        </w:rPr>
        <w:lastRenderedPageBreak/>
        <w:t>wniosku kredytowego. Pozostałe warunki umowy kredytowej jak prowizja za udzielenie kredytu, czy harmonogram spłaty miałyby obowiązywać takie, jak w przypadku kredytu złotowego. Przewalutowanie kredytów miało odbyć się w ciągu roku od wejścia ustawy w życie</w:t>
      </w:r>
      <w:r>
        <w:rPr>
          <w:rStyle w:val="Odwoanieprzypisudolnego"/>
          <w:rFonts w:ascii="Times New Roman" w:hAnsi="Times New Roman" w:cs="Times New Roman"/>
        </w:rPr>
        <w:footnoteReference w:id="82"/>
      </w:r>
      <w:r>
        <w:rPr>
          <w:rFonts w:ascii="Times New Roman" w:hAnsi="Times New Roman" w:cs="Times New Roman"/>
        </w:rPr>
        <w:t>.</w:t>
      </w:r>
    </w:p>
    <w:p w14:paraId="51E9A9A7" w14:textId="77777777" w:rsidR="00A24377" w:rsidRDefault="00A24377" w:rsidP="00D867E3">
      <w:pPr>
        <w:pStyle w:val="Default"/>
        <w:spacing w:line="360" w:lineRule="auto"/>
        <w:jc w:val="both"/>
        <w:rPr>
          <w:rFonts w:ascii="Times New Roman" w:hAnsi="Times New Roman" w:cs="Times New Roman"/>
        </w:rPr>
      </w:pPr>
      <w:r>
        <w:rPr>
          <w:rFonts w:ascii="Times New Roman" w:hAnsi="Times New Roman" w:cs="Times New Roman"/>
        </w:rPr>
        <w:tab/>
        <w:t>Według analizy projektu ustawy wykonanej przez KNF na podstawie ankiet przeprowadzonej wśród banków, z zaproponowanego rozwiązania mogłoby skorzystać około 276 000 kredytobiorców spłacających kredyty w walutach obcych o łącznej wartości około 56 mld złotych (33% wartości wszystkich kredytów walutowych). Przy założeniu, że z rozwiązania skorzystaliby wszyscy kredytobiorcy spełniający niezbędna kryteria łączna strata banków z tytułu restrukturyzacji kredytów wyniosłaby 21,9 mld zł, z czego koszty umorzeń części kapitału kredytów wyniosłyby 18,7 mld zł, a koszty zmiany finansowania i pozostałe koszty wyniosłyby 3,2 mld zł. Prognozowana suma 21,9 mld zł to około 172% wartości wyniku finansowego ankietowanych banków w 2014 r. Wartość umorzeń stanowi około 17% łącznej sumy funduszy własnych banków, z czego wartość umorzeń wynosi więcej, niż 20% funduszy własnych niż suma 6 ankietowanych banków. Wprowadzenie w życie projektu ustawy wiązałoby się zatem z poważnymi stratami wśród banków w latach 2015-2020 r. Należy jednak pamiętać, że łączna kwota restrukturyzowanych kredytów wynosiłaby nie 21,9 mld zł a 56 mld zł. Konieczność pozyskania tak znaczącej sumy mogłaby spowodować problemy płynnościowe wśród banków, a także wpłynąć na deprecjację PLN</w:t>
      </w:r>
      <w:r>
        <w:rPr>
          <w:rStyle w:val="Odwoanieprzypisudolnego"/>
          <w:rFonts w:ascii="Times New Roman" w:hAnsi="Times New Roman" w:cs="Times New Roman"/>
        </w:rPr>
        <w:footnoteReference w:id="83"/>
      </w:r>
      <w:r>
        <w:rPr>
          <w:rFonts w:ascii="Times New Roman" w:hAnsi="Times New Roman" w:cs="Times New Roman"/>
        </w:rPr>
        <w:t xml:space="preserve">. </w:t>
      </w:r>
    </w:p>
    <w:p w14:paraId="0C1E4403" w14:textId="77777777" w:rsidR="00A24377" w:rsidRPr="000D527F" w:rsidRDefault="00A24377" w:rsidP="00D867E3">
      <w:pPr>
        <w:pStyle w:val="Default"/>
        <w:spacing w:line="360" w:lineRule="auto"/>
        <w:jc w:val="both"/>
        <w:rPr>
          <w:rFonts w:ascii="Times New Roman" w:hAnsi="Times New Roman" w:cs="Times New Roman"/>
          <w:b/>
        </w:rPr>
      </w:pPr>
      <w:r>
        <w:rPr>
          <w:rFonts w:ascii="Times New Roman" w:hAnsi="Times New Roman" w:cs="Times New Roman"/>
        </w:rPr>
        <w:tab/>
        <w:t>Według prognoz NBP koszt 22 mld zł poniesiony przez banki stanowiłby ok 120% zysku brutto banków, które musiałby zrestrukturyzować kredyty walutowe. Wartość odpisów umorzeniowych z tytułu restrukturyzacji byłaby większa, niż zysk brutto w 11 bankach posiadających 46% udział w aktywach wszystkich banków prowadzących działalność w Polsce. Banki nie poniosłyby jednak kosztów proporcjonalnie, z powodu różnych wartości posiadanych przez nie kredytów walutowych. Oznacza to, że niektóre banki mogłyby wykazać straty. Mimo tego według stanowiska NBP prawdopodobnie nie doszłoby do naruszenia obowiązujących ówcześnie minimalnych wymogów wypłacalności. Rozważane rozwiązanie nie zagraża zatem stabilności sektora bankowego i bezpieczeństwa gospodarki. Wśród potencjalnych pozytywnych skutków wprowadzenia ustawy w życie NBP wymienia poprawę wartości wymogów kapitałowych wśród niektórych banków.</w:t>
      </w:r>
      <w:r w:rsidRPr="005C73CD">
        <w:rPr>
          <w:rStyle w:val="Odwoanieprzypisudolnego"/>
          <w:rFonts w:ascii="Times New Roman" w:hAnsi="Times New Roman" w:cs="Times New Roman"/>
        </w:rPr>
        <w:footnoteReference w:id="84"/>
      </w:r>
    </w:p>
    <w:p w14:paraId="0023E07D" w14:textId="77777777" w:rsidR="00A24377" w:rsidRPr="006C15B7" w:rsidRDefault="00A24377" w:rsidP="00D867E3">
      <w:pPr>
        <w:pStyle w:val="Default"/>
        <w:spacing w:line="360" w:lineRule="auto"/>
        <w:ind w:firstLine="708"/>
        <w:jc w:val="both"/>
        <w:rPr>
          <w:rFonts w:ascii="Times New Roman" w:hAnsi="Times New Roman" w:cs="Times New Roman"/>
          <w:b/>
        </w:rPr>
      </w:pPr>
      <w:r>
        <w:rPr>
          <w:rFonts w:ascii="Times New Roman" w:hAnsi="Times New Roman" w:cs="Times New Roman"/>
        </w:rPr>
        <w:lastRenderedPageBreak/>
        <w:t xml:space="preserve">Według stanowiska ówczesnego przewodniczącego KNF Andrzeja Jakubiaka tak wysokie straty banków mogłoby stanowić zagrożenie dla stabilności sektora bankowego. Zagrożone mogłoby też bezpieczeństwo depozytów złożonych w bankach przez klientów. Prawdopodobnie nastąpiły także </w:t>
      </w:r>
      <w:r w:rsidRPr="0010171C">
        <w:rPr>
          <w:rFonts w:ascii="Times New Roman" w:hAnsi="Times New Roman" w:cs="Times New Roman"/>
        </w:rPr>
        <w:t>ogranicze</w:t>
      </w:r>
      <w:r>
        <w:rPr>
          <w:rFonts w:ascii="Times New Roman" w:hAnsi="Times New Roman" w:cs="Times New Roman"/>
        </w:rPr>
        <w:t>nie</w:t>
      </w:r>
      <w:r w:rsidRPr="0010171C">
        <w:rPr>
          <w:rFonts w:ascii="Times New Roman" w:hAnsi="Times New Roman" w:cs="Times New Roman"/>
        </w:rPr>
        <w:t xml:space="preserve"> akcji kredytowej</w:t>
      </w:r>
      <w:r>
        <w:rPr>
          <w:rFonts w:ascii="Times New Roman" w:hAnsi="Times New Roman" w:cs="Times New Roman"/>
        </w:rPr>
        <w:t xml:space="preserve"> przez banki, wzrost</w:t>
      </w:r>
      <w:r w:rsidRPr="0010171C">
        <w:rPr>
          <w:rFonts w:ascii="Times New Roman" w:hAnsi="Times New Roman" w:cs="Times New Roman"/>
        </w:rPr>
        <w:t xml:space="preserve"> opłat i prowizji z tytułu usług bankowych oraz marż nowo udzielanych kredytów</w:t>
      </w:r>
      <w:r>
        <w:rPr>
          <w:rFonts w:ascii="Times New Roman" w:hAnsi="Times New Roman" w:cs="Times New Roman"/>
        </w:rPr>
        <w:t>, co mogłoby wpłynąć na popytu na rynku nieruchomości i spowolnienie wzrostu gospodarczego nawet o 0,3-0,5 punktów procentowych. Konsekwencje restrukturyzacji kredytów prawdopodobnie wpłynęłyby także na obniżenie oceny polskich banków, przedsiębiorstw i gospodarki przez agencje ratingowe</w:t>
      </w:r>
      <w:r>
        <w:rPr>
          <w:rStyle w:val="Odwoanieprzypisudolnego"/>
          <w:rFonts w:ascii="Times New Roman" w:hAnsi="Times New Roman" w:cs="Times New Roman"/>
        </w:rPr>
        <w:footnoteReference w:id="85"/>
      </w:r>
      <w:r>
        <w:rPr>
          <w:rFonts w:ascii="Times New Roman" w:hAnsi="Times New Roman" w:cs="Times New Roman"/>
        </w:rPr>
        <w:t xml:space="preserve">. </w:t>
      </w:r>
    </w:p>
    <w:p w14:paraId="7B67D421" w14:textId="77777777" w:rsidR="00A24377" w:rsidRDefault="00A24377" w:rsidP="00D867E3">
      <w:pPr>
        <w:pStyle w:val="Default"/>
        <w:spacing w:line="36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Z perspektywy kredytobiorców wdrożenie ustawy w życie miałoby jednoznacznie pozytywne skutki. Znacząco obniżyłyby się zarówno raty kredytu, jak i pozostała do spłaty kwota kapitału (np. dla kredytu hipotecznego zaciągniętego w CHF w lutym 2008 r. rata spadłaby o około 15%, a pozostała do spłaty kwota o około 40%)</w:t>
      </w:r>
      <w:r>
        <w:rPr>
          <w:rStyle w:val="Odwoanieprzypisudolnego"/>
          <w:rFonts w:ascii="Times New Roman" w:hAnsi="Times New Roman" w:cs="Times New Roman"/>
        </w:rPr>
        <w:footnoteReference w:id="86"/>
      </w:r>
      <w:r>
        <w:rPr>
          <w:rFonts w:ascii="Times New Roman" w:hAnsi="Times New Roman" w:cs="Times New Roman"/>
        </w:rPr>
        <w:t xml:space="preserve">. </w:t>
      </w:r>
    </w:p>
    <w:p w14:paraId="5941E316" w14:textId="77777777" w:rsidR="00A24377" w:rsidRDefault="00A24377" w:rsidP="00D867E3">
      <w:pPr>
        <w:pStyle w:val="Default"/>
        <w:spacing w:line="360" w:lineRule="auto"/>
        <w:jc w:val="both"/>
        <w:rPr>
          <w:rFonts w:ascii="Times New Roman" w:hAnsi="Times New Roman" w:cs="Times New Roman"/>
        </w:rPr>
      </w:pPr>
      <w:r>
        <w:rPr>
          <w:rFonts w:ascii="Times New Roman" w:hAnsi="Times New Roman" w:cs="Times New Roman"/>
        </w:rPr>
        <w:tab/>
        <w:t xml:space="preserve">Ustawa po uchwaleniu przez Sejm została następnie przekazana do Senatu, który wprowadził do poprawki, który zalecił stopniowe przewalutowanie kredytów walutowych według wartości wskaźnika LTV. Kredyty z wartością LTV powyżej 120% mogły zostać przewalutowane natychmiast po wejściu ustawy w życie. </w:t>
      </w:r>
      <w:r w:rsidRPr="00006D24">
        <w:rPr>
          <w:rFonts w:ascii="Times New Roman" w:hAnsi="Times New Roman" w:cs="Times New Roman"/>
        </w:rPr>
        <w:t xml:space="preserve">Kredyty z wartością LTV </w:t>
      </w:r>
      <w:r>
        <w:rPr>
          <w:rFonts w:ascii="Times New Roman" w:hAnsi="Times New Roman" w:cs="Times New Roman"/>
        </w:rPr>
        <w:t xml:space="preserve">pomiędzy 100-120% </w:t>
      </w:r>
      <w:r w:rsidRPr="00006D24">
        <w:rPr>
          <w:rFonts w:ascii="Times New Roman" w:hAnsi="Times New Roman" w:cs="Times New Roman"/>
        </w:rPr>
        <w:t>% mogły zostać przewalutowane</w:t>
      </w:r>
      <w:r>
        <w:rPr>
          <w:rFonts w:ascii="Times New Roman" w:hAnsi="Times New Roman" w:cs="Times New Roman"/>
        </w:rPr>
        <w:t xml:space="preserve"> po roku od wejścia ustawy w życie. Kredyty z wartością LTV pomiędzy 80-120% % mogły zostać przewalutowane po 2 latach od wejścia ustawy w życie. Dodatkowo, wartość umorzenia kwoty kapitału pozostałej do spłaty została zmniejszona do 50% w porównaniu do pierwotnie zaproponowanej wersji 90%. Oznaczało to, że kredytobiorcy musieliby ponieść znacznie większe koszty, niż pierwotnie zakładano, a do tego duża część z nich nie mogłaby skorzystać z możliwości restrukturyzacji kredytów natychmiast po wejściu ustawy w życie. Z perspektywy klientów poprawki Senatu były bardzo niekorzystne. Dla sektora bankowego nowy projekt byłby jednak znacznie bardziej korzystny z powodu konieczności poniesienia mniejszych strat i rozłożenia ich bardziej proporcjonalnie w dłuższym przedziale czasowym</w:t>
      </w:r>
      <w:r>
        <w:rPr>
          <w:rStyle w:val="Odwoanieprzypisudolnego"/>
          <w:rFonts w:ascii="Times New Roman" w:hAnsi="Times New Roman" w:cs="Times New Roman"/>
        </w:rPr>
        <w:footnoteReference w:id="87"/>
      </w:r>
      <w:r>
        <w:rPr>
          <w:rFonts w:ascii="Times New Roman" w:hAnsi="Times New Roman" w:cs="Times New Roman"/>
        </w:rPr>
        <w:t>.</w:t>
      </w:r>
    </w:p>
    <w:p w14:paraId="4FB196D6" w14:textId="77777777" w:rsidR="00A24377" w:rsidRDefault="00A24377" w:rsidP="00D867E3">
      <w:pPr>
        <w:pStyle w:val="Default"/>
        <w:spacing w:line="360" w:lineRule="auto"/>
        <w:ind w:firstLine="708"/>
        <w:jc w:val="both"/>
        <w:rPr>
          <w:rFonts w:ascii="Times New Roman" w:hAnsi="Times New Roman" w:cs="Times New Roman"/>
        </w:rPr>
      </w:pPr>
      <w:r>
        <w:rPr>
          <w:rFonts w:ascii="Times New Roman" w:hAnsi="Times New Roman" w:cs="Times New Roman"/>
        </w:rPr>
        <w:t>Ustawa została jednak porzucona z powodu posiadanego przez nią retroaktywnego charakteru, który został zakwestionowany m. in przez NBP, KNF, ZBP Krajową Radę Sądowniczą i Europejski Bank Centralny. Zakwestionowano także to, że ustawa stawiała w po</w:t>
      </w:r>
      <w:r>
        <w:rPr>
          <w:rFonts w:ascii="Times New Roman" w:hAnsi="Times New Roman" w:cs="Times New Roman"/>
        </w:rPr>
        <w:lastRenderedPageBreak/>
        <w:t>zycji uprzywilejowanej kredytobiorców spłacających zadłużenie w walutach obcych w porównaniu do kredytobiorców złotowych. Ostatecznie prace nad ustawą nie zostały zakończone i nie została ona wprowadzona w życie</w:t>
      </w:r>
      <w:r>
        <w:rPr>
          <w:rStyle w:val="Odwoanieprzypisudolnego"/>
          <w:rFonts w:ascii="Times New Roman" w:hAnsi="Times New Roman" w:cs="Times New Roman"/>
        </w:rPr>
        <w:footnoteReference w:id="88"/>
      </w:r>
      <w:r>
        <w:rPr>
          <w:rFonts w:ascii="Times New Roman" w:hAnsi="Times New Roman" w:cs="Times New Roman"/>
        </w:rPr>
        <w:t xml:space="preserve">. </w:t>
      </w:r>
    </w:p>
    <w:p w14:paraId="6AF47365" w14:textId="77777777" w:rsidR="00A24377" w:rsidRDefault="00A24377" w:rsidP="00D867E3">
      <w:pPr>
        <w:pStyle w:val="Default"/>
        <w:spacing w:line="360" w:lineRule="auto"/>
        <w:jc w:val="both"/>
        <w:rPr>
          <w:rFonts w:ascii="Times New Roman" w:hAnsi="Times New Roman" w:cs="Times New Roman"/>
        </w:rPr>
      </w:pPr>
    </w:p>
    <w:p w14:paraId="3EFBD9DC" w14:textId="395EDC0E" w:rsidR="00A24377" w:rsidRPr="00693A9C" w:rsidRDefault="00A24377" w:rsidP="00D867E3">
      <w:pPr>
        <w:pStyle w:val="Nagwek2"/>
        <w:spacing w:line="360" w:lineRule="auto"/>
        <w:jc w:val="both"/>
      </w:pPr>
      <w:bookmarkStart w:id="31" w:name="_Toc513545760"/>
      <w:r w:rsidRPr="00693A9C">
        <w:t>IV.2 Przewalutowanie kredytów walutowych na PLN według średniego kursu NBP z dnia przewalutowania</w:t>
      </w:r>
      <w:r>
        <w:t>.</w:t>
      </w:r>
      <w:bookmarkEnd w:id="31"/>
      <w:r w:rsidRPr="00693A9C">
        <w:t xml:space="preserve"> </w:t>
      </w:r>
    </w:p>
    <w:p w14:paraId="5EE1A39D" w14:textId="77777777" w:rsidR="00A24377" w:rsidRDefault="00A24377" w:rsidP="00D867E3">
      <w:pPr>
        <w:pStyle w:val="Default"/>
        <w:spacing w:line="36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Pomysł umorzenia tak znacznej wartości zadłużenia, jaka zaproponowana została w ustawie </w:t>
      </w:r>
      <w:r w:rsidRPr="0007637E">
        <w:rPr>
          <w:rFonts w:ascii="Times New Roman" w:hAnsi="Times New Roman" w:cs="Times New Roman"/>
        </w:rPr>
        <w:t>o szczególnych zasadach restrukturyzacji walutowych kredytów mieszkaniowych</w:t>
      </w:r>
      <w:r>
        <w:rPr>
          <w:rFonts w:ascii="Times New Roman" w:hAnsi="Times New Roman" w:cs="Times New Roman"/>
        </w:rPr>
        <w:t xml:space="preserve"> został zakwestionowany przez instytucje nadzoru finansowego. Stwierdzono, że ustawa nadałaby kredytobiorcom w walutach obcych nieuzasadnione przywileje w porównaniu do kredytobiorców złotowych. Dodatkowo zwrócono uwagę na to, że ustawa mogłaby sugerować przyszłym dłużnikom, że zaciągnięte przez nich zadłużenie może zostać zredukowane w przypadku znaczącego pogorszenia ich sytuacji finansowej. Mogłoby to kształtować postawy roszczeniowe i zmienić sposób postrzegania zobowiązania</w:t>
      </w:r>
      <w:r>
        <w:rPr>
          <w:rStyle w:val="Odwoanieprzypisudolnego"/>
          <w:rFonts w:ascii="Times New Roman" w:hAnsi="Times New Roman" w:cs="Times New Roman"/>
        </w:rPr>
        <w:footnoteReference w:id="89"/>
      </w:r>
      <w:r>
        <w:rPr>
          <w:rFonts w:ascii="Times New Roman" w:hAnsi="Times New Roman" w:cs="Times New Roman"/>
        </w:rPr>
        <w:t>.</w:t>
      </w:r>
    </w:p>
    <w:p w14:paraId="114E9DF2" w14:textId="77777777" w:rsidR="00A24377" w:rsidRDefault="00A24377" w:rsidP="00D867E3">
      <w:pPr>
        <w:pStyle w:val="Default"/>
        <w:spacing w:line="360" w:lineRule="auto"/>
        <w:jc w:val="both"/>
        <w:rPr>
          <w:rFonts w:ascii="Times New Roman" w:hAnsi="Times New Roman" w:cs="Times New Roman"/>
        </w:rPr>
      </w:pPr>
      <w:r>
        <w:rPr>
          <w:rFonts w:ascii="Times New Roman" w:hAnsi="Times New Roman" w:cs="Times New Roman"/>
        </w:rPr>
        <w:tab/>
        <w:t xml:space="preserve">W związku z powyższymi powodami KNF 3 lutego 2015 r. opublikowała własny projekt restrukturyzacji kredytów walutowych. Restrukturyzacją miały zostać objęte tylko kredyty walutowe udzielone w CHF. Nadrzędnym celem propozycji miało być wyeliminowanie dalszego ryzyka walutowego, którym zagrożeni byli zarówno bank udzielający kredytu jak i klient. Poza tym projekt zakładał sprawiedliwe potraktowanie osób zadłużonych w PLN i CHF. Restrukturyzacja kredytu miała być przeprowadzona po udzieleniu zgody przez bank i kredytobiorcę. </w:t>
      </w:r>
    </w:p>
    <w:p w14:paraId="100E1393" w14:textId="77777777" w:rsidR="00A24377" w:rsidRDefault="00A24377" w:rsidP="00D867E3">
      <w:pPr>
        <w:pStyle w:val="Default"/>
        <w:spacing w:line="360" w:lineRule="auto"/>
        <w:jc w:val="both"/>
        <w:rPr>
          <w:rFonts w:ascii="Times New Roman" w:hAnsi="Times New Roman" w:cs="Times New Roman"/>
        </w:rPr>
      </w:pPr>
      <w:r>
        <w:rPr>
          <w:rFonts w:ascii="Times New Roman" w:hAnsi="Times New Roman" w:cs="Times New Roman"/>
        </w:rPr>
        <w:tab/>
        <w:t xml:space="preserve">Restrukturyzacja zakładała przewalutowanie kredytu na PLN według parametrów, które obowiązywałyby w sytuacji, w której klient podczas podpisywania umowy kredytowej zaciągnąłby kredyt złotowy. Warunki kredytowe, takie jak stopa bazowa, marża i prowizja miały zostać dostosowane do tych, które od początku obowiązywałyby w przypadku kredytu złotowego. Przewalutowanie miało odbyć się według kursu średnio opublikowanego przez NBP w dniu restrukturyzacji kredytu. Kredyt miał zostać podzielony na dwa oddzielne kredyty: kredyt zabezpieczony hipotecznie i kredyt niezabezpieczony hipotecznie. </w:t>
      </w:r>
    </w:p>
    <w:p w14:paraId="0711ACE5" w14:textId="77777777" w:rsidR="00A24377" w:rsidRDefault="00A24377" w:rsidP="00D867E3">
      <w:pPr>
        <w:pStyle w:val="Default"/>
        <w:spacing w:line="360" w:lineRule="auto"/>
        <w:jc w:val="both"/>
        <w:rPr>
          <w:rFonts w:ascii="Times New Roman" w:hAnsi="Times New Roman" w:cs="Times New Roman"/>
        </w:rPr>
      </w:pPr>
      <w:r>
        <w:rPr>
          <w:rFonts w:ascii="Times New Roman" w:hAnsi="Times New Roman" w:cs="Times New Roman"/>
        </w:rPr>
        <w:lastRenderedPageBreak/>
        <w:tab/>
        <w:t>Kwota pozostała do spłaty z tytułu kredytu zabezpieczonego hipotecznie w dniu przewalutowania powinna mieć taką wartość jaka wystąpiłaby w przypadku takiego samego kredytu zaciągniętego w PLN.</w:t>
      </w:r>
    </w:p>
    <w:p w14:paraId="4C229366" w14:textId="77777777" w:rsidR="00A24377" w:rsidRDefault="00A24377" w:rsidP="00D867E3">
      <w:pPr>
        <w:pStyle w:val="Default"/>
        <w:spacing w:line="360" w:lineRule="auto"/>
        <w:jc w:val="both"/>
        <w:rPr>
          <w:rFonts w:ascii="Times New Roman" w:hAnsi="Times New Roman" w:cs="Times New Roman"/>
        </w:rPr>
      </w:pPr>
      <w:r>
        <w:rPr>
          <w:rFonts w:ascii="Times New Roman" w:hAnsi="Times New Roman" w:cs="Times New Roman"/>
        </w:rPr>
        <w:tab/>
        <w:t xml:space="preserve">Kwota kredytu niezabezpieczonego hipotecznie powinna w dniu przewalutowania odzwierciedlać różnicę pomiędzy całkowitą pozostałą do spłaty kwotą kredytu w CHF przewalutowaną na PLN według średniego kursu NBP z dnia przewalutowania a kwotą pozostałą do spłaty z tytułu kredytu zabezpieczonego hipotecznie. Kredyt niezabezpieczony hipotecznie powinien szacunkowo odpowiadać skutkom zmiany kursu CHF/PLN od początku obowiązywania umowy kredytowej do dnia przewalutowania. </w:t>
      </w:r>
    </w:p>
    <w:p w14:paraId="657D9176" w14:textId="77777777" w:rsidR="00A24377" w:rsidRDefault="00A24377" w:rsidP="00D867E3">
      <w:pPr>
        <w:pStyle w:val="Default"/>
        <w:spacing w:line="360" w:lineRule="auto"/>
        <w:jc w:val="both"/>
        <w:rPr>
          <w:rFonts w:ascii="Times New Roman" w:hAnsi="Times New Roman" w:cs="Times New Roman"/>
        </w:rPr>
      </w:pPr>
      <w:r>
        <w:rPr>
          <w:rFonts w:ascii="Times New Roman" w:hAnsi="Times New Roman" w:cs="Times New Roman"/>
        </w:rPr>
        <w:tab/>
        <w:t xml:space="preserve">Koszty przewalutowania miały zostać podzielone równo pomiędzy bank i kredytobiorcy. Bank powinien umorzyć 50% wartości kredytu niezabezpieczonego hipotecznie a kredytobiorca powinien spłacić pozostałe 50% wartości tego kredytu wraz z odsetkami, których wysokość miała wynosić 1% w ciągu całego okresu spłaty. Umarzanie długu miałoby następować stopniowo, w miarę spłacania przez kredytobiorcę kolejnych lat. </w:t>
      </w:r>
    </w:p>
    <w:p w14:paraId="1D423ACE" w14:textId="77777777" w:rsidR="00A24377" w:rsidRDefault="00A24377" w:rsidP="00D867E3">
      <w:pPr>
        <w:pStyle w:val="Default"/>
        <w:spacing w:line="360" w:lineRule="auto"/>
        <w:jc w:val="both"/>
        <w:rPr>
          <w:rFonts w:ascii="Times New Roman" w:hAnsi="Times New Roman" w:cs="Times New Roman"/>
        </w:rPr>
      </w:pPr>
      <w:r>
        <w:rPr>
          <w:rFonts w:ascii="Times New Roman" w:hAnsi="Times New Roman" w:cs="Times New Roman"/>
        </w:rPr>
        <w:tab/>
        <w:t>Do skorzystania z zaproponowanego rozwiązania kredytobiorca musiałby spełnić następujący warunek. Kredytobiorca powinien we własnym zakresie pokryć różnicę pomiędzy sumą spłaconych dotychczas rat w CHF a sumą rat, którą musiałby spłacić, gdyby od początku zdecydował się na zaciągnięcie kredytu w PLN. Jeżeli klient nie byłby pokryć tej różnicy poprzez jednorazową dopłatę bank powinien udzielić klientowi dodatkowego kredytu o tej kwocie oprocentowanego w wysokości 1%, który powinien zostać spłacony w tym samym terminie, co kredyt zabezpieczony hipotecznie.</w:t>
      </w:r>
      <w:r>
        <w:rPr>
          <w:rStyle w:val="Odwoanieprzypisudolnego"/>
          <w:rFonts w:ascii="Times New Roman" w:hAnsi="Times New Roman" w:cs="Times New Roman"/>
        </w:rPr>
        <w:footnoteReference w:id="90"/>
      </w:r>
      <w:r>
        <w:rPr>
          <w:rFonts w:ascii="Times New Roman" w:hAnsi="Times New Roman" w:cs="Times New Roman"/>
        </w:rPr>
        <w:t xml:space="preserve">. </w:t>
      </w:r>
    </w:p>
    <w:p w14:paraId="10D6A9A3" w14:textId="77777777" w:rsidR="00A24377" w:rsidRDefault="00A24377" w:rsidP="00D867E3">
      <w:pPr>
        <w:pStyle w:val="Default"/>
        <w:spacing w:line="360" w:lineRule="auto"/>
        <w:jc w:val="both"/>
        <w:rPr>
          <w:rFonts w:ascii="Times New Roman" w:hAnsi="Times New Roman" w:cs="Times New Roman"/>
        </w:rPr>
      </w:pPr>
      <w:r>
        <w:rPr>
          <w:rFonts w:ascii="Times New Roman" w:hAnsi="Times New Roman" w:cs="Times New Roman"/>
        </w:rPr>
        <w:tab/>
        <w:t>Według ówczesnego przewodniczące KNF Andrzeja Jakubiaka wystosowana propozycja nie powinna stanowić zagrożenia dla bezpieczeństwa systemu bankowego. Koszty przewalutowania kredytów poniesione przez banki wyniosłyby około 25 mld zł i rozłożyłyby się okres około 20-25 i rocznie stanowiłyby około 7% wyniku finansowego osiąganego przez sektor bankowy</w:t>
      </w:r>
      <w:r>
        <w:rPr>
          <w:rStyle w:val="Odwoanieprzypisudolnego"/>
          <w:rFonts w:ascii="Times New Roman" w:hAnsi="Times New Roman" w:cs="Times New Roman"/>
        </w:rPr>
        <w:footnoteReference w:id="91"/>
      </w:r>
      <w:r>
        <w:rPr>
          <w:rFonts w:ascii="Times New Roman" w:hAnsi="Times New Roman" w:cs="Times New Roman"/>
        </w:rPr>
        <w:t>.</w:t>
      </w:r>
    </w:p>
    <w:p w14:paraId="073C2E5B" w14:textId="6980EE4D" w:rsidR="00FF0A95" w:rsidRDefault="00A24377" w:rsidP="00D867E3">
      <w:pPr>
        <w:pStyle w:val="Default"/>
        <w:spacing w:line="360" w:lineRule="auto"/>
        <w:jc w:val="both"/>
        <w:rPr>
          <w:rFonts w:ascii="Times New Roman" w:hAnsi="Times New Roman" w:cs="Times New Roman"/>
        </w:rPr>
      </w:pPr>
      <w:r>
        <w:rPr>
          <w:rFonts w:ascii="Times New Roman" w:hAnsi="Times New Roman" w:cs="Times New Roman"/>
        </w:rPr>
        <w:tab/>
        <w:t xml:space="preserve">Z perspektywy kredytobiorców propozycja KNF jest znacznie mniej atrakcyjna, niż projekt ustawy o restrukturyzacji kredytów walutowych. Choć częściowo zniwelowane zostałyby straty spowodowane aprecjacją CHF, to kredytobiorcy nie mogli mieć pewności co do wysokości kursu CHF/PLN w przyszłości. Gdyby w przyszłości miałaby miejsce znacząca </w:t>
      </w:r>
      <w:r>
        <w:rPr>
          <w:rFonts w:ascii="Times New Roman" w:hAnsi="Times New Roman" w:cs="Times New Roman"/>
        </w:rPr>
        <w:lastRenderedPageBreak/>
        <w:t xml:space="preserve">deprecjacja CHF mogłoby się okazać, że kredytobiorcy, którzy przyjęliby propozycję KNF w istocie straciliby część środków godząc się na przewalutowanie. Ostateczna kwota kapitału pozostałego do spłaty i wysokość raty po przewalutowaniu różniłyby się też znacząco dla poszczególnych umów kredytowych w zależności od początkowego kursu CHF/PLN. Od jego wysokości zależałaby bowiem wysokość kwoty dopłaty z tytułu różnicy wysokości zsumowanej kwoty wpłaconych rat a wysokością rat, gdyby klient spłacał od początku kredyt w PLN. Początkowa wartość kursu CHF/PLN determinowałaby również wysokość poniesionej straty z tytułu aprecjacji CHF, a także wysokość kwoty umorzonej przez bank. Ostatecznie projekt zaproponowany przez KNF nie został wprowadzony w życie. Głównym powodem był niski entuzjazm do propozycji wśród kredytobiorców, którzy nie podchodzili chętnie do pomysłu z powodu wyżej wymienionych przyczyn. </w:t>
      </w:r>
    </w:p>
    <w:p w14:paraId="1242FF21" w14:textId="77777777" w:rsidR="00D867E3" w:rsidRDefault="00D867E3" w:rsidP="00D867E3">
      <w:pPr>
        <w:pStyle w:val="Default"/>
        <w:spacing w:line="360" w:lineRule="auto"/>
        <w:jc w:val="both"/>
        <w:rPr>
          <w:rFonts w:ascii="Times New Roman" w:hAnsi="Times New Roman" w:cs="Times New Roman"/>
        </w:rPr>
      </w:pPr>
    </w:p>
    <w:p w14:paraId="42E1FDEC" w14:textId="167A1959" w:rsidR="00A24377" w:rsidRDefault="00A24377" w:rsidP="00D867E3">
      <w:pPr>
        <w:pStyle w:val="Nagwek2"/>
        <w:spacing w:line="360" w:lineRule="auto"/>
        <w:jc w:val="both"/>
      </w:pPr>
      <w:bookmarkStart w:id="32" w:name="_Toc513545761"/>
      <w:r w:rsidRPr="00323CA5">
        <w:t>IV.3 Propozycja Związku Banków Polskich</w:t>
      </w:r>
      <w:r>
        <w:t>.</w:t>
      </w:r>
      <w:bookmarkEnd w:id="32"/>
    </w:p>
    <w:p w14:paraId="72D72F8E" w14:textId="1DBF04E0" w:rsidR="00A24377" w:rsidRDefault="00A24377" w:rsidP="00D867E3">
      <w:pPr>
        <w:pStyle w:val="Default"/>
        <w:spacing w:line="36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W dniu 23 stycznia 2015 r. Ministerstwo Gos</w:t>
      </w:r>
      <w:r w:rsidR="00FF0A95">
        <w:rPr>
          <w:rFonts w:ascii="Times New Roman" w:hAnsi="Times New Roman" w:cs="Times New Roman"/>
        </w:rPr>
        <w:t>p</w:t>
      </w:r>
      <w:r>
        <w:rPr>
          <w:rFonts w:ascii="Times New Roman" w:hAnsi="Times New Roman" w:cs="Times New Roman"/>
        </w:rPr>
        <w:t>odarki przedstawiło własną propozycję rozwiązania problemu zadłużenia polskich gospodarstw domowych w walutach obcych. Wystosowywanie projektu było spowodowane bezpośrednio znaczącą aprecjacją CHF po zakończeniu stosowania powiązania CHF z EUR po sztywnym kursie 1,20 przez Narodowy Bank Szwajcarii dnia 15.01.2015 r. Uwolnienie kursu CHF przełożyło się to na wzrost wartości pozostałej do spłaty kwoty kapitału i rat spłacanych przez kredytobiorców. Łączna wartość zobowiązań klientów posiadających zobowiązania w CHF wzrosła w tym czasie o około 30 mld zł. Propozycja miała na celu zabezpieczenie sytuacji finansowej klientów przed dalszymi fluktuacjami kursu CHF i pomoc w obsłudze zadłużenia. Projekt został skierowany do banków posiadających w swoich aktywach kredyty udzielone w CHF</w:t>
      </w:r>
      <w:r>
        <w:rPr>
          <w:rStyle w:val="Odwoanieprzypisudolnego"/>
          <w:rFonts w:ascii="Times New Roman" w:hAnsi="Times New Roman" w:cs="Times New Roman"/>
        </w:rPr>
        <w:footnoteReference w:id="92"/>
      </w:r>
      <w:r>
        <w:rPr>
          <w:rFonts w:ascii="Times New Roman" w:hAnsi="Times New Roman" w:cs="Times New Roman"/>
        </w:rPr>
        <w:t xml:space="preserve">. </w:t>
      </w:r>
    </w:p>
    <w:p w14:paraId="44485F36" w14:textId="77777777" w:rsidR="00A24377" w:rsidRDefault="00A24377" w:rsidP="00D867E3">
      <w:pPr>
        <w:pStyle w:val="Default"/>
        <w:spacing w:line="360" w:lineRule="auto"/>
        <w:jc w:val="both"/>
        <w:rPr>
          <w:rFonts w:ascii="Times New Roman" w:hAnsi="Times New Roman" w:cs="Times New Roman"/>
        </w:rPr>
      </w:pPr>
      <w:r>
        <w:rPr>
          <w:rFonts w:ascii="Times New Roman" w:hAnsi="Times New Roman" w:cs="Times New Roman"/>
        </w:rPr>
        <w:tab/>
        <w:t>Zaproponowany projekt zakładał następujące ulgi dla kredytobiorców:</w:t>
      </w:r>
    </w:p>
    <w:p w14:paraId="2779616D" w14:textId="77777777" w:rsidR="00A24377" w:rsidRPr="00411DB1" w:rsidRDefault="00A24377" w:rsidP="00D867E3">
      <w:pPr>
        <w:pStyle w:val="Default"/>
        <w:numPr>
          <w:ilvl w:val="0"/>
          <w:numId w:val="6"/>
        </w:numPr>
        <w:spacing w:line="360" w:lineRule="auto"/>
        <w:ind w:left="360"/>
        <w:jc w:val="both"/>
        <w:rPr>
          <w:rFonts w:ascii="Times New Roman" w:hAnsi="Times New Roman" w:cs="Times New Roman"/>
        </w:rPr>
      </w:pPr>
      <w:r w:rsidRPr="00411DB1">
        <w:rPr>
          <w:rFonts w:ascii="Times New Roman" w:hAnsi="Times New Roman" w:cs="Times New Roman"/>
        </w:rPr>
        <w:t>uwzględnienie przez banki ujemnej stopy bazowej LIBOR podczas obliczania oprocentowania kredytów,</w:t>
      </w:r>
    </w:p>
    <w:p w14:paraId="769B5F06" w14:textId="77777777" w:rsidR="00A24377" w:rsidRPr="00411DB1" w:rsidRDefault="00A24377" w:rsidP="00D867E3">
      <w:pPr>
        <w:pStyle w:val="Default"/>
        <w:numPr>
          <w:ilvl w:val="0"/>
          <w:numId w:val="6"/>
        </w:numPr>
        <w:spacing w:line="360" w:lineRule="auto"/>
        <w:ind w:left="360"/>
        <w:jc w:val="both"/>
        <w:rPr>
          <w:rFonts w:ascii="Times New Roman" w:hAnsi="Times New Roman" w:cs="Times New Roman"/>
        </w:rPr>
      </w:pPr>
      <w:r w:rsidRPr="00411DB1">
        <w:rPr>
          <w:rFonts w:ascii="Times New Roman" w:hAnsi="Times New Roman" w:cs="Times New Roman"/>
        </w:rPr>
        <w:t>znaczące zmniejszenie spreadu walutowego przez okres 6 miesięcy (obniżenie spreadu walutowego o taką wartość, żeby wartość rat znajdowała się na takim samym poziomie jak przed uwolnieniem kursu EUR/CHF),</w:t>
      </w:r>
    </w:p>
    <w:p w14:paraId="41994D82" w14:textId="20CCF911" w:rsidR="00A24377" w:rsidRPr="00411DB1" w:rsidRDefault="00A24377" w:rsidP="00D867E3">
      <w:pPr>
        <w:pStyle w:val="Default"/>
        <w:numPr>
          <w:ilvl w:val="0"/>
          <w:numId w:val="6"/>
        </w:numPr>
        <w:spacing w:line="360" w:lineRule="auto"/>
        <w:ind w:left="360"/>
        <w:jc w:val="both"/>
        <w:rPr>
          <w:rFonts w:ascii="Times New Roman" w:hAnsi="Times New Roman" w:cs="Times New Roman"/>
        </w:rPr>
      </w:pPr>
      <w:r w:rsidRPr="00411DB1">
        <w:rPr>
          <w:rFonts w:ascii="Times New Roman" w:hAnsi="Times New Roman" w:cs="Times New Roman"/>
        </w:rPr>
        <w:t xml:space="preserve">wydłużenie okresu spłaty kredytu (maksymalnie o 24 miesiące) lub wprowadzenie okresów </w:t>
      </w:r>
      <w:r w:rsidR="007E1377">
        <w:rPr>
          <w:rFonts w:ascii="Times New Roman" w:hAnsi="Times New Roman" w:cs="Times New Roman"/>
        </w:rPr>
        <w:t>wakacji kredytowych</w:t>
      </w:r>
      <w:r w:rsidRPr="00411DB1">
        <w:rPr>
          <w:rFonts w:ascii="Times New Roman" w:hAnsi="Times New Roman" w:cs="Times New Roman"/>
        </w:rPr>
        <w:t xml:space="preserve"> w spłacie raty (maksymalnie do 12 miesięcy) dla kredytobior</w:t>
      </w:r>
      <w:r w:rsidRPr="00411DB1">
        <w:rPr>
          <w:rFonts w:ascii="Times New Roman" w:hAnsi="Times New Roman" w:cs="Times New Roman"/>
        </w:rPr>
        <w:lastRenderedPageBreak/>
        <w:t>ców zamieszkujących kredytowaną nieruchomość, co miało zapewnić poziom raty co najwyżej nieznacznie wyższy niż przed uwolnieniem kursu EUR/CHF,</w:t>
      </w:r>
    </w:p>
    <w:p w14:paraId="313F5675" w14:textId="77777777" w:rsidR="00A24377" w:rsidRPr="00411DB1" w:rsidRDefault="00A24377" w:rsidP="00D867E3">
      <w:pPr>
        <w:pStyle w:val="Default"/>
        <w:numPr>
          <w:ilvl w:val="0"/>
          <w:numId w:val="6"/>
        </w:numPr>
        <w:spacing w:line="360" w:lineRule="auto"/>
        <w:ind w:left="360"/>
        <w:jc w:val="both"/>
        <w:rPr>
          <w:rFonts w:ascii="Times New Roman" w:hAnsi="Times New Roman" w:cs="Times New Roman"/>
        </w:rPr>
      </w:pPr>
      <w:r w:rsidRPr="00411DB1">
        <w:rPr>
          <w:rFonts w:ascii="Times New Roman" w:hAnsi="Times New Roman" w:cs="Times New Roman"/>
        </w:rPr>
        <w:t>rezygnacja z obowiązku konieczności ustanowienia nowego zabezpieczenia oraz ubezpieczenia kredytów dla kredytobiorców nie zalegających ze spłatą zobowiązania,</w:t>
      </w:r>
    </w:p>
    <w:p w14:paraId="65E4A55C" w14:textId="77777777" w:rsidR="00A24377" w:rsidRPr="00411DB1" w:rsidRDefault="00A24377" w:rsidP="00D867E3">
      <w:pPr>
        <w:pStyle w:val="Default"/>
        <w:numPr>
          <w:ilvl w:val="0"/>
          <w:numId w:val="6"/>
        </w:numPr>
        <w:spacing w:line="360" w:lineRule="auto"/>
        <w:ind w:left="360"/>
        <w:jc w:val="both"/>
        <w:rPr>
          <w:rFonts w:ascii="Times New Roman" w:hAnsi="Times New Roman" w:cs="Times New Roman"/>
        </w:rPr>
      </w:pPr>
      <w:r w:rsidRPr="00411DB1">
        <w:rPr>
          <w:rFonts w:ascii="Times New Roman" w:hAnsi="Times New Roman" w:cs="Times New Roman"/>
        </w:rPr>
        <w:t>darmowa możliwość przewalutowania kredytu na PLN według kursu średniego NBP na wniosek klienta,</w:t>
      </w:r>
    </w:p>
    <w:p w14:paraId="0FA8B8FB" w14:textId="77777777" w:rsidR="00A24377" w:rsidRPr="00411DB1" w:rsidRDefault="00A24377" w:rsidP="00D867E3">
      <w:pPr>
        <w:pStyle w:val="Default"/>
        <w:numPr>
          <w:ilvl w:val="0"/>
          <w:numId w:val="6"/>
        </w:numPr>
        <w:spacing w:line="360" w:lineRule="auto"/>
        <w:ind w:left="360"/>
        <w:jc w:val="both"/>
        <w:rPr>
          <w:rFonts w:ascii="Times New Roman" w:hAnsi="Times New Roman" w:cs="Times New Roman"/>
        </w:rPr>
      </w:pPr>
      <w:r w:rsidRPr="00411DB1">
        <w:rPr>
          <w:rFonts w:ascii="Times New Roman" w:hAnsi="Times New Roman" w:cs="Times New Roman"/>
        </w:rPr>
        <w:t xml:space="preserve">uelastycznienie zasad restrukturyzacji kredytów hipotecznych dla kredytobiorców zamieszkających nieruchomości będące zabezpieczeniem kredytu. </w:t>
      </w:r>
    </w:p>
    <w:p w14:paraId="56CD20A4" w14:textId="77777777" w:rsidR="00A24377" w:rsidRDefault="00A24377" w:rsidP="00D867E3">
      <w:pPr>
        <w:pStyle w:val="Default"/>
        <w:spacing w:line="360" w:lineRule="auto"/>
        <w:jc w:val="both"/>
        <w:rPr>
          <w:rFonts w:ascii="Times New Roman" w:hAnsi="Times New Roman" w:cs="Times New Roman"/>
        </w:rPr>
      </w:pPr>
      <w:r>
        <w:rPr>
          <w:rFonts w:ascii="Times New Roman" w:hAnsi="Times New Roman" w:cs="Times New Roman"/>
        </w:rPr>
        <w:tab/>
        <w:t>Kredytobiorcy mieliby być także zwolnieni z obowiązku wykazania umorzonych przez banki kwot jako przychód, gdyby klienci i banki zdecydowali się na restrukturyzację długów</w:t>
      </w:r>
      <w:r>
        <w:rPr>
          <w:rStyle w:val="Odwoanieprzypisudolnego"/>
          <w:rFonts w:ascii="Times New Roman" w:hAnsi="Times New Roman" w:cs="Times New Roman"/>
        </w:rPr>
        <w:footnoteReference w:id="93"/>
      </w:r>
      <w:r>
        <w:rPr>
          <w:rFonts w:ascii="Times New Roman" w:hAnsi="Times New Roman" w:cs="Times New Roman"/>
        </w:rPr>
        <w:t>.</w:t>
      </w:r>
    </w:p>
    <w:p w14:paraId="166A1AE8" w14:textId="77777777" w:rsidR="00A24377" w:rsidRDefault="00A24377" w:rsidP="00D867E3">
      <w:pPr>
        <w:pStyle w:val="Default"/>
        <w:spacing w:line="360" w:lineRule="auto"/>
        <w:jc w:val="both"/>
        <w:rPr>
          <w:rFonts w:ascii="Times New Roman" w:hAnsi="Times New Roman" w:cs="Times New Roman"/>
        </w:rPr>
      </w:pPr>
      <w:r>
        <w:rPr>
          <w:rFonts w:ascii="Times New Roman" w:hAnsi="Times New Roman" w:cs="Times New Roman"/>
        </w:rPr>
        <w:tab/>
        <w:t>Dla kredytobiorców zaproponowane rozwiązanie było jednoznacznie korzystne. Choć w większości przypadków nie zatrzymało ono wzrostu wysokości rat kredytowych, to znacznie je ograniczyło. Według szacunków ZBP po uwolnieniu kursu CHF raty kredytobiorców wzrosły przeciętnie o 17%. Dzięki uwzględnieniu przez banki ujemnej wartości stopy bazowej LIBOR CHF 3M raty wzrosły przeciętnie tylko o 7%. Dzięki zastosowaniu zmniejszonego spreadu walutowego (1% zamiast 5%) raty wzrosły przeciętnie o 5%. Skumulowanie większej ilości ulg miało jeszcze bardziej pozytywny wpływ na zmniejszenie rat kredytobiorców</w:t>
      </w:r>
      <w:r>
        <w:rPr>
          <w:rStyle w:val="Odwoanieprzypisudolnego"/>
          <w:rFonts w:ascii="Times New Roman" w:hAnsi="Times New Roman" w:cs="Times New Roman"/>
        </w:rPr>
        <w:footnoteReference w:id="94"/>
      </w:r>
      <w:r>
        <w:rPr>
          <w:rFonts w:ascii="Times New Roman" w:hAnsi="Times New Roman" w:cs="Times New Roman"/>
        </w:rPr>
        <w:t>.</w:t>
      </w:r>
    </w:p>
    <w:p w14:paraId="7F96FC43" w14:textId="77777777" w:rsidR="00A24377" w:rsidRDefault="00A24377" w:rsidP="00D867E3">
      <w:pPr>
        <w:pStyle w:val="Default"/>
        <w:spacing w:line="360" w:lineRule="auto"/>
        <w:ind w:firstLine="708"/>
        <w:jc w:val="both"/>
        <w:rPr>
          <w:rFonts w:ascii="Times New Roman" w:hAnsi="Times New Roman" w:cs="Times New Roman"/>
        </w:rPr>
      </w:pPr>
      <w:r>
        <w:rPr>
          <w:rFonts w:ascii="Times New Roman" w:hAnsi="Times New Roman" w:cs="Times New Roman"/>
        </w:rPr>
        <w:t>Całkowity koszt wdrożenia zaproponowanego rozwiązania dla sektora bankowego wyniósłby około 20 mld zł. Koszt rozłożyłby się w czasie na okres około 20-25 lat, rocznie wyniósłby zatem około 1 mld zł, co stanowi wynik bardzo podobny jak ten przedstawiony w propozycji KNF – około 7% rocznego wyniku finansowego sektora bankowego</w:t>
      </w:r>
      <w:r>
        <w:rPr>
          <w:rStyle w:val="Odwoanieprzypisudolnego"/>
          <w:rFonts w:ascii="Times New Roman" w:hAnsi="Times New Roman" w:cs="Times New Roman"/>
        </w:rPr>
        <w:footnoteReference w:id="95"/>
      </w:r>
      <w:r>
        <w:rPr>
          <w:rFonts w:ascii="Times New Roman" w:hAnsi="Times New Roman" w:cs="Times New Roman"/>
        </w:rPr>
        <w:t>.</w:t>
      </w:r>
    </w:p>
    <w:p w14:paraId="5E588934" w14:textId="77777777" w:rsidR="00A24377" w:rsidRDefault="00A24377" w:rsidP="00D867E3">
      <w:pPr>
        <w:pStyle w:val="Default"/>
        <w:spacing w:line="360" w:lineRule="auto"/>
        <w:ind w:firstLine="708"/>
        <w:jc w:val="both"/>
        <w:rPr>
          <w:rFonts w:ascii="Times New Roman" w:hAnsi="Times New Roman" w:cs="Times New Roman"/>
        </w:rPr>
      </w:pPr>
      <w:r>
        <w:rPr>
          <w:rFonts w:ascii="Times New Roman" w:hAnsi="Times New Roman" w:cs="Times New Roman"/>
        </w:rPr>
        <w:t>Propozycja ZBP została w niezmienionej formie zaakceptowana przez 10 banków i wdrożona w życie od początku lutego 2015 r</w:t>
      </w:r>
      <w:r>
        <w:rPr>
          <w:rStyle w:val="Odwoanieprzypisudolnego"/>
          <w:rFonts w:ascii="Times New Roman" w:hAnsi="Times New Roman" w:cs="Times New Roman"/>
        </w:rPr>
        <w:footnoteReference w:id="96"/>
      </w:r>
      <w:r>
        <w:rPr>
          <w:rFonts w:ascii="Times New Roman" w:hAnsi="Times New Roman" w:cs="Times New Roman"/>
        </w:rPr>
        <w:t>. Po zastosowaniu opracowanych rozwiązań projekt miał zostać rozszerzony o kolejne rozwiązania, które miały dodatkowo zabezpieczać sytuację finansową kredytobiorców dysponujących stosunkowo niskimi dochodami.</w:t>
      </w:r>
    </w:p>
    <w:p w14:paraId="05947B44" w14:textId="77777777" w:rsidR="00A24377" w:rsidRDefault="00A24377" w:rsidP="00D867E3">
      <w:pPr>
        <w:pStyle w:val="Default"/>
        <w:spacing w:line="360" w:lineRule="auto"/>
        <w:ind w:firstLine="708"/>
        <w:jc w:val="both"/>
        <w:rPr>
          <w:rFonts w:ascii="Times New Roman" w:hAnsi="Times New Roman" w:cs="Times New Roman"/>
        </w:rPr>
      </w:pPr>
      <w:r>
        <w:rPr>
          <w:rFonts w:ascii="Times New Roman" w:hAnsi="Times New Roman" w:cs="Times New Roman"/>
        </w:rPr>
        <w:t xml:space="preserve">Do tego celu miał zostać utworzony Fundusz Wsparcia Restrukturyzacji Kredytów Hipotecznych z kapitałem w wysokości 125 mln zł, finansowany przez banki. Zebrane środki </w:t>
      </w:r>
      <w:r>
        <w:rPr>
          <w:rFonts w:ascii="Times New Roman" w:hAnsi="Times New Roman" w:cs="Times New Roman"/>
        </w:rPr>
        <w:lastRenderedPageBreak/>
        <w:t>miały zostać przeznaczone na pomoc finansowym kredytobiorcom, którzy doświadczyli zdarzeń losowych, które umożliwiały im dalszą spłatę zadłużenia, czyli np. utrata pracy lub choroba. Pomoc miała mieć charakter zwrotny do wysokości 100% wartości raty kredytowej przez okres 12 miesięcy. Kwota nie mogła jednak przekroczyć 1500zł miesięcznie. Z rozwiązania mogli skorzystać osoby posiadające kredyty hipoteczne w walutach obcych lub złotych.</w:t>
      </w:r>
    </w:p>
    <w:p w14:paraId="2C499E58" w14:textId="77777777" w:rsidR="00A24377" w:rsidRDefault="00A24377" w:rsidP="00D867E3">
      <w:pPr>
        <w:pStyle w:val="Default"/>
        <w:spacing w:line="360" w:lineRule="auto"/>
        <w:jc w:val="both"/>
        <w:rPr>
          <w:rFonts w:ascii="Times New Roman" w:hAnsi="Times New Roman" w:cs="Times New Roman"/>
        </w:rPr>
      </w:pPr>
      <w:r>
        <w:rPr>
          <w:rFonts w:ascii="Times New Roman" w:hAnsi="Times New Roman" w:cs="Times New Roman"/>
        </w:rPr>
        <w:tab/>
        <w:t>Dla klientów posiadających kredyty hipoteczne w CHF zaproponowane oddzielne rozwiązanie. W tym przypadku utworzone miały zostać wewnętrzne fundusze stabilizacyjne mające oferować zwrotne dopłaty (z możliwością późniejszego umorzenia) do rat powyżej poziomu kursu CHF/PLN w wysokości 5,00. Kapitał przeznaczony na ten cel miał wynosić od 300 do 600 mln zł i powinien zostać dostarczony przez banki. Do uzyskania dopłat klienci musieliby spełnić następujące warunki. Kredytobiorcy musieliby otrzymywać miesięczny dochód poniżej średniego krajowego wynagrodzenia. Oprócz tego powierzchnia kredytowanej nieruchomości nie mogła przekraczać 75m</w:t>
      </w:r>
      <w:r>
        <w:rPr>
          <w:rFonts w:ascii="Times New Roman" w:hAnsi="Times New Roman" w:cs="Times New Roman"/>
          <w:vertAlign w:val="superscript"/>
        </w:rPr>
        <w:t>2</w:t>
      </w:r>
      <w:r>
        <w:rPr>
          <w:rFonts w:ascii="Times New Roman" w:hAnsi="Times New Roman" w:cs="Times New Roman"/>
        </w:rPr>
        <w:t xml:space="preserve"> w przypadku mieszkania lub 100m</w:t>
      </w:r>
      <w:r>
        <w:rPr>
          <w:rFonts w:ascii="Times New Roman" w:hAnsi="Times New Roman" w:cs="Times New Roman"/>
          <w:vertAlign w:val="superscript"/>
        </w:rPr>
        <w:t>2</w:t>
      </w:r>
      <w:r>
        <w:rPr>
          <w:rFonts w:ascii="Times New Roman" w:hAnsi="Times New Roman" w:cs="Times New Roman"/>
        </w:rPr>
        <w:t xml:space="preserve"> w przypadku domu jednorodzinnego</w:t>
      </w:r>
      <w:r>
        <w:rPr>
          <w:rStyle w:val="Odwoanieprzypisudolnego"/>
          <w:rFonts w:ascii="Times New Roman" w:hAnsi="Times New Roman" w:cs="Times New Roman"/>
        </w:rPr>
        <w:footnoteReference w:id="97"/>
      </w:r>
      <w:r>
        <w:rPr>
          <w:rFonts w:ascii="Times New Roman" w:hAnsi="Times New Roman" w:cs="Times New Roman"/>
        </w:rPr>
        <w:t>.</w:t>
      </w:r>
    </w:p>
    <w:p w14:paraId="1F4C6A1E" w14:textId="77777777" w:rsidR="00A24377" w:rsidRDefault="00A24377" w:rsidP="00D867E3">
      <w:pPr>
        <w:pStyle w:val="Default"/>
        <w:spacing w:line="360" w:lineRule="auto"/>
        <w:jc w:val="both"/>
        <w:rPr>
          <w:rFonts w:ascii="Times New Roman" w:hAnsi="Times New Roman" w:cs="Times New Roman"/>
        </w:rPr>
      </w:pPr>
      <w:r>
        <w:rPr>
          <w:rFonts w:ascii="Times New Roman" w:hAnsi="Times New Roman" w:cs="Times New Roman"/>
        </w:rPr>
        <w:tab/>
        <w:t>Takie rozwiązania zapewniłoby pomoc dla dłużników otrzymujących stosunkowo niskie dochody oraz osoby w przejściowo trudnej sytuacji finansowej. Zabezpieczyłyby również kredytobiorców spłacających zobowiązania w CHF przed dalszą aprecjacją tej waluty. Banki musiałyby ponieść koszt w wysokości maksymalnie 800 mln zł, pieniądze zostałyby jednak w większości zwrócone przez klientów w kolejnych latach spłaty kredytów. Ostateczny koszt zależałby również od przyjętej przez banki polityki umarzania zobowiązań kredytobiorców.</w:t>
      </w:r>
    </w:p>
    <w:p w14:paraId="3A57E2F3" w14:textId="22E5D64D" w:rsidR="00FF0A95" w:rsidRDefault="00A24377" w:rsidP="00D867E3">
      <w:pPr>
        <w:pStyle w:val="Default"/>
        <w:spacing w:line="360" w:lineRule="auto"/>
        <w:jc w:val="both"/>
        <w:rPr>
          <w:rFonts w:ascii="Times New Roman" w:hAnsi="Times New Roman" w:cs="Times New Roman"/>
        </w:rPr>
      </w:pPr>
      <w:r>
        <w:rPr>
          <w:rFonts w:ascii="Times New Roman" w:hAnsi="Times New Roman" w:cs="Times New Roman"/>
        </w:rPr>
        <w:tab/>
        <w:t xml:space="preserve">Fundusz Wsparcia Restrukturyzacji Kredytów Hipotecznych i fundusze stabilizacyjne nie zostały ostatecznie wprowadzone w życie. Zamiast nich na początku 2016 r. powołany do życia został Fundusz Wsparcia Kredytobiorców działający na podobnych zasadach do założeń wyżej wymienionych funduszy. </w:t>
      </w:r>
    </w:p>
    <w:p w14:paraId="665AFDB2" w14:textId="77777777" w:rsidR="00C33E34" w:rsidRDefault="00C33E34" w:rsidP="00D867E3">
      <w:pPr>
        <w:pStyle w:val="Default"/>
        <w:spacing w:line="360" w:lineRule="auto"/>
        <w:jc w:val="both"/>
        <w:rPr>
          <w:rFonts w:ascii="Times New Roman" w:hAnsi="Times New Roman" w:cs="Times New Roman"/>
        </w:rPr>
      </w:pPr>
    </w:p>
    <w:p w14:paraId="10EDB9B7" w14:textId="23E61B5E" w:rsidR="00A24377" w:rsidRPr="00FA1130" w:rsidRDefault="00A24377" w:rsidP="00D867E3">
      <w:pPr>
        <w:pStyle w:val="Nagwek2"/>
        <w:spacing w:line="360" w:lineRule="auto"/>
      </w:pPr>
      <w:bookmarkStart w:id="33" w:name="_Toc513545762"/>
      <w:r w:rsidRPr="00FA1130">
        <w:t>IV.4 Propozycja Ministerstwa Gospodarki.</w:t>
      </w:r>
      <w:bookmarkEnd w:id="33"/>
    </w:p>
    <w:p w14:paraId="0AFA533D" w14:textId="442AD5C6" w:rsidR="00A24377" w:rsidRDefault="00A24377" w:rsidP="00D867E3">
      <w:pPr>
        <w:pStyle w:val="Default"/>
        <w:spacing w:line="360" w:lineRule="auto"/>
        <w:jc w:val="both"/>
        <w:rPr>
          <w:rFonts w:ascii="Times New Roman" w:hAnsi="Times New Roman" w:cs="Times New Roman"/>
        </w:rPr>
      </w:pPr>
      <w:r>
        <w:rPr>
          <w:rFonts w:ascii="Times New Roman" w:hAnsi="Times New Roman" w:cs="Times New Roman"/>
        </w:rPr>
        <w:tab/>
        <w:t>Swoją propozycję nt. pomocy kredytobiorcom spłacającym kredyty w CHF opublikowało również ówczesne Ministerstwo Gospodarki</w:t>
      </w:r>
      <w:r>
        <w:rPr>
          <w:rStyle w:val="Odwoanieprzypisudolnego"/>
          <w:rFonts w:ascii="Times New Roman" w:hAnsi="Times New Roman" w:cs="Times New Roman"/>
        </w:rPr>
        <w:footnoteReference w:id="98"/>
      </w:r>
      <w:r>
        <w:rPr>
          <w:rFonts w:ascii="Times New Roman" w:hAnsi="Times New Roman" w:cs="Times New Roman"/>
        </w:rPr>
        <w:t xml:space="preserve">. Rozwiązanie miało załagodzić skutki drastycznej aprecjacji CHF po uwolnieniu jego kursu 15.01.2015 r. przez Szwajcarski Bank </w:t>
      </w:r>
      <w:r>
        <w:rPr>
          <w:rFonts w:ascii="Times New Roman" w:hAnsi="Times New Roman" w:cs="Times New Roman"/>
        </w:rPr>
        <w:lastRenderedPageBreak/>
        <w:t xml:space="preserve">Narodowy. Propozycja została opublikowana 28.01.2015 r. Zaproponowane rozwiązanie dotyczyło częściowo również kredytów złotowych, choć jego głównym celem było zabezpieczenie sytuacji finansowej gospodarstw domowych, które mogłyby mieć problemy ze spłatą rat, których wysokość znacząco wzrosła po uwolnieniu kursu. Wdrożenie projektu w życie miało wymagać współdziałania ze strony administracji rządowej, banków i kredytobiorców. Propozycja składała się z 11 postulatów, które wymagały zmian w polityce banków, jak i zmian regulacji. </w:t>
      </w:r>
    </w:p>
    <w:p w14:paraId="4057EFA7" w14:textId="77777777" w:rsidR="00A24377" w:rsidRDefault="00A24377" w:rsidP="00D867E3">
      <w:pPr>
        <w:pStyle w:val="Default"/>
        <w:spacing w:line="360" w:lineRule="auto"/>
        <w:ind w:firstLine="360"/>
        <w:jc w:val="both"/>
        <w:rPr>
          <w:rFonts w:ascii="Times New Roman" w:hAnsi="Times New Roman" w:cs="Times New Roman"/>
        </w:rPr>
      </w:pPr>
      <w:r>
        <w:rPr>
          <w:rFonts w:ascii="Times New Roman" w:hAnsi="Times New Roman" w:cs="Times New Roman"/>
        </w:rPr>
        <w:t>Do najważniejszych rekomendacji skierowanych do banków należały:</w:t>
      </w:r>
    </w:p>
    <w:p w14:paraId="08919EC1" w14:textId="77777777" w:rsidR="00A24377" w:rsidRPr="00F76DC2" w:rsidRDefault="00A24377" w:rsidP="00D867E3">
      <w:pPr>
        <w:pStyle w:val="Default"/>
        <w:numPr>
          <w:ilvl w:val="0"/>
          <w:numId w:val="7"/>
        </w:numPr>
        <w:spacing w:line="360" w:lineRule="auto"/>
        <w:ind w:left="360"/>
        <w:jc w:val="both"/>
        <w:rPr>
          <w:rFonts w:ascii="Times New Roman" w:hAnsi="Times New Roman" w:cs="Times New Roman"/>
        </w:rPr>
      </w:pPr>
      <w:r w:rsidRPr="00F76DC2">
        <w:rPr>
          <w:rFonts w:ascii="Times New Roman" w:hAnsi="Times New Roman" w:cs="Times New Roman"/>
        </w:rPr>
        <w:t>używanie ujemnej stopy LIBOR podczas obliczania oprocentowania kredytu,</w:t>
      </w:r>
    </w:p>
    <w:p w14:paraId="558417B8" w14:textId="77777777" w:rsidR="00A24377" w:rsidRPr="00F76DC2" w:rsidRDefault="00A24377" w:rsidP="00D867E3">
      <w:pPr>
        <w:pStyle w:val="Default"/>
        <w:numPr>
          <w:ilvl w:val="0"/>
          <w:numId w:val="7"/>
        </w:numPr>
        <w:spacing w:line="360" w:lineRule="auto"/>
        <w:ind w:left="360"/>
        <w:jc w:val="both"/>
        <w:rPr>
          <w:rFonts w:ascii="Times New Roman" w:hAnsi="Times New Roman" w:cs="Times New Roman"/>
        </w:rPr>
      </w:pPr>
      <w:r w:rsidRPr="00F76DC2">
        <w:rPr>
          <w:rFonts w:ascii="Times New Roman" w:hAnsi="Times New Roman" w:cs="Times New Roman"/>
        </w:rPr>
        <w:t>umożliwienie darmowego przewalutowania kredytu na PLN według średniego kursu NBP z dnia przewalutowania,</w:t>
      </w:r>
    </w:p>
    <w:p w14:paraId="478EE43B" w14:textId="77777777" w:rsidR="00A24377" w:rsidRPr="00F76DC2" w:rsidRDefault="00A24377" w:rsidP="00D867E3">
      <w:pPr>
        <w:pStyle w:val="Default"/>
        <w:numPr>
          <w:ilvl w:val="0"/>
          <w:numId w:val="7"/>
        </w:numPr>
        <w:spacing w:line="360" w:lineRule="auto"/>
        <w:ind w:left="360"/>
        <w:jc w:val="both"/>
        <w:rPr>
          <w:rFonts w:ascii="Times New Roman" w:hAnsi="Times New Roman" w:cs="Times New Roman"/>
        </w:rPr>
      </w:pPr>
      <w:r w:rsidRPr="00F76DC2">
        <w:rPr>
          <w:rFonts w:ascii="Times New Roman" w:hAnsi="Times New Roman" w:cs="Times New Roman"/>
        </w:rPr>
        <w:t xml:space="preserve">umożliwienie skorzystania z tzw. wakacji kredytowych na okres maksymalnie 36 miesięcy (rozwiązanie miało dotyczyć również kredytów w PLN) oraz ustalenie maksymalnej możliwej wysokości raty na poziomie przybliżonym do wysokości rat, które obowiązywały na koniec 2014 r. Rekomendacja dotyczyła kredytobiorców zamieszkujących kredytowaną nieruchomość, </w:t>
      </w:r>
    </w:p>
    <w:p w14:paraId="4FD684F9" w14:textId="77777777" w:rsidR="00A24377" w:rsidRPr="00F76DC2" w:rsidRDefault="00A24377" w:rsidP="00D867E3">
      <w:pPr>
        <w:pStyle w:val="Default"/>
        <w:numPr>
          <w:ilvl w:val="0"/>
          <w:numId w:val="7"/>
        </w:numPr>
        <w:spacing w:line="360" w:lineRule="auto"/>
        <w:ind w:left="360"/>
        <w:jc w:val="both"/>
        <w:rPr>
          <w:rFonts w:ascii="Times New Roman" w:hAnsi="Times New Roman" w:cs="Times New Roman"/>
        </w:rPr>
      </w:pPr>
      <w:r w:rsidRPr="00F76DC2">
        <w:rPr>
          <w:rFonts w:ascii="Times New Roman" w:hAnsi="Times New Roman" w:cs="Times New Roman"/>
        </w:rPr>
        <w:t>rezygnacja z konieczności ustanowienia dodatkowego zabezpieczenia kredytu z tytułu wzrostu wartości zobowiązania</w:t>
      </w:r>
      <w:r w:rsidRPr="00F76DC2">
        <w:rPr>
          <w:rStyle w:val="Odwoanieprzypisudolnego"/>
          <w:rFonts w:ascii="Times New Roman" w:hAnsi="Times New Roman" w:cs="Times New Roman"/>
        </w:rPr>
        <w:footnoteReference w:id="99"/>
      </w:r>
      <w:r w:rsidRPr="00F76DC2">
        <w:rPr>
          <w:rFonts w:ascii="Times New Roman" w:hAnsi="Times New Roman" w:cs="Times New Roman"/>
        </w:rPr>
        <w:t>.</w:t>
      </w:r>
    </w:p>
    <w:p w14:paraId="73B8209E" w14:textId="77777777" w:rsidR="00A24377" w:rsidRDefault="00A24377" w:rsidP="00D867E3">
      <w:pPr>
        <w:pStyle w:val="Default"/>
        <w:spacing w:line="360" w:lineRule="auto"/>
        <w:jc w:val="both"/>
        <w:rPr>
          <w:rFonts w:ascii="Times New Roman" w:hAnsi="Times New Roman" w:cs="Times New Roman"/>
        </w:rPr>
      </w:pPr>
      <w:r>
        <w:rPr>
          <w:rFonts w:ascii="Times New Roman" w:hAnsi="Times New Roman" w:cs="Times New Roman"/>
        </w:rPr>
        <w:tab/>
        <w:t xml:space="preserve">Po przeanalizowaniu rozwiązania czytelnik powinien zauważyć, że postulaty zawarte w propozycji Ministerstwa Gospodarki w większości pokrywają się z pomysłami zawartymi w projekcie wystosowanym przez ZBP. Znaczącą różnicą jest brak rekomendacji nt. zmniejszenia spreadów walutowych. Skutki takiego rozwiązania zarówno dla banków, jak i kredytobiorców powinny zatem być w przybliżeniu podobne. </w:t>
      </w:r>
    </w:p>
    <w:p w14:paraId="79C83745" w14:textId="77777777" w:rsidR="00A24377" w:rsidRDefault="00A24377" w:rsidP="00D867E3">
      <w:pPr>
        <w:pStyle w:val="Default"/>
        <w:spacing w:line="360" w:lineRule="auto"/>
        <w:jc w:val="both"/>
        <w:rPr>
          <w:rFonts w:ascii="Times New Roman" w:hAnsi="Times New Roman" w:cs="Times New Roman"/>
        </w:rPr>
      </w:pPr>
      <w:r>
        <w:rPr>
          <w:rFonts w:ascii="Times New Roman" w:hAnsi="Times New Roman" w:cs="Times New Roman"/>
        </w:rPr>
        <w:tab/>
        <w:t>Do regulatorów skierowano rekomendacje nt. wprowadzenia rozwiązań systemowych w następujących kwestiach:</w:t>
      </w:r>
    </w:p>
    <w:p w14:paraId="10FD453C" w14:textId="77777777" w:rsidR="00A24377" w:rsidRDefault="00A24377" w:rsidP="00D867E3">
      <w:pPr>
        <w:pStyle w:val="Default"/>
        <w:numPr>
          <w:ilvl w:val="0"/>
          <w:numId w:val="8"/>
        </w:numPr>
        <w:spacing w:line="360" w:lineRule="auto"/>
        <w:ind w:left="360"/>
        <w:jc w:val="both"/>
        <w:rPr>
          <w:rFonts w:ascii="Times New Roman" w:hAnsi="Times New Roman" w:cs="Times New Roman"/>
        </w:rPr>
      </w:pPr>
      <w:r>
        <w:rPr>
          <w:rFonts w:ascii="Times New Roman" w:hAnsi="Times New Roman" w:cs="Times New Roman"/>
        </w:rPr>
        <w:t>zmniejszenie ryzyka walutowego ponoszonego przez kredytobiorców poprzez stosowanie odpisów na podwyższone ryzyko,</w:t>
      </w:r>
    </w:p>
    <w:p w14:paraId="5F55C950" w14:textId="77777777" w:rsidR="00A24377" w:rsidRDefault="00A24377" w:rsidP="00D867E3">
      <w:pPr>
        <w:pStyle w:val="Default"/>
        <w:numPr>
          <w:ilvl w:val="0"/>
          <w:numId w:val="8"/>
        </w:numPr>
        <w:spacing w:line="360" w:lineRule="auto"/>
        <w:ind w:left="360"/>
        <w:jc w:val="both"/>
        <w:rPr>
          <w:rFonts w:ascii="Times New Roman" w:hAnsi="Times New Roman" w:cs="Times New Roman"/>
        </w:rPr>
      </w:pPr>
      <w:r>
        <w:rPr>
          <w:rFonts w:ascii="Times New Roman" w:hAnsi="Times New Roman" w:cs="Times New Roman"/>
        </w:rPr>
        <w:t>rezygnacja z ustanawiania dodatkowego zabezpieczenia kredytu podczas trwania umowy z powodu zmian kursu waluty kredytu,</w:t>
      </w:r>
    </w:p>
    <w:p w14:paraId="7918FCF1" w14:textId="77777777" w:rsidR="00A24377" w:rsidRDefault="00A24377" w:rsidP="00D867E3">
      <w:pPr>
        <w:pStyle w:val="Default"/>
        <w:numPr>
          <w:ilvl w:val="0"/>
          <w:numId w:val="8"/>
        </w:numPr>
        <w:spacing w:line="360" w:lineRule="auto"/>
        <w:ind w:left="360"/>
        <w:jc w:val="both"/>
        <w:rPr>
          <w:rFonts w:ascii="Times New Roman" w:hAnsi="Times New Roman" w:cs="Times New Roman"/>
        </w:rPr>
      </w:pPr>
      <w:r>
        <w:rPr>
          <w:rFonts w:ascii="Times New Roman" w:hAnsi="Times New Roman" w:cs="Times New Roman"/>
        </w:rPr>
        <w:t>rezygnacja z traktowania umorzonej części kredytu jak opodatkowanego przychodu kredytobiorcy,</w:t>
      </w:r>
    </w:p>
    <w:p w14:paraId="4EACA58E" w14:textId="77777777" w:rsidR="00A24377" w:rsidRDefault="00A24377" w:rsidP="00D867E3">
      <w:pPr>
        <w:pStyle w:val="Default"/>
        <w:numPr>
          <w:ilvl w:val="0"/>
          <w:numId w:val="8"/>
        </w:numPr>
        <w:spacing w:line="360" w:lineRule="auto"/>
        <w:ind w:left="360"/>
        <w:jc w:val="both"/>
        <w:rPr>
          <w:rFonts w:ascii="Times New Roman" w:hAnsi="Times New Roman" w:cs="Times New Roman"/>
        </w:rPr>
      </w:pPr>
      <w:r>
        <w:rPr>
          <w:rFonts w:ascii="Times New Roman" w:hAnsi="Times New Roman" w:cs="Times New Roman"/>
        </w:rPr>
        <w:lastRenderedPageBreak/>
        <w:t>możliwość naliczenia kosztów z tytułu umorzenia części kredytów jako koszty uzyskania przychodu przez banki,</w:t>
      </w:r>
    </w:p>
    <w:p w14:paraId="50582A1A" w14:textId="77777777" w:rsidR="00A24377" w:rsidRDefault="00A24377" w:rsidP="00D867E3">
      <w:pPr>
        <w:pStyle w:val="Default"/>
        <w:numPr>
          <w:ilvl w:val="0"/>
          <w:numId w:val="8"/>
        </w:numPr>
        <w:spacing w:line="360" w:lineRule="auto"/>
        <w:ind w:left="360"/>
        <w:jc w:val="both"/>
        <w:rPr>
          <w:rFonts w:ascii="Times New Roman" w:hAnsi="Times New Roman" w:cs="Times New Roman"/>
        </w:rPr>
      </w:pPr>
      <w:r>
        <w:rPr>
          <w:rFonts w:ascii="Times New Roman" w:hAnsi="Times New Roman" w:cs="Times New Roman"/>
        </w:rPr>
        <w:t>ustalenie dla nowo zawartych umów kredytowych limitu odpowiedzialności finansowej kredytobiorcy w wysokości maksymalnie wartości nieruchomości (rekomendacja miała dotyczyć kredytów udzielonych na kwotę w wysokości maksymalnie 100% wartości kredytowanej nieruchomości),</w:t>
      </w:r>
    </w:p>
    <w:p w14:paraId="61540867" w14:textId="77777777" w:rsidR="00A24377" w:rsidRDefault="00A24377" w:rsidP="00D867E3">
      <w:pPr>
        <w:pStyle w:val="Default"/>
        <w:numPr>
          <w:ilvl w:val="0"/>
          <w:numId w:val="8"/>
        </w:numPr>
        <w:spacing w:line="360" w:lineRule="auto"/>
        <w:ind w:left="360"/>
        <w:jc w:val="both"/>
        <w:rPr>
          <w:rFonts w:ascii="Times New Roman" w:hAnsi="Times New Roman" w:cs="Times New Roman"/>
        </w:rPr>
      </w:pPr>
      <w:r>
        <w:rPr>
          <w:rFonts w:ascii="Times New Roman" w:hAnsi="Times New Roman" w:cs="Times New Roman"/>
        </w:rPr>
        <w:t>bardziej elastyczne reakcje ze strony banków na trudności w spłacie kredytu przez klientów m.in. poprzez zmianę harmonogramu spłaty rat i rozwiązanie ugodowe,</w:t>
      </w:r>
    </w:p>
    <w:p w14:paraId="6FD332E7" w14:textId="77777777" w:rsidR="00A24377" w:rsidRDefault="00A24377" w:rsidP="00D867E3">
      <w:pPr>
        <w:pStyle w:val="Default"/>
        <w:numPr>
          <w:ilvl w:val="0"/>
          <w:numId w:val="8"/>
        </w:numPr>
        <w:spacing w:line="360" w:lineRule="auto"/>
        <w:ind w:left="360"/>
        <w:jc w:val="both"/>
        <w:rPr>
          <w:rFonts w:ascii="Times New Roman" w:hAnsi="Times New Roman" w:cs="Times New Roman"/>
        </w:rPr>
      </w:pPr>
      <w:r>
        <w:rPr>
          <w:rFonts w:ascii="Times New Roman" w:hAnsi="Times New Roman" w:cs="Times New Roman"/>
        </w:rPr>
        <w:t>zastosowanie rozwiązań zabezpieczających kredytobiorców zalegających ze spłatą kredytu z powodu zdarzeń losowych</w:t>
      </w:r>
      <w:r>
        <w:rPr>
          <w:rStyle w:val="Odwoanieprzypisudolnego"/>
          <w:rFonts w:ascii="Times New Roman" w:hAnsi="Times New Roman" w:cs="Times New Roman"/>
        </w:rPr>
        <w:footnoteReference w:id="100"/>
      </w:r>
      <w:r>
        <w:rPr>
          <w:rFonts w:ascii="Times New Roman" w:hAnsi="Times New Roman" w:cs="Times New Roman"/>
        </w:rPr>
        <w:t>.</w:t>
      </w:r>
    </w:p>
    <w:p w14:paraId="1454BFCE" w14:textId="77777777" w:rsidR="00A24377" w:rsidRPr="005B3FEB" w:rsidRDefault="00A24377" w:rsidP="00D867E3">
      <w:pPr>
        <w:pStyle w:val="Default"/>
        <w:spacing w:line="360" w:lineRule="auto"/>
        <w:ind w:firstLine="360"/>
        <w:jc w:val="both"/>
        <w:rPr>
          <w:rFonts w:ascii="Calibri" w:hAnsi="Calibri" w:cs="Calibri"/>
        </w:rPr>
      </w:pPr>
      <w:r>
        <w:rPr>
          <w:rFonts w:ascii="Times New Roman" w:hAnsi="Times New Roman" w:cs="Times New Roman"/>
        </w:rPr>
        <w:tab/>
        <w:t>Wprowadzenie rekomendacji w życie zabezpieczyłoby kredytobiorców przed dalszą aprecjacją CHF i ustabilizowałoby wysokość rat kredytowych na poziomie z końca 2014 r. Wydaje się jednak, że wdrożenie propozycji nie poprawiłoby w znaczący sposób sytuacji finansowej kredytobiorców ale zapobiegłoby ewentualnemu dalszemu pogarszaniu się sytuacji w przyszłości. Ostateczne rezultaty byłyby jednak zależne od wysokości kursu CHF/PLN w przyszłości, a przez to trudne do oszacowania. Dla banków koszty wprowadzenia omówionych rozwiązań byłyby stosunkowo niewielkie i nie powinny one zagrozić bezpieczeństwu sektora bankowego.</w:t>
      </w:r>
    </w:p>
    <w:p w14:paraId="124F0D4B" w14:textId="77777777" w:rsidR="00A24377" w:rsidRDefault="00A24377" w:rsidP="00D867E3">
      <w:pPr>
        <w:pStyle w:val="Default"/>
        <w:spacing w:line="360" w:lineRule="auto"/>
        <w:ind w:firstLine="708"/>
        <w:jc w:val="both"/>
        <w:rPr>
          <w:rFonts w:ascii="Times New Roman" w:hAnsi="Times New Roman" w:cs="Times New Roman"/>
        </w:rPr>
      </w:pPr>
      <w:r>
        <w:rPr>
          <w:rFonts w:ascii="Times New Roman" w:hAnsi="Times New Roman" w:cs="Times New Roman"/>
        </w:rPr>
        <w:t>Propozycji Ministerstwa Gospodarki nie stanowiła jednak kompleksowego i obszernego planu, ale zbiór rekomendacji dla banków i regulatorów. Dodatkowo, duża część rekomendacji została zawarta już w rozwiązaniach problemu opublikowanych przez KNF i ZBP. Należy również pamiętać</w:t>
      </w:r>
      <w:r w:rsidRPr="005B3FEB">
        <w:rPr>
          <w:rFonts w:ascii="Times New Roman" w:hAnsi="Times New Roman" w:cs="Times New Roman"/>
        </w:rPr>
        <w:t xml:space="preserve">, że Ministerstwo Gospodarki nie </w:t>
      </w:r>
      <w:r>
        <w:rPr>
          <w:rFonts w:ascii="Times New Roman" w:hAnsi="Times New Roman" w:cs="Times New Roman"/>
        </w:rPr>
        <w:t xml:space="preserve">jest instytucją </w:t>
      </w:r>
      <w:r w:rsidRPr="005B3FEB">
        <w:rPr>
          <w:rFonts w:ascii="Times New Roman" w:hAnsi="Times New Roman" w:cs="Times New Roman"/>
        </w:rPr>
        <w:t>sprawuj</w:t>
      </w:r>
      <w:r>
        <w:rPr>
          <w:rFonts w:ascii="Times New Roman" w:hAnsi="Times New Roman" w:cs="Times New Roman"/>
        </w:rPr>
        <w:t>ącą</w:t>
      </w:r>
      <w:r w:rsidRPr="005B3FEB">
        <w:rPr>
          <w:rFonts w:ascii="Times New Roman" w:hAnsi="Times New Roman" w:cs="Times New Roman"/>
        </w:rPr>
        <w:t xml:space="preserve"> bezpośredni</w:t>
      </w:r>
      <w:r>
        <w:rPr>
          <w:rFonts w:ascii="Times New Roman" w:hAnsi="Times New Roman" w:cs="Times New Roman"/>
        </w:rPr>
        <w:t xml:space="preserve"> </w:t>
      </w:r>
      <w:r w:rsidRPr="005B3FEB">
        <w:rPr>
          <w:rFonts w:ascii="Times New Roman" w:hAnsi="Times New Roman" w:cs="Times New Roman"/>
        </w:rPr>
        <w:t>nadz</w:t>
      </w:r>
      <w:r>
        <w:rPr>
          <w:rFonts w:ascii="Times New Roman" w:hAnsi="Times New Roman" w:cs="Times New Roman"/>
        </w:rPr>
        <w:t>ór</w:t>
      </w:r>
      <w:r w:rsidRPr="005B3FEB">
        <w:rPr>
          <w:rFonts w:ascii="Times New Roman" w:hAnsi="Times New Roman" w:cs="Times New Roman"/>
        </w:rPr>
        <w:t xml:space="preserve"> nad bankami</w:t>
      </w:r>
      <w:r>
        <w:rPr>
          <w:rFonts w:ascii="Times New Roman" w:hAnsi="Times New Roman" w:cs="Times New Roman"/>
        </w:rPr>
        <w:t>,</w:t>
      </w:r>
      <w:r w:rsidRPr="005B3FEB">
        <w:rPr>
          <w:rFonts w:ascii="Times New Roman" w:hAnsi="Times New Roman" w:cs="Times New Roman"/>
        </w:rPr>
        <w:t xml:space="preserve"> </w:t>
      </w:r>
      <w:r>
        <w:rPr>
          <w:rFonts w:ascii="Times New Roman" w:hAnsi="Times New Roman" w:cs="Times New Roman"/>
        </w:rPr>
        <w:t>ani</w:t>
      </w:r>
      <w:r w:rsidRPr="005B3FEB">
        <w:rPr>
          <w:rFonts w:ascii="Times New Roman" w:hAnsi="Times New Roman" w:cs="Times New Roman"/>
        </w:rPr>
        <w:t xml:space="preserve"> </w:t>
      </w:r>
      <w:r>
        <w:rPr>
          <w:rFonts w:ascii="Times New Roman" w:hAnsi="Times New Roman" w:cs="Times New Roman"/>
        </w:rPr>
        <w:t xml:space="preserve">nie jest stowarzyszeniem zrzeszającym banki. Oznacza to, że jego możliwości wpływu na wprowadzanie zmian systemowych lub zmian w polityce banków są ograniczone. </w:t>
      </w:r>
    </w:p>
    <w:p w14:paraId="0F65A7E5" w14:textId="78988324" w:rsidR="0033486F" w:rsidRDefault="00A24377" w:rsidP="00C86BBC">
      <w:pPr>
        <w:pStyle w:val="Default"/>
        <w:spacing w:line="360" w:lineRule="auto"/>
        <w:ind w:firstLine="708"/>
        <w:jc w:val="both"/>
        <w:rPr>
          <w:rFonts w:ascii="Times New Roman" w:hAnsi="Times New Roman" w:cs="Times New Roman"/>
        </w:rPr>
      </w:pPr>
      <w:r>
        <w:rPr>
          <w:rFonts w:ascii="Times New Roman" w:hAnsi="Times New Roman" w:cs="Times New Roman"/>
        </w:rPr>
        <w:t>Omówione wyżej rozwiązania zostały częściowo wdrożone w życie, nie zostały jednak wprowadzone w oparciu o projekt Ministerstwa Gospodarki ale na podstawie projektu ZBP omówionego w poprzednim rozdziale. Rekomendacje Ministerstwa Gospodarki, które nie zawierały się w rozwiązaniu wystosowanym przez ZBP ni</w:t>
      </w:r>
      <w:r w:rsidR="00AD6B9C">
        <w:rPr>
          <w:rFonts w:ascii="Times New Roman" w:hAnsi="Times New Roman" w:cs="Times New Roman"/>
        </w:rPr>
        <w:t xml:space="preserve">e zostały wprowadzone w życie. </w:t>
      </w:r>
    </w:p>
    <w:p w14:paraId="0DEBE4E8" w14:textId="77777777" w:rsidR="0033486F" w:rsidRDefault="0033486F">
      <w:pPr>
        <w:rPr>
          <w:rFonts w:cs="Times New Roman"/>
          <w:color w:val="000000"/>
          <w:szCs w:val="24"/>
        </w:rPr>
      </w:pPr>
      <w:r>
        <w:rPr>
          <w:rFonts w:cs="Times New Roman"/>
        </w:rPr>
        <w:br w:type="page"/>
      </w:r>
    </w:p>
    <w:p w14:paraId="45F905E7" w14:textId="767B8DC7" w:rsidR="00FA1130" w:rsidRPr="00B464AA" w:rsidRDefault="00A24377" w:rsidP="00B464AA">
      <w:pPr>
        <w:pStyle w:val="Nagwek2"/>
        <w:spacing w:line="360" w:lineRule="auto"/>
      </w:pPr>
      <w:bookmarkStart w:id="34" w:name="_Toc513545763"/>
      <w:r w:rsidRPr="00B464AA">
        <w:rPr>
          <w:rStyle w:val="Nagwek2Znak"/>
          <w:b/>
          <w:bCs/>
        </w:rPr>
        <w:lastRenderedPageBreak/>
        <w:t xml:space="preserve">IV.5 </w:t>
      </w:r>
      <w:r w:rsidR="005D5906" w:rsidRPr="00B464AA">
        <w:rPr>
          <w:rStyle w:val="Nagwek2Znak"/>
          <w:b/>
          <w:bCs/>
        </w:rPr>
        <w:t>Projekt ustawy o zasadach zwrotu niektórych należności wynikających z umów kredytu i pożyczki</w:t>
      </w:r>
      <w:r w:rsidRPr="00B464AA">
        <w:rPr>
          <w:rStyle w:val="Nagwek2Znak"/>
          <w:b/>
          <w:bCs/>
        </w:rPr>
        <w:t>.</w:t>
      </w:r>
      <w:bookmarkEnd w:id="34"/>
    </w:p>
    <w:p w14:paraId="473EE86E" w14:textId="037556F1" w:rsidR="00143028" w:rsidRDefault="00143028" w:rsidP="00D867E3">
      <w:pPr>
        <w:pStyle w:val="Default"/>
        <w:spacing w:line="360" w:lineRule="auto"/>
        <w:jc w:val="both"/>
        <w:rPr>
          <w:rFonts w:ascii="Times New Roman" w:hAnsi="Times New Roman" w:cs="Times New Roman"/>
        </w:rPr>
      </w:pPr>
      <w:r>
        <w:rPr>
          <w:rFonts w:ascii="Times New Roman" w:hAnsi="Times New Roman" w:cs="Times New Roman"/>
          <w:b/>
        </w:rPr>
        <w:tab/>
      </w:r>
      <w:r w:rsidR="004C29B1">
        <w:rPr>
          <w:rFonts w:ascii="Times New Roman" w:hAnsi="Times New Roman" w:cs="Times New Roman"/>
        </w:rPr>
        <w:t xml:space="preserve"> Kolejnym projektem, który mógłby </w:t>
      </w:r>
      <w:r w:rsidR="00AD6B9C">
        <w:rPr>
          <w:rFonts w:ascii="Times New Roman" w:hAnsi="Times New Roman" w:cs="Times New Roman"/>
        </w:rPr>
        <w:t>częściowo rozwiązać problem kredytów hipotecznych w walutach obcych w Polsce jest projekt ustawy</w:t>
      </w:r>
      <w:r w:rsidRPr="00143028">
        <w:rPr>
          <w:rFonts w:ascii="Times New Roman" w:hAnsi="Times New Roman" w:cs="Times New Roman"/>
        </w:rPr>
        <w:t xml:space="preserve"> o zasadach zwrotu niektórych</w:t>
      </w:r>
      <w:r w:rsidR="00AD6B9C">
        <w:rPr>
          <w:rFonts w:ascii="Times New Roman" w:hAnsi="Times New Roman" w:cs="Times New Roman"/>
        </w:rPr>
        <w:t xml:space="preserve"> </w:t>
      </w:r>
      <w:r w:rsidRPr="00143028">
        <w:rPr>
          <w:rFonts w:ascii="Times New Roman" w:hAnsi="Times New Roman" w:cs="Times New Roman"/>
        </w:rPr>
        <w:t>należności wynikających z umów</w:t>
      </w:r>
      <w:r w:rsidR="00AD6B9C">
        <w:rPr>
          <w:rFonts w:ascii="Times New Roman" w:hAnsi="Times New Roman" w:cs="Times New Roman"/>
        </w:rPr>
        <w:t xml:space="preserve"> </w:t>
      </w:r>
      <w:r w:rsidRPr="00143028">
        <w:rPr>
          <w:rFonts w:ascii="Times New Roman" w:hAnsi="Times New Roman" w:cs="Times New Roman"/>
        </w:rPr>
        <w:t>kredytu i pożyczki.</w:t>
      </w:r>
      <w:r w:rsidR="00F75515">
        <w:rPr>
          <w:rFonts w:ascii="Times New Roman" w:hAnsi="Times New Roman" w:cs="Times New Roman"/>
        </w:rPr>
        <w:t xml:space="preserve"> Projekt </w:t>
      </w:r>
      <w:r w:rsidR="00060DDA">
        <w:rPr>
          <w:rFonts w:ascii="Times New Roman" w:hAnsi="Times New Roman" w:cs="Times New Roman"/>
        </w:rPr>
        <w:t xml:space="preserve">został zaproponowany przez kancelarię Prezydenta Andrzeja Dudy i </w:t>
      </w:r>
      <w:r w:rsidR="00F75515">
        <w:rPr>
          <w:rFonts w:ascii="Times New Roman" w:hAnsi="Times New Roman" w:cs="Times New Roman"/>
        </w:rPr>
        <w:t>wpłynął do sejmu 2.08.2016 r.</w:t>
      </w:r>
      <w:r w:rsidR="00AD6B9C">
        <w:rPr>
          <w:rFonts w:ascii="Times New Roman" w:hAnsi="Times New Roman" w:cs="Times New Roman"/>
        </w:rPr>
        <w:t xml:space="preserve"> Propo</w:t>
      </w:r>
      <w:r w:rsidR="00FE2842">
        <w:rPr>
          <w:rFonts w:ascii="Times New Roman" w:hAnsi="Times New Roman" w:cs="Times New Roman"/>
        </w:rPr>
        <w:t>zycja nie dotyczy</w:t>
      </w:r>
      <w:r w:rsidR="00AD6B9C">
        <w:rPr>
          <w:rFonts w:ascii="Times New Roman" w:hAnsi="Times New Roman" w:cs="Times New Roman"/>
        </w:rPr>
        <w:t xml:space="preserve"> tylko kredytów hipotecznych, ale wszystkich rodzajów zobowiązań w walutach udzielanych </w:t>
      </w:r>
      <w:r w:rsidR="00FE2842">
        <w:rPr>
          <w:rFonts w:ascii="Times New Roman" w:hAnsi="Times New Roman" w:cs="Times New Roman"/>
        </w:rPr>
        <w:t>na podstawie umowy kredytu lub umowy pożyczki.</w:t>
      </w:r>
      <w:r w:rsidR="00AD6B9C">
        <w:rPr>
          <w:rFonts w:ascii="Times New Roman" w:hAnsi="Times New Roman" w:cs="Times New Roman"/>
        </w:rPr>
        <w:t xml:space="preserve"> </w:t>
      </w:r>
    </w:p>
    <w:p w14:paraId="176EA129" w14:textId="77428997" w:rsidR="00FE2842" w:rsidRPr="008F61DA" w:rsidRDefault="00FE2842" w:rsidP="00D867E3">
      <w:pPr>
        <w:pStyle w:val="Default"/>
        <w:spacing w:line="360" w:lineRule="auto"/>
        <w:jc w:val="both"/>
        <w:rPr>
          <w:rFonts w:ascii="Times New Roman" w:hAnsi="Times New Roman" w:cs="Times New Roman"/>
        </w:rPr>
      </w:pPr>
      <w:r w:rsidRPr="008F61DA">
        <w:rPr>
          <w:rFonts w:ascii="Times New Roman" w:hAnsi="Times New Roman" w:cs="Times New Roman"/>
        </w:rPr>
        <w:tab/>
        <w:t xml:space="preserve">Treść ustawy przewiduje </w:t>
      </w:r>
      <w:r w:rsidR="00C01811" w:rsidRPr="008F61DA">
        <w:rPr>
          <w:rFonts w:ascii="Times New Roman" w:hAnsi="Times New Roman" w:cs="Times New Roman"/>
        </w:rPr>
        <w:t>zwrot części naliczonego spreadu walutowego dla umów zawartych w okresie pomiędzy 1.07.2000 r. a 26.08.2011 r.</w:t>
      </w:r>
      <w:r w:rsidR="003E25EC" w:rsidRPr="008F61DA">
        <w:rPr>
          <w:rFonts w:ascii="Times New Roman" w:hAnsi="Times New Roman" w:cs="Times New Roman"/>
        </w:rPr>
        <w:t>, czyli dnia, w którym zaczęła obowiązywać</w:t>
      </w:r>
      <w:r w:rsidR="00710BF7" w:rsidRPr="008F61DA">
        <w:rPr>
          <w:rFonts w:ascii="Times New Roman" w:hAnsi="Times New Roman" w:cs="Times New Roman"/>
        </w:rPr>
        <w:t xml:space="preserve"> tzw.</w:t>
      </w:r>
      <w:r w:rsidR="003E25EC" w:rsidRPr="008F61DA">
        <w:rPr>
          <w:rFonts w:ascii="Times New Roman" w:hAnsi="Times New Roman" w:cs="Times New Roman"/>
        </w:rPr>
        <w:t xml:space="preserve"> </w:t>
      </w:r>
      <w:r w:rsidR="00F75C68">
        <w:rPr>
          <w:rFonts w:ascii="Times New Roman" w:hAnsi="Times New Roman" w:cs="Times New Roman"/>
        </w:rPr>
        <w:t>„</w:t>
      </w:r>
      <w:r w:rsidR="003E25EC" w:rsidRPr="008F61DA">
        <w:rPr>
          <w:rFonts w:ascii="Times New Roman" w:hAnsi="Times New Roman" w:cs="Times New Roman"/>
        </w:rPr>
        <w:t>ustawa</w:t>
      </w:r>
      <w:r w:rsidR="00C01811" w:rsidRPr="008F61DA">
        <w:rPr>
          <w:rFonts w:ascii="Times New Roman" w:hAnsi="Times New Roman" w:cs="Times New Roman"/>
        </w:rPr>
        <w:t xml:space="preserve"> </w:t>
      </w:r>
      <w:r w:rsidR="003E25EC" w:rsidRPr="008F61DA">
        <w:rPr>
          <w:rFonts w:ascii="Times New Roman" w:hAnsi="Times New Roman" w:cs="Times New Roman"/>
        </w:rPr>
        <w:t>antyspreadowa</w:t>
      </w:r>
      <w:r w:rsidR="00F75C68">
        <w:rPr>
          <w:rFonts w:ascii="Times New Roman" w:hAnsi="Times New Roman" w:cs="Times New Roman"/>
        </w:rPr>
        <w:t>” (</w:t>
      </w:r>
      <w:r w:rsidR="00F75C68" w:rsidRPr="00F75C68">
        <w:rPr>
          <w:rFonts w:ascii="Times New Roman" w:hAnsi="Times New Roman" w:cs="Times New Roman"/>
        </w:rPr>
        <w:t>ustawa z dnia 29.07.2011 r. o zmianie ustawy – Prawo bankowe oraz niektórych innych ustaw (Dz. U. Nr 165 poz. 984.)</w:t>
      </w:r>
      <w:r w:rsidR="003E25EC" w:rsidRPr="008F61DA">
        <w:rPr>
          <w:rFonts w:ascii="Times New Roman" w:hAnsi="Times New Roman" w:cs="Times New Roman"/>
        </w:rPr>
        <w:t>. Ustawa ta umożliwiała klientom spłatę zobowiązań walutowych bezpośrednio w walutach, w których zostały one zaciągnięte bez konieczności ponoszenia dodatkowej opłaty za zmianę umowy. Dla klientów spłacających dewizowe kredyty hipoteczne oznacza to, że w celu spaty rat nie muszą od tego czasu kupować waluty kredytowej według kursów oferowanych przez bank ale mog</w:t>
      </w:r>
      <w:r w:rsidR="009B23A1" w:rsidRPr="008F61DA">
        <w:rPr>
          <w:rFonts w:ascii="Times New Roman" w:hAnsi="Times New Roman" w:cs="Times New Roman"/>
        </w:rPr>
        <w:t>ą nabyć je u innych podmiotów, które oferują często bardziej korzystne kursy wymiany</w:t>
      </w:r>
      <w:r w:rsidR="003E25EC" w:rsidRPr="008F61DA">
        <w:rPr>
          <w:rFonts w:ascii="Times New Roman" w:hAnsi="Times New Roman" w:cs="Times New Roman"/>
        </w:rPr>
        <w:t>.</w:t>
      </w:r>
      <w:r w:rsidR="009B23A1" w:rsidRPr="008F61DA">
        <w:rPr>
          <w:rFonts w:ascii="Times New Roman" w:hAnsi="Times New Roman" w:cs="Times New Roman"/>
        </w:rPr>
        <w:t xml:space="preserve"> </w:t>
      </w:r>
      <w:r w:rsidR="00915745" w:rsidRPr="008F61DA">
        <w:rPr>
          <w:rFonts w:ascii="Times New Roman" w:hAnsi="Times New Roman" w:cs="Times New Roman"/>
        </w:rPr>
        <w:t>Jeżeli spread walutowy w okresie od 1.07.2000 r. do 26.08.2011 r. był wyższy niż 0,5%</w:t>
      </w:r>
      <w:r w:rsidR="001A0651" w:rsidRPr="008F61DA">
        <w:rPr>
          <w:rFonts w:ascii="Times New Roman" w:hAnsi="Times New Roman" w:cs="Times New Roman"/>
        </w:rPr>
        <w:t>.</w:t>
      </w:r>
      <w:r w:rsidR="00915745" w:rsidRPr="008F61DA">
        <w:rPr>
          <w:rFonts w:ascii="Times New Roman" w:hAnsi="Times New Roman" w:cs="Times New Roman"/>
        </w:rPr>
        <w:t xml:space="preserve"> </w:t>
      </w:r>
      <w:r w:rsidR="001A0651" w:rsidRPr="008F61DA">
        <w:rPr>
          <w:rFonts w:ascii="Times New Roman" w:hAnsi="Times New Roman" w:cs="Times New Roman"/>
        </w:rPr>
        <w:t>K</w:t>
      </w:r>
      <w:r w:rsidR="00915745" w:rsidRPr="008F61DA">
        <w:rPr>
          <w:rFonts w:ascii="Times New Roman" w:hAnsi="Times New Roman" w:cs="Times New Roman"/>
        </w:rPr>
        <w:t xml:space="preserve">redytobiorca powinien otrzymać zwrot </w:t>
      </w:r>
      <w:r w:rsidR="001A0651" w:rsidRPr="008F61DA">
        <w:rPr>
          <w:rFonts w:ascii="Times New Roman" w:hAnsi="Times New Roman" w:cs="Times New Roman"/>
        </w:rPr>
        <w:t xml:space="preserve">środków w wysokości różnicy pomiędzy średnim kursem NBP z dnia wypłacenia kredytu a faktycznym kursem wypłaty kwoty kredytu pomniejszonym o 0,5%. Klient powinien otrzymać także zwrot spreadu walutowego z tytułu spłaconych </w:t>
      </w:r>
      <w:r w:rsidR="00E7138C" w:rsidRPr="008F61DA">
        <w:rPr>
          <w:rFonts w:ascii="Times New Roman" w:hAnsi="Times New Roman" w:cs="Times New Roman"/>
        </w:rPr>
        <w:t>rat po zawyżonym kursie na analogicznych zasadach.</w:t>
      </w:r>
      <w:r w:rsidR="001A0651" w:rsidRPr="008F61DA">
        <w:rPr>
          <w:rFonts w:ascii="Times New Roman" w:hAnsi="Times New Roman" w:cs="Times New Roman"/>
        </w:rPr>
        <w:t xml:space="preserve"> Klient powinien otrzymać </w:t>
      </w:r>
      <w:r w:rsidR="00E7138C" w:rsidRPr="008F61DA">
        <w:rPr>
          <w:rFonts w:ascii="Times New Roman" w:hAnsi="Times New Roman" w:cs="Times New Roman"/>
        </w:rPr>
        <w:t>również</w:t>
      </w:r>
      <w:r w:rsidR="001A0651" w:rsidRPr="008F61DA">
        <w:rPr>
          <w:rFonts w:ascii="Times New Roman" w:hAnsi="Times New Roman" w:cs="Times New Roman"/>
        </w:rPr>
        <w:t xml:space="preserve"> odsetki od wartości zwrotu </w:t>
      </w:r>
      <w:r w:rsidR="000E6E2F" w:rsidRPr="008F61DA">
        <w:rPr>
          <w:rFonts w:ascii="Times New Roman" w:hAnsi="Times New Roman" w:cs="Times New Roman"/>
        </w:rPr>
        <w:t xml:space="preserve">spreadu </w:t>
      </w:r>
      <w:r w:rsidR="001A0651" w:rsidRPr="008F61DA">
        <w:rPr>
          <w:rFonts w:ascii="Times New Roman" w:hAnsi="Times New Roman" w:cs="Times New Roman"/>
        </w:rPr>
        <w:t>odpowiadające</w:t>
      </w:r>
      <w:r w:rsidR="00915745" w:rsidRPr="008F61DA">
        <w:rPr>
          <w:rFonts w:ascii="Times New Roman" w:hAnsi="Times New Roman" w:cs="Times New Roman"/>
        </w:rPr>
        <w:t xml:space="preserve"> połowie wartości odsetek ustawowych. </w:t>
      </w:r>
      <w:r w:rsidR="00FD5D53" w:rsidRPr="008F61DA">
        <w:rPr>
          <w:rFonts w:ascii="Times New Roman" w:hAnsi="Times New Roman" w:cs="Times New Roman"/>
        </w:rPr>
        <w:t>Zwrot środków ma dotyczyć również wygasłych umów.</w:t>
      </w:r>
    </w:p>
    <w:p w14:paraId="0CFD6444" w14:textId="7F64C937" w:rsidR="00E91776" w:rsidRDefault="00E91776" w:rsidP="00D867E3">
      <w:pPr>
        <w:pStyle w:val="Default"/>
        <w:spacing w:line="360" w:lineRule="auto"/>
        <w:jc w:val="both"/>
        <w:rPr>
          <w:rFonts w:ascii="Times New Roman" w:hAnsi="Times New Roman" w:cs="Times New Roman"/>
        </w:rPr>
      </w:pPr>
      <w:r w:rsidRPr="008F61DA">
        <w:rPr>
          <w:rFonts w:ascii="Times New Roman" w:hAnsi="Times New Roman" w:cs="Times New Roman"/>
        </w:rPr>
        <w:tab/>
        <w:t xml:space="preserve">Zwrot spreadów ma dotyczyć </w:t>
      </w:r>
      <w:r w:rsidR="00342047" w:rsidRPr="008F61DA">
        <w:rPr>
          <w:rFonts w:ascii="Times New Roman" w:hAnsi="Times New Roman" w:cs="Times New Roman"/>
        </w:rPr>
        <w:t xml:space="preserve">zobowiązań do wysokości 350 000 zł na każdą osobę. </w:t>
      </w:r>
      <w:r w:rsidR="003C7B2C" w:rsidRPr="008F61DA">
        <w:rPr>
          <w:rFonts w:ascii="Times New Roman" w:hAnsi="Times New Roman" w:cs="Times New Roman"/>
        </w:rPr>
        <w:t>Jeśli zobowiązanie zostało zaciągnięte na większą liczbę osób, np. jak w przypadku kredytu spłacanego przez małżeństwo kwota ta będzie odpowiednia większa.</w:t>
      </w:r>
      <w:r w:rsidR="00B86EF0" w:rsidRPr="008F61DA">
        <w:rPr>
          <w:rFonts w:ascii="Times New Roman" w:hAnsi="Times New Roman" w:cs="Times New Roman"/>
        </w:rPr>
        <w:t xml:space="preserve"> Nieistotna w tym wypadku będzie liczba zobowiązań, ale ich łączna wartość.</w:t>
      </w:r>
      <w:r w:rsidR="003C7B2C" w:rsidRPr="008F61DA">
        <w:rPr>
          <w:rFonts w:ascii="Times New Roman" w:hAnsi="Times New Roman" w:cs="Times New Roman"/>
        </w:rPr>
        <w:t xml:space="preserve"> </w:t>
      </w:r>
      <w:r w:rsidR="006358E4" w:rsidRPr="008F61DA">
        <w:rPr>
          <w:rFonts w:ascii="Times New Roman" w:hAnsi="Times New Roman" w:cs="Times New Roman"/>
        </w:rPr>
        <w:t>W przypadku zobowiązań przekraczających podaną wartość zostanie zwrócona część spreadu odpowiadająca kwocie 350 000 zł</w:t>
      </w:r>
      <w:r w:rsidR="00734A0C">
        <w:rPr>
          <w:rFonts w:ascii="Times New Roman" w:hAnsi="Times New Roman" w:cs="Times New Roman"/>
        </w:rPr>
        <w:t>. Zwrot środków ma odbywać się</w:t>
      </w:r>
      <w:r w:rsidR="00741060">
        <w:rPr>
          <w:rFonts w:ascii="Times New Roman" w:hAnsi="Times New Roman" w:cs="Times New Roman"/>
        </w:rPr>
        <w:t xml:space="preserve"> </w:t>
      </w:r>
      <w:r w:rsidR="00734A0C">
        <w:rPr>
          <w:rFonts w:ascii="Times New Roman" w:hAnsi="Times New Roman" w:cs="Times New Roman"/>
        </w:rPr>
        <w:t>na wniosek klienta, który bank miałby obowiązek rozpatrzyć w ciągu 30 dni od otrzymania wniosku</w:t>
      </w:r>
      <w:r w:rsidR="00F75515" w:rsidRPr="008F61DA">
        <w:rPr>
          <w:rStyle w:val="Odwoanieprzypisudolnego"/>
          <w:rFonts w:ascii="Times New Roman" w:hAnsi="Times New Roman" w:cs="Times New Roman"/>
        </w:rPr>
        <w:footnoteReference w:id="101"/>
      </w:r>
      <w:r w:rsidR="006358E4" w:rsidRPr="008F61DA">
        <w:rPr>
          <w:rFonts w:ascii="Times New Roman" w:hAnsi="Times New Roman" w:cs="Times New Roman"/>
        </w:rPr>
        <w:t>.</w:t>
      </w:r>
      <w:r w:rsidR="00B86EF0" w:rsidRPr="008F61DA">
        <w:rPr>
          <w:rFonts w:ascii="Times New Roman" w:hAnsi="Times New Roman" w:cs="Times New Roman"/>
        </w:rPr>
        <w:t xml:space="preserve"> </w:t>
      </w:r>
    </w:p>
    <w:p w14:paraId="6206CF2D" w14:textId="2E417716" w:rsidR="00E62C22" w:rsidRPr="00E5546C" w:rsidRDefault="00DA1350" w:rsidP="00D867E3">
      <w:pPr>
        <w:pStyle w:val="Default"/>
        <w:spacing w:line="360" w:lineRule="auto"/>
        <w:jc w:val="both"/>
        <w:rPr>
          <w:rFonts w:ascii="Times New Roman" w:hAnsi="Times New Roman" w:cs="Times New Roman"/>
          <w:b/>
        </w:rPr>
      </w:pPr>
      <w:r>
        <w:rPr>
          <w:rFonts w:ascii="Times New Roman" w:hAnsi="Times New Roman" w:cs="Times New Roman"/>
        </w:rPr>
        <w:lastRenderedPageBreak/>
        <w:t xml:space="preserve"> </w:t>
      </w:r>
      <w:r>
        <w:rPr>
          <w:rFonts w:ascii="Times New Roman" w:hAnsi="Times New Roman" w:cs="Times New Roman"/>
        </w:rPr>
        <w:tab/>
      </w:r>
      <w:r w:rsidR="00060DDA">
        <w:rPr>
          <w:rFonts w:ascii="Times New Roman" w:hAnsi="Times New Roman" w:cs="Times New Roman"/>
        </w:rPr>
        <w:t xml:space="preserve">Kancelaria prezydenta przedstawiła </w:t>
      </w:r>
      <w:r w:rsidR="00C426D8">
        <w:rPr>
          <w:rFonts w:ascii="Times New Roman" w:hAnsi="Times New Roman" w:cs="Times New Roman"/>
        </w:rPr>
        <w:t>skutki finansowe wprowadzenia rozwiązania dla banków i kredytobiorców.</w:t>
      </w:r>
      <w:r w:rsidR="00427CA9">
        <w:rPr>
          <w:rFonts w:ascii="Times New Roman" w:hAnsi="Times New Roman" w:cs="Times New Roman"/>
        </w:rPr>
        <w:t xml:space="preserve"> B</w:t>
      </w:r>
      <w:r w:rsidR="00734A0C">
        <w:rPr>
          <w:rFonts w:ascii="Times New Roman" w:hAnsi="Times New Roman" w:cs="Times New Roman"/>
        </w:rPr>
        <w:t>anki musiałyby ponieść łączny koszt w wysokości 3,6-4 mld zł zakładając, że wszyscy uprawnieni dłużnicy będą ubiegać się o zwrot środków z tytułu zawyżonych spreadów walutowych.</w:t>
      </w:r>
      <w:r w:rsidR="00060DDA">
        <w:rPr>
          <w:rFonts w:ascii="Times New Roman" w:hAnsi="Times New Roman" w:cs="Times New Roman"/>
        </w:rPr>
        <w:t xml:space="preserve"> Dla kredytobiorców wprowadzenie ustawy w życie stanowiłoby realną pomoc finansową</w:t>
      </w:r>
      <w:r w:rsidR="009356EF">
        <w:rPr>
          <w:rFonts w:ascii="Times New Roman" w:hAnsi="Times New Roman" w:cs="Times New Roman"/>
        </w:rPr>
        <w:t>. Ostateczna wartość zwróconych środków byłaby zależna</w:t>
      </w:r>
      <w:r w:rsidR="008F0013">
        <w:rPr>
          <w:rFonts w:ascii="Times New Roman" w:hAnsi="Times New Roman" w:cs="Times New Roman"/>
        </w:rPr>
        <w:t xml:space="preserve"> od waluty, wartości i dnia zaciągnięcia zobowiązania</w:t>
      </w:r>
      <w:r w:rsidR="005A585D">
        <w:rPr>
          <w:rFonts w:ascii="Times New Roman" w:hAnsi="Times New Roman" w:cs="Times New Roman"/>
        </w:rPr>
        <w:t xml:space="preserve">. Na przykład w przypadku kredytu hipotecznego w CHF zaciągniętego w 2007 r. </w:t>
      </w:r>
      <w:r w:rsidR="008F0013">
        <w:rPr>
          <w:rFonts w:ascii="Times New Roman" w:hAnsi="Times New Roman" w:cs="Times New Roman"/>
        </w:rPr>
        <w:t>kredytobiorc</w:t>
      </w:r>
      <w:r w:rsidR="005A585D">
        <w:rPr>
          <w:rFonts w:ascii="Times New Roman" w:hAnsi="Times New Roman" w:cs="Times New Roman"/>
        </w:rPr>
        <w:t>a otrzymałby zwrot środków w wysokości około 6% wartości zobowiązania, a w przypadku kredytu hipotecznego w EUR zaciągniętego w 2011 r. otrzymałby zwrot środków w wysokości około 3% wartości zobowiązania</w:t>
      </w:r>
      <w:r w:rsidR="00DD6112">
        <w:rPr>
          <w:rStyle w:val="Odwoanieprzypisudolnego"/>
          <w:rFonts w:ascii="Times New Roman" w:hAnsi="Times New Roman" w:cs="Times New Roman"/>
        </w:rPr>
        <w:footnoteReference w:id="102"/>
      </w:r>
      <w:r w:rsidR="005A585D">
        <w:rPr>
          <w:rFonts w:ascii="Times New Roman" w:hAnsi="Times New Roman" w:cs="Times New Roman"/>
        </w:rPr>
        <w:t>.</w:t>
      </w:r>
      <w:r w:rsidR="00E84EDB">
        <w:rPr>
          <w:rFonts w:ascii="Times New Roman" w:hAnsi="Times New Roman" w:cs="Times New Roman"/>
        </w:rPr>
        <w:t xml:space="preserve"> </w:t>
      </w:r>
    </w:p>
    <w:p w14:paraId="5C28BC8B" w14:textId="22285849" w:rsidR="00143028" w:rsidRDefault="00F75C68" w:rsidP="00D867E3">
      <w:pPr>
        <w:pStyle w:val="Default"/>
        <w:spacing w:line="36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Banki zareagowały negatywnie na przedstawiony projekt. ZBP w swojej opinii zarzucił, że ustawa w takiej formie narusza konstytucję,</w:t>
      </w:r>
      <w:r w:rsidR="002D75A0">
        <w:rPr>
          <w:rFonts w:ascii="Times New Roman" w:hAnsi="Times New Roman" w:cs="Times New Roman"/>
        </w:rPr>
        <w:t xml:space="preserve"> prawo obowiązujące w UE </w:t>
      </w:r>
      <w:r w:rsidR="001D75E8">
        <w:rPr>
          <w:rFonts w:ascii="Times New Roman" w:hAnsi="Times New Roman" w:cs="Times New Roman"/>
        </w:rPr>
        <w:t>i podpisane przez Polskę umowy o ochronie warunków inwestycji. Według ZBP ustawa jest niezgodna z prawem z powodu</w:t>
      </w:r>
      <w:r>
        <w:rPr>
          <w:rFonts w:ascii="Times New Roman" w:hAnsi="Times New Roman" w:cs="Times New Roman"/>
        </w:rPr>
        <w:t xml:space="preserve"> swojego retroaktywnego charakteru, narusza zasadę ochrony praw nabytych poprzez odebranie bankom wypracowanego zysku bez żadnej rekompensaty oraz podważa zaufanie do państwa i prawa, ponieważ banki miały prawo uważać, że regulacje obowiązujące podczas zawierania umowy kredytu pozostaną bez zmian aż do momentu spłaty </w:t>
      </w:r>
      <w:r w:rsidR="0014320B">
        <w:rPr>
          <w:rFonts w:ascii="Times New Roman" w:hAnsi="Times New Roman" w:cs="Times New Roman"/>
        </w:rPr>
        <w:t>długu przez klienta lub do momentu rozwiązania umowy</w:t>
      </w:r>
      <w:r w:rsidR="00512B3E">
        <w:rPr>
          <w:rStyle w:val="Odwoanieprzypisudolnego"/>
          <w:rFonts w:ascii="Times New Roman" w:hAnsi="Times New Roman" w:cs="Times New Roman"/>
        </w:rPr>
        <w:footnoteReference w:id="103"/>
      </w:r>
      <w:r w:rsidR="0014320B">
        <w:rPr>
          <w:rFonts w:ascii="Times New Roman" w:hAnsi="Times New Roman" w:cs="Times New Roman"/>
        </w:rPr>
        <w:t>.</w:t>
      </w:r>
    </w:p>
    <w:p w14:paraId="792B4760" w14:textId="52224D7F" w:rsidR="00D66F73" w:rsidRDefault="00F56174" w:rsidP="00D867E3">
      <w:pPr>
        <w:pStyle w:val="Default"/>
        <w:spacing w:line="360" w:lineRule="auto"/>
        <w:jc w:val="both"/>
        <w:rPr>
          <w:rFonts w:ascii="Times New Roman" w:hAnsi="Times New Roman" w:cs="Times New Roman"/>
        </w:rPr>
      </w:pPr>
      <w:r>
        <w:rPr>
          <w:rFonts w:ascii="Times New Roman" w:hAnsi="Times New Roman" w:cs="Times New Roman"/>
        </w:rPr>
        <w:tab/>
        <w:t xml:space="preserve">Z kalkulacjami nt. kosztów wprowadzenia rozwiązania w życie nie zgodził się ZBP, który przeprowadził własną analizę. </w:t>
      </w:r>
      <w:r w:rsidR="00D84F2D">
        <w:rPr>
          <w:rFonts w:ascii="Times New Roman" w:hAnsi="Times New Roman" w:cs="Times New Roman"/>
        </w:rPr>
        <w:t>Według ZBP sektor bankowy musiałby ponieść łączny koszt w wysokości około 7,7 – 14 mld zł w zależności od</w:t>
      </w:r>
      <w:r w:rsidR="00C47388">
        <w:rPr>
          <w:rFonts w:ascii="Times New Roman" w:hAnsi="Times New Roman" w:cs="Times New Roman"/>
        </w:rPr>
        <w:t xml:space="preserve"> ostatecznej treści ustawy i wysokości spreadów stosowanych przez banki.</w:t>
      </w:r>
      <w:r w:rsidR="009363DB">
        <w:rPr>
          <w:rFonts w:ascii="Times New Roman" w:hAnsi="Times New Roman" w:cs="Times New Roman"/>
        </w:rPr>
        <w:t xml:space="preserve"> Jeśli ustawa zostałaby wdrożona w życie w opublikowanej wersji całkowity koszt dla sektora bankowego</w:t>
      </w:r>
      <w:r w:rsidR="00741060">
        <w:rPr>
          <w:rFonts w:ascii="Times New Roman" w:hAnsi="Times New Roman" w:cs="Times New Roman"/>
        </w:rPr>
        <w:t xml:space="preserve"> </w:t>
      </w:r>
      <w:r w:rsidR="009363DB">
        <w:rPr>
          <w:rFonts w:ascii="Times New Roman" w:hAnsi="Times New Roman" w:cs="Times New Roman"/>
        </w:rPr>
        <w:t>powinien przekroczyć 10 mld zł.</w:t>
      </w:r>
      <w:r w:rsidR="004B5558">
        <w:rPr>
          <w:rFonts w:ascii="Times New Roman" w:hAnsi="Times New Roman" w:cs="Times New Roman"/>
        </w:rPr>
        <w:t xml:space="preserve"> Według ZBP </w:t>
      </w:r>
      <w:r w:rsidR="00B6078A">
        <w:rPr>
          <w:rFonts w:ascii="Times New Roman" w:hAnsi="Times New Roman" w:cs="Times New Roman"/>
        </w:rPr>
        <w:t>t</w:t>
      </w:r>
      <w:r w:rsidR="004B5558">
        <w:rPr>
          <w:rFonts w:ascii="Times New Roman" w:hAnsi="Times New Roman" w:cs="Times New Roman"/>
        </w:rPr>
        <w:t>ak znacząca kwota wiązałaby się z poważnym obniżeniem wyniku finansowego sektora bankowego, co mogłoby utrudnić bankom udzielenie pomocy kredytobiorcom, którzy faktycznie potrzebują takiego wsparcia.</w:t>
      </w:r>
      <w:r w:rsidR="00B6078A">
        <w:rPr>
          <w:rFonts w:ascii="Times New Roman" w:hAnsi="Times New Roman" w:cs="Times New Roman"/>
        </w:rPr>
        <w:t xml:space="preserve"> W opinii wyrażono także obawę, że po wdrożeniu ustawy</w:t>
      </w:r>
      <w:r w:rsidR="00B922C0">
        <w:rPr>
          <w:rFonts w:ascii="Times New Roman" w:hAnsi="Times New Roman" w:cs="Times New Roman"/>
        </w:rPr>
        <w:t xml:space="preserve"> banki musiałyby ograniczyć akcję kredytową, co wiązałoby się ze spowolnieniem wzrostu gospodarczego a</w:t>
      </w:r>
      <w:r w:rsidR="00B6078A">
        <w:rPr>
          <w:rFonts w:ascii="Times New Roman" w:hAnsi="Times New Roman" w:cs="Times New Roman"/>
        </w:rPr>
        <w:t xml:space="preserve"> niektóre</w:t>
      </w:r>
      <w:r w:rsidR="00741060">
        <w:rPr>
          <w:rFonts w:ascii="Times New Roman" w:hAnsi="Times New Roman" w:cs="Times New Roman"/>
        </w:rPr>
        <w:t xml:space="preserve"> </w:t>
      </w:r>
      <w:r w:rsidR="00B6078A">
        <w:rPr>
          <w:rFonts w:ascii="Times New Roman" w:hAnsi="Times New Roman" w:cs="Times New Roman"/>
        </w:rPr>
        <w:t>banki był</w:t>
      </w:r>
      <w:r w:rsidR="00B922C0">
        <w:rPr>
          <w:rFonts w:ascii="Times New Roman" w:hAnsi="Times New Roman" w:cs="Times New Roman"/>
        </w:rPr>
        <w:t>y</w:t>
      </w:r>
      <w:r w:rsidR="00B6078A">
        <w:rPr>
          <w:rFonts w:ascii="Times New Roman" w:hAnsi="Times New Roman" w:cs="Times New Roman"/>
        </w:rPr>
        <w:t>by zmuszone zastosować programy naprawcze</w:t>
      </w:r>
      <w:r w:rsidR="003E5CE6">
        <w:rPr>
          <w:rFonts w:ascii="Times New Roman" w:hAnsi="Times New Roman" w:cs="Times New Roman"/>
        </w:rPr>
        <w:t xml:space="preserve">, </w:t>
      </w:r>
      <w:r w:rsidR="003E5CE6">
        <w:rPr>
          <w:rFonts w:ascii="Times New Roman" w:hAnsi="Times New Roman" w:cs="Times New Roman"/>
        </w:rPr>
        <w:lastRenderedPageBreak/>
        <w:t>co z kolei przełożyłoby się na niższe wpływy do budżetu państwa z powodu zwolnienia z płacenia podatków</w:t>
      </w:r>
      <w:r w:rsidR="00F44F93">
        <w:rPr>
          <w:rStyle w:val="Odwoanieprzypisudolnego"/>
          <w:rFonts w:ascii="Times New Roman" w:hAnsi="Times New Roman" w:cs="Times New Roman"/>
        </w:rPr>
        <w:footnoteReference w:id="104"/>
      </w:r>
      <w:r w:rsidR="003E5CE6">
        <w:rPr>
          <w:rFonts w:ascii="Times New Roman" w:hAnsi="Times New Roman" w:cs="Times New Roman"/>
        </w:rPr>
        <w:t>.</w:t>
      </w:r>
    </w:p>
    <w:p w14:paraId="67DA44D4" w14:textId="72BE0875" w:rsidR="00A950B5" w:rsidRPr="0061624D" w:rsidRDefault="00C911FD" w:rsidP="00D867E3">
      <w:pPr>
        <w:pStyle w:val="Default"/>
        <w:spacing w:line="360" w:lineRule="auto"/>
        <w:jc w:val="both"/>
        <w:rPr>
          <w:rFonts w:ascii="Times New Roman" w:hAnsi="Times New Roman" w:cs="Times New Roman"/>
          <w:b/>
        </w:rPr>
      </w:pPr>
      <w:r>
        <w:rPr>
          <w:rFonts w:ascii="Times New Roman" w:hAnsi="Times New Roman" w:cs="Times New Roman"/>
        </w:rPr>
        <w:tab/>
        <w:t>Ostatecznie dopracowanie projektu ustawy zostało tymczasowo porzucone, a jej</w:t>
      </w:r>
      <w:r w:rsidR="00741060">
        <w:rPr>
          <w:rFonts w:ascii="Times New Roman" w:hAnsi="Times New Roman" w:cs="Times New Roman"/>
        </w:rPr>
        <w:t xml:space="preserve"> </w:t>
      </w:r>
      <w:r>
        <w:rPr>
          <w:rFonts w:ascii="Times New Roman" w:hAnsi="Times New Roman" w:cs="Times New Roman"/>
        </w:rPr>
        <w:t xml:space="preserve">wdrożenie odłożone w czasie. Zamiast tego </w:t>
      </w:r>
      <w:r w:rsidR="00D5124F">
        <w:rPr>
          <w:rFonts w:ascii="Times New Roman" w:hAnsi="Times New Roman" w:cs="Times New Roman"/>
        </w:rPr>
        <w:t xml:space="preserve">sektor bankowy, nadzór finansowy i rząd skupiły się na wprowadzeniu innych rozwiązań, przede wszystkim na dopracowaniu </w:t>
      </w:r>
      <w:r w:rsidR="008E6513">
        <w:rPr>
          <w:rFonts w:ascii="Times New Roman" w:hAnsi="Times New Roman" w:cs="Times New Roman"/>
        </w:rPr>
        <w:t>prezydenckiego</w:t>
      </w:r>
      <w:r w:rsidR="00D5124F">
        <w:rPr>
          <w:rFonts w:ascii="Times New Roman" w:hAnsi="Times New Roman" w:cs="Times New Roman"/>
        </w:rPr>
        <w:t xml:space="preserve"> projektu ustawy o wsparciu </w:t>
      </w:r>
      <w:r w:rsidR="008E6513">
        <w:rPr>
          <w:rFonts w:ascii="Times New Roman" w:hAnsi="Times New Roman" w:cs="Times New Roman"/>
        </w:rPr>
        <w:t xml:space="preserve">dla </w:t>
      </w:r>
      <w:r w:rsidR="00D5124F">
        <w:rPr>
          <w:rFonts w:ascii="Times New Roman" w:hAnsi="Times New Roman" w:cs="Times New Roman"/>
        </w:rPr>
        <w:t>kredytobiorcó</w:t>
      </w:r>
      <w:r w:rsidR="008E6513">
        <w:rPr>
          <w:rFonts w:ascii="Times New Roman" w:hAnsi="Times New Roman" w:cs="Times New Roman"/>
        </w:rPr>
        <w:t>w</w:t>
      </w:r>
      <w:r w:rsidR="00A51412">
        <w:rPr>
          <w:rFonts w:ascii="Times New Roman" w:hAnsi="Times New Roman" w:cs="Times New Roman"/>
        </w:rPr>
        <w:t>, który został omówiony szerzej w rozdziale II.4.</w:t>
      </w:r>
    </w:p>
    <w:p w14:paraId="5EFF0498" w14:textId="6DF4EFD1" w:rsidR="003C6BF8" w:rsidRDefault="003C6BF8" w:rsidP="00D867E3">
      <w:pPr>
        <w:pStyle w:val="Nagwek2"/>
        <w:spacing w:line="360" w:lineRule="auto"/>
      </w:pPr>
      <w:bookmarkStart w:id="35" w:name="_Toc513545764"/>
      <w:r w:rsidRPr="00FA1130">
        <w:t>IV.6 Możliwość zastosowania rozwiązań wprowadzonych w innych krajach Unii Europejskiej w Polsce</w:t>
      </w:r>
      <w:r w:rsidR="000656B8">
        <w:t>.</w:t>
      </w:r>
      <w:bookmarkEnd w:id="35"/>
    </w:p>
    <w:p w14:paraId="21903A2E" w14:textId="065A438E" w:rsidR="00D060EB" w:rsidRDefault="00D060EB" w:rsidP="00D060EB">
      <w:pPr>
        <w:pStyle w:val="Default"/>
        <w:spacing w:line="360" w:lineRule="auto"/>
        <w:ind w:firstLine="708"/>
        <w:jc w:val="both"/>
        <w:rPr>
          <w:rFonts w:ascii="Times New Roman" w:hAnsi="Times New Roman" w:cs="Times New Roman"/>
        </w:rPr>
      </w:pPr>
      <w:r>
        <w:rPr>
          <w:rFonts w:ascii="Times New Roman" w:hAnsi="Times New Roman" w:cs="Times New Roman"/>
        </w:rPr>
        <w:t>Interesującym zagadnieniem jest możliwość zastosowania</w:t>
      </w:r>
      <w:r w:rsidR="00A30E8B">
        <w:rPr>
          <w:rFonts w:ascii="Times New Roman" w:hAnsi="Times New Roman" w:cs="Times New Roman"/>
        </w:rPr>
        <w:t xml:space="preserve"> w Polsce</w:t>
      </w:r>
      <w:r>
        <w:rPr>
          <w:rFonts w:ascii="Times New Roman" w:hAnsi="Times New Roman" w:cs="Times New Roman"/>
        </w:rPr>
        <w:t xml:space="preserve"> rozwiązań problemu zadłużenia gospodarstw domowych w walutach obcych z tytułu kredytów hipotecznych użytych w państwach, których sytuacja została przedstawiona w rozdziale III.</w:t>
      </w:r>
    </w:p>
    <w:p w14:paraId="09D1C0CC" w14:textId="5B8AC98E" w:rsidR="00C65CB6" w:rsidRDefault="00D060EB" w:rsidP="00D060EB">
      <w:pPr>
        <w:pStyle w:val="Default"/>
        <w:spacing w:line="360" w:lineRule="auto"/>
        <w:ind w:firstLine="708"/>
        <w:jc w:val="both"/>
        <w:rPr>
          <w:rFonts w:ascii="Times New Roman" w:hAnsi="Times New Roman" w:cs="Times New Roman"/>
        </w:rPr>
      </w:pPr>
      <w:r>
        <w:rPr>
          <w:rFonts w:ascii="Times New Roman" w:hAnsi="Times New Roman" w:cs="Times New Roman"/>
        </w:rPr>
        <w:t xml:space="preserve">Wydaje się, że sytuacja, która ma miejsce w Hiszpanii nie ma wiele wspólnego z problemem, który występuje w Polsce. Przede wszystkim, umowy kredytów </w:t>
      </w:r>
      <w:r w:rsidR="003069CA">
        <w:rPr>
          <w:rFonts w:ascii="Times New Roman" w:hAnsi="Times New Roman" w:cs="Times New Roman"/>
        </w:rPr>
        <w:t xml:space="preserve">w tym państwie </w:t>
      </w:r>
      <w:r>
        <w:rPr>
          <w:rFonts w:ascii="Times New Roman" w:hAnsi="Times New Roman" w:cs="Times New Roman"/>
        </w:rPr>
        <w:t xml:space="preserve">są skonstruowane w inny sposób, bardzo powszechne są kredyty wielowalutowe, które nie występowały w Polsce. </w:t>
      </w:r>
      <w:r w:rsidR="00070DC5">
        <w:rPr>
          <w:rFonts w:ascii="Times New Roman" w:hAnsi="Times New Roman" w:cs="Times New Roman"/>
        </w:rPr>
        <w:t>Hiszpański Sąd Najwyższy i Trybunał Konstytucyjny wydały także wyroki</w:t>
      </w:r>
      <w:r w:rsidR="0040556D">
        <w:rPr>
          <w:rFonts w:ascii="Times New Roman" w:hAnsi="Times New Roman" w:cs="Times New Roman"/>
        </w:rPr>
        <w:t xml:space="preserve"> o abuzywności takich kredytów. S</w:t>
      </w:r>
      <w:r w:rsidR="00070DC5">
        <w:rPr>
          <w:rFonts w:ascii="Times New Roman" w:hAnsi="Times New Roman" w:cs="Times New Roman"/>
        </w:rPr>
        <w:t>twierdzono, że banki nie dopełniły należycie obowiązków o informowaniu kredytobiorców nt. ryzyka walutowego i jego potencjalnych ekonomicznych skutków.</w:t>
      </w:r>
      <w:r w:rsidR="00DB01E7">
        <w:rPr>
          <w:rFonts w:ascii="Times New Roman" w:hAnsi="Times New Roman" w:cs="Times New Roman"/>
        </w:rPr>
        <w:t xml:space="preserve"> Na mocy takich wyroków banki mają obowiązek konwersji kredytów wielowalutowych na walutę krajową. </w:t>
      </w:r>
      <w:r w:rsidR="00070DC5">
        <w:rPr>
          <w:rFonts w:ascii="Times New Roman" w:hAnsi="Times New Roman" w:cs="Times New Roman"/>
        </w:rPr>
        <w:t>Takie wyroki w Polsce nie zostały do tej pory wydane, dodatkowo polski system prawny nie uwzględnia prawa precedensowego</w:t>
      </w:r>
      <w:r w:rsidR="00B219D3">
        <w:rPr>
          <w:rFonts w:ascii="Times New Roman" w:hAnsi="Times New Roman" w:cs="Times New Roman"/>
        </w:rPr>
        <w:t>, co utrudnia wykorzystanie potencjalnych wyroków korzystnych dla kredytobiorców podczas kolejnych spraw sądowych w przyszłości.</w:t>
      </w:r>
      <w:r w:rsidR="00890312">
        <w:rPr>
          <w:rFonts w:ascii="Times New Roman" w:hAnsi="Times New Roman" w:cs="Times New Roman"/>
        </w:rPr>
        <w:t xml:space="preserve"> </w:t>
      </w:r>
      <w:r w:rsidR="00FF0743">
        <w:rPr>
          <w:rFonts w:ascii="Times New Roman" w:hAnsi="Times New Roman" w:cs="Times New Roman"/>
        </w:rPr>
        <w:t>Wydaje się zatem,</w:t>
      </w:r>
      <w:r w:rsidR="00C65CB6">
        <w:rPr>
          <w:rFonts w:ascii="Times New Roman" w:hAnsi="Times New Roman" w:cs="Times New Roman"/>
        </w:rPr>
        <w:t xml:space="preserve"> że </w:t>
      </w:r>
      <w:r w:rsidR="00755D12">
        <w:rPr>
          <w:rFonts w:ascii="Times New Roman" w:hAnsi="Times New Roman" w:cs="Times New Roman"/>
        </w:rPr>
        <w:t>mało prawdopodobne jest aby okoliczności, które występują w Hiszpanii powtórzyły się także w Polsce.</w:t>
      </w:r>
    </w:p>
    <w:p w14:paraId="25A36AD4" w14:textId="32C800CA" w:rsidR="00C65CB6" w:rsidRDefault="00C65CB6" w:rsidP="00D060EB">
      <w:pPr>
        <w:pStyle w:val="Default"/>
        <w:spacing w:line="360" w:lineRule="auto"/>
        <w:ind w:firstLine="708"/>
        <w:jc w:val="both"/>
        <w:rPr>
          <w:rFonts w:ascii="Times New Roman" w:hAnsi="Times New Roman" w:cs="Times New Roman"/>
        </w:rPr>
      </w:pPr>
      <w:r>
        <w:rPr>
          <w:rFonts w:ascii="Times New Roman" w:hAnsi="Times New Roman" w:cs="Times New Roman"/>
        </w:rPr>
        <w:t>W Chorwacji zastosowano rozwiązanie systemowe poprzez ustawowe przewalutowanie dewizowych kredytów hipotecznych na EUR, z któr</w:t>
      </w:r>
      <w:r w:rsidR="00C558DD">
        <w:rPr>
          <w:rFonts w:ascii="Times New Roman" w:hAnsi="Times New Roman" w:cs="Times New Roman"/>
        </w:rPr>
        <w:t xml:space="preserve">ym </w:t>
      </w:r>
      <w:r w:rsidR="003D4E66">
        <w:rPr>
          <w:rFonts w:ascii="Times New Roman" w:hAnsi="Times New Roman" w:cs="Times New Roman"/>
        </w:rPr>
        <w:t xml:space="preserve">sztywnym kursem </w:t>
      </w:r>
      <w:r>
        <w:rPr>
          <w:rFonts w:ascii="Times New Roman" w:hAnsi="Times New Roman" w:cs="Times New Roman"/>
        </w:rPr>
        <w:t>powiązana jest krajowa waluta – HRK.</w:t>
      </w:r>
      <w:r w:rsidR="00DA1350">
        <w:rPr>
          <w:rFonts w:ascii="Times New Roman" w:hAnsi="Times New Roman" w:cs="Times New Roman"/>
        </w:rPr>
        <w:t xml:space="preserve"> Wydaje się jednak, że w tym państwie</w:t>
      </w:r>
      <w:r w:rsidR="000D3065">
        <w:rPr>
          <w:rFonts w:ascii="Times New Roman" w:hAnsi="Times New Roman" w:cs="Times New Roman"/>
        </w:rPr>
        <w:t xml:space="preserve"> podjęcie takich kroków było znacznie bardziej uzasadnione, niż ma to miejsce w Polsce. </w:t>
      </w:r>
      <w:r w:rsidR="00862153">
        <w:rPr>
          <w:rFonts w:ascii="Times New Roman" w:hAnsi="Times New Roman" w:cs="Times New Roman"/>
        </w:rPr>
        <w:t xml:space="preserve">Chorwacki Sąd Najwyższy i Trybunał Konstytucyjny wydały wyroki o abuzywności kredytów hipotecznych w walutach obcych. </w:t>
      </w:r>
      <w:r w:rsidR="007F7E6C">
        <w:rPr>
          <w:rFonts w:ascii="Times New Roman" w:hAnsi="Times New Roman" w:cs="Times New Roman"/>
        </w:rPr>
        <w:t>Poza tym</w:t>
      </w:r>
      <w:r w:rsidR="00BA4FB2">
        <w:rPr>
          <w:rFonts w:ascii="Times New Roman" w:hAnsi="Times New Roman" w:cs="Times New Roman"/>
        </w:rPr>
        <w:t xml:space="preserve">, </w:t>
      </w:r>
      <w:r w:rsidR="00973479">
        <w:rPr>
          <w:rFonts w:ascii="Times New Roman" w:hAnsi="Times New Roman" w:cs="Times New Roman"/>
        </w:rPr>
        <w:t xml:space="preserve">w wyniku gwałtowanej aprecjacji CHF w styczniu 2015 r. </w:t>
      </w:r>
      <w:r w:rsidR="00441CBD">
        <w:rPr>
          <w:rFonts w:ascii="Times New Roman" w:hAnsi="Times New Roman" w:cs="Times New Roman"/>
        </w:rPr>
        <w:t xml:space="preserve">znaczna </w:t>
      </w:r>
      <w:r w:rsidR="00BA4FB2">
        <w:rPr>
          <w:rFonts w:ascii="Times New Roman" w:hAnsi="Times New Roman" w:cs="Times New Roman"/>
        </w:rPr>
        <w:t xml:space="preserve">część kredytobiorców </w:t>
      </w:r>
      <w:r w:rsidR="00441CBD">
        <w:rPr>
          <w:rFonts w:ascii="Times New Roman" w:hAnsi="Times New Roman" w:cs="Times New Roman"/>
        </w:rPr>
        <w:t xml:space="preserve">znalazła </w:t>
      </w:r>
      <w:r w:rsidR="00BA4FB2">
        <w:rPr>
          <w:rFonts w:ascii="Times New Roman" w:hAnsi="Times New Roman" w:cs="Times New Roman"/>
        </w:rPr>
        <w:t xml:space="preserve">się w bardzo trudnej sytuacji finansowej a odsetek niespłacanych </w:t>
      </w:r>
      <w:r w:rsidR="00BA4FB2">
        <w:rPr>
          <w:rFonts w:ascii="Times New Roman" w:hAnsi="Times New Roman" w:cs="Times New Roman"/>
        </w:rPr>
        <w:lastRenderedPageBreak/>
        <w:t>kredytów</w:t>
      </w:r>
      <w:r w:rsidR="00E60474">
        <w:rPr>
          <w:rFonts w:ascii="Times New Roman" w:hAnsi="Times New Roman" w:cs="Times New Roman"/>
        </w:rPr>
        <w:t xml:space="preserve"> w CHF</w:t>
      </w:r>
      <w:r w:rsidR="00BA4FB2">
        <w:rPr>
          <w:rFonts w:ascii="Times New Roman" w:hAnsi="Times New Roman" w:cs="Times New Roman"/>
        </w:rPr>
        <w:t xml:space="preserve"> był znacznie większy, niż miało to miejsce w Polsce. </w:t>
      </w:r>
      <w:r w:rsidR="005040FF">
        <w:rPr>
          <w:rFonts w:ascii="Times New Roman" w:hAnsi="Times New Roman" w:cs="Times New Roman"/>
        </w:rPr>
        <w:t xml:space="preserve">Dodatkowo, koszty dla sektora bankowego nie były </w:t>
      </w:r>
      <w:r w:rsidR="001D412D">
        <w:rPr>
          <w:rFonts w:ascii="Times New Roman" w:hAnsi="Times New Roman" w:cs="Times New Roman"/>
        </w:rPr>
        <w:t xml:space="preserve">aż tak poważne jak te, które musiałyby ponieść banki </w:t>
      </w:r>
      <w:r w:rsidR="00AD5E95">
        <w:rPr>
          <w:rFonts w:ascii="Times New Roman" w:hAnsi="Times New Roman" w:cs="Times New Roman"/>
        </w:rPr>
        <w:t xml:space="preserve">prowadzące działalność </w:t>
      </w:r>
      <w:r w:rsidR="001D412D">
        <w:rPr>
          <w:rFonts w:ascii="Times New Roman" w:hAnsi="Times New Roman" w:cs="Times New Roman"/>
        </w:rPr>
        <w:t>w Polsce.</w:t>
      </w:r>
      <w:r w:rsidR="007373CB" w:rsidRPr="007373CB">
        <w:rPr>
          <w:rFonts w:ascii="Times New Roman" w:hAnsi="Times New Roman" w:cs="Times New Roman"/>
        </w:rPr>
        <w:t xml:space="preserve"> </w:t>
      </w:r>
      <w:r w:rsidR="007373CB">
        <w:rPr>
          <w:rFonts w:ascii="Times New Roman" w:hAnsi="Times New Roman" w:cs="Times New Roman"/>
        </w:rPr>
        <w:t xml:space="preserve">Wydaje się zatem, że nie ma </w:t>
      </w:r>
      <w:r w:rsidR="00F530CC">
        <w:rPr>
          <w:rFonts w:ascii="Times New Roman" w:hAnsi="Times New Roman" w:cs="Times New Roman"/>
        </w:rPr>
        <w:t>podstaw do</w:t>
      </w:r>
      <w:r w:rsidR="007373CB">
        <w:rPr>
          <w:rFonts w:ascii="Times New Roman" w:hAnsi="Times New Roman" w:cs="Times New Roman"/>
        </w:rPr>
        <w:t xml:space="preserve"> zastosowania</w:t>
      </w:r>
      <w:r w:rsidR="00567FA6">
        <w:rPr>
          <w:rFonts w:ascii="Times New Roman" w:hAnsi="Times New Roman" w:cs="Times New Roman"/>
        </w:rPr>
        <w:t xml:space="preserve"> w Polsce</w:t>
      </w:r>
      <w:r w:rsidR="007373CB">
        <w:rPr>
          <w:rFonts w:ascii="Times New Roman" w:hAnsi="Times New Roman" w:cs="Times New Roman"/>
        </w:rPr>
        <w:t xml:space="preserve"> rozwiązań</w:t>
      </w:r>
      <w:r w:rsidR="00567FA6">
        <w:rPr>
          <w:rFonts w:ascii="Times New Roman" w:hAnsi="Times New Roman" w:cs="Times New Roman"/>
        </w:rPr>
        <w:t>, które zostały użyte</w:t>
      </w:r>
      <w:r w:rsidR="007373CB">
        <w:rPr>
          <w:rFonts w:ascii="Times New Roman" w:hAnsi="Times New Roman" w:cs="Times New Roman"/>
        </w:rPr>
        <w:t xml:space="preserve"> w Chorwacji. </w:t>
      </w:r>
    </w:p>
    <w:p w14:paraId="4B69395E" w14:textId="79809386" w:rsidR="00AF0914" w:rsidRDefault="00261249" w:rsidP="00D060EB">
      <w:pPr>
        <w:pStyle w:val="Default"/>
        <w:spacing w:line="360" w:lineRule="auto"/>
        <w:ind w:firstLine="708"/>
        <w:jc w:val="both"/>
        <w:rPr>
          <w:rFonts w:ascii="Times New Roman" w:hAnsi="Times New Roman" w:cs="Times New Roman"/>
        </w:rPr>
      </w:pPr>
      <w:r>
        <w:rPr>
          <w:rFonts w:ascii="Times New Roman" w:hAnsi="Times New Roman" w:cs="Times New Roman"/>
        </w:rPr>
        <w:t>Natomiast, s</w:t>
      </w:r>
      <w:r w:rsidR="00AF0914">
        <w:rPr>
          <w:rFonts w:ascii="Times New Roman" w:hAnsi="Times New Roman" w:cs="Times New Roman"/>
        </w:rPr>
        <w:t>ytuacja, która wystąpiła na Węgrzech</w:t>
      </w:r>
      <w:r>
        <w:rPr>
          <w:rFonts w:ascii="Times New Roman" w:hAnsi="Times New Roman" w:cs="Times New Roman"/>
        </w:rPr>
        <w:t xml:space="preserve"> wykazuje pewno podobieństwo do tej, która</w:t>
      </w:r>
      <w:r w:rsidR="00AF0914">
        <w:rPr>
          <w:rFonts w:ascii="Times New Roman" w:hAnsi="Times New Roman" w:cs="Times New Roman"/>
        </w:rPr>
        <w:t xml:space="preserve"> ma miejsce w Polsce.</w:t>
      </w:r>
      <w:r w:rsidR="007C21A3">
        <w:rPr>
          <w:rFonts w:ascii="Times New Roman" w:hAnsi="Times New Roman" w:cs="Times New Roman"/>
        </w:rPr>
        <w:t xml:space="preserve"> Podobnie jak w Polsce, węgierskie banki powszechnie stosowały zawyżone spready walutowe. Takie praktyki zostały uznane jako abuzywne przez węgierski Sąd Najwyższy i Trybunał Konstytucyjny. W Polsce podobne wyroki nie miały </w:t>
      </w:r>
      <w:r w:rsidR="00E808ED">
        <w:rPr>
          <w:rFonts w:ascii="Times New Roman" w:hAnsi="Times New Roman" w:cs="Times New Roman"/>
        </w:rPr>
        <w:t xml:space="preserve">do tej pory </w:t>
      </w:r>
      <w:r w:rsidR="007C21A3">
        <w:rPr>
          <w:rFonts w:ascii="Times New Roman" w:hAnsi="Times New Roman" w:cs="Times New Roman"/>
        </w:rPr>
        <w:t>miejsca</w:t>
      </w:r>
      <w:r w:rsidR="006D3551">
        <w:rPr>
          <w:rFonts w:ascii="Times New Roman" w:hAnsi="Times New Roman" w:cs="Times New Roman"/>
        </w:rPr>
        <w:t xml:space="preserve">. </w:t>
      </w:r>
      <w:r w:rsidR="00CF6ADE">
        <w:rPr>
          <w:rFonts w:ascii="Times New Roman" w:hAnsi="Times New Roman" w:cs="Times New Roman"/>
        </w:rPr>
        <w:t>Pojawiły się</w:t>
      </w:r>
      <w:r w:rsidR="006D3551">
        <w:rPr>
          <w:rFonts w:ascii="Times New Roman" w:hAnsi="Times New Roman" w:cs="Times New Roman"/>
        </w:rPr>
        <w:t xml:space="preserve"> jednak propozycje, których celem jest zapewnienie kredytobiorcom zwrotu środków z </w:t>
      </w:r>
      <w:r w:rsidR="0057101A">
        <w:rPr>
          <w:rFonts w:ascii="Times New Roman" w:hAnsi="Times New Roman" w:cs="Times New Roman"/>
        </w:rPr>
        <w:t>tytułu</w:t>
      </w:r>
      <w:r w:rsidR="006D3551">
        <w:rPr>
          <w:rFonts w:ascii="Times New Roman" w:hAnsi="Times New Roman" w:cs="Times New Roman"/>
        </w:rPr>
        <w:t xml:space="preserve"> nieuczciwego pobierania spreadów walutowych przez banki.</w:t>
      </w:r>
      <w:r w:rsidR="00487C4A">
        <w:rPr>
          <w:rFonts w:ascii="Times New Roman" w:hAnsi="Times New Roman" w:cs="Times New Roman"/>
        </w:rPr>
        <w:t xml:space="preserve"> Najważniejszą z nich jest prezydencki projekt</w:t>
      </w:r>
      <w:r w:rsidR="007C21A3">
        <w:rPr>
          <w:rFonts w:ascii="Times New Roman" w:hAnsi="Times New Roman" w:cs="Times New Roman"/>
        </w:rPr>
        <w:t xml:space="preserve"> </w:t>
      </w:r>
      <w:r w:rsidR="007C21A3" w:rsidRPr="007C21A3">
        <w:rPr>
          <w:rFonts w:ascii="Times New Roman" w:hAnsi="Times New Roman" w:cs="Times New Roman"/>
        </w:rPr>
        <w:t>ustawy o zasadach zwrotu niektórych należności wynikających z umów kredytu i pożyczki</w:t>
      </w:r>
      <w:r w:rsidR="007C21A3">
        <w:rPr>
          <w:rFonts w:ascii="Times New Roman" w:hAnsi="Times New Roman" w:cs="Times New Roman"/>
        </w:rPr>
        <w:t>.</w:t>
      </w:r>
    </w:p>
    <w:p w14:paraId="396615DC" w14:textId="2F41CA96" w:rsidR="007C21A3" w:rsidRDefault="007C21A3" w:rsidP="00D060EB">
      <w:pPr>
        <w:pStyle w:val="Default"/>
        <w:spacing w:line="360" w:lineRule="auto"/>
        <w:ind w:firstLine="708"/>
        <w:jc w:val="both"/>
        <w:rPr>
          <w:rFonts w:ascii="Times New Roman" w:hAnsi="Times New Roman" w:cs="Times New Roman"/>
        </w:rPr>
      </w:pPr>
      <w:r>
        <w:rPr>
          <w:rFonts w:ascii="Times New Roman" w:hAnsi="Times New Roman" w:cs="Times New Roman"/>
        </w:rPr>
        <w:t>Na Węgrzech przeprowadzono również ustawowe przewalutowanie walutowych kredytów hipotecznych według kursu zbliżonego do kursu rynkowego</w:t>
      </w:r>
      <w:r w:rsidR="000366BA">
        <w:rPr>
          <w:rFonts w:ascii="Times New Roman" w:hAnsi="Times New Roman" w:cs="Times New Roman"/>
        </w:rPr>
        <w:t xml:space="preserve">. Przewalutowanie było jednak wynikiem porozumienia sektora bankowego i rządu. </w:t>
      </w:r>
      <w:r w:rsidR="003A4EB6">
        <w:rPr>
          <w:rFonts w:ascii="Times New Roman" w:hAnsi="Times New Roman" w:cs="Times New Roman"/>
        </w:rPr>
        <w:t>Podobne porozumienie nie miało do tej pory miejsca w Polsce. Dodatkowo, odsetek niespłacanych kredytów na Węgrzech był znacznie wyższy niż w Polsce, a koszty dla sektora bankowego mimo, że bardzo wysokie nie zagroziły ostatecznie jego stabilności a skutki przewalutowania dla gospodarki okazały się pozytywne, co przyznał m.in. Międzynarodowy Fundusz Walutowy. Wydaje się zatem, że w tym kraju</w:t>
      </w:r>
      <w:r w:rsidR="009C045D">
        <w:rPr>
          <w:rFonts w:ascii="Times New Roman" w:hAnsi="Times New Roman" w:cs="Times New Roman"/>
        </w:rPr>
        <w:t xml:space="preserve"> zastosowanie</w:t>
      </w:r>
      <w:r w:rsidR="003A4EB6">
        <w:rPr>
          <w:rFonts w:ascii="Times New Roman" w:hAnsi="Times New Roman" w:cs="Times New Roman"/>
        </w:rPr>
        <w:t xml:space="preserve"> rozwiązani</w:t>
      </w:r>
      <w:r w:rsidR="009C045D">
        <w:rPr>
          <w:rFonts w:ascii="Times New Roman" w:hAnsi="Times New Roman" w:cs="Times New Roman"/>
        </w:rPr>
        <w:t>a</w:t>
      </w:r>
      <w:r w:rsidR="003A4EB6">
        <w:rPr>
          <w:rFonts w:ascii="Times New Roman" w:hAnsi="Times New Roman" w:cs="Times New Roman"/>
        </w:rPr>
        <w:t xml:space="preserve"> systemowe</w:t>
      </w:r>
      <w:r w:rsidR="009C045D">
        <w:rPr>
          <w:rFonts w:ascii="Times New Roman" w:hAnsi="Times New Roman" w:cs="Times New Roman"/>
        </w:rPr>
        <w:t>go</w:t>
      </w:r>
      <w:r w:rsidR="003A4EB6">
        <w:rPr>
          <w:rFonts w:ascii="Times New Roman" w:hAnsi="Times New Roman" w:cs="Times New Roman"/>
        </w:rPr>
        <w:t xml:space="preserve"> było znacznie bardziej uzasadnione, niż </w:t>
      </w:r>
      <w:r w:rsidR="009C045D">
        <w:rPr>
          <w:rFonts w:ascii="Times New Roman" w:hAnsi="Times New Roman" w:cs="Times New Roman"/>
        </w:rPr>
        <w:t xml:space="preserve">obecnie </w:t>
      </w:r>
      <w:r w:rsidR="003A4EB6">
        <w:rPr>
          <w:rFonts w:ascii="Times New Roman" w:hAnsi="Times New Roman" w:cs="Times New Roman"/>
        </w:rPr>
        <w:t>ma to miejsce w Polsce</w:t>
      </w:r>
      <w:r w:rsidR="00CB21F3">
        <w:rPr>
          <w:rStyle w:val="Odwoanieprzypisudolnego"/>
          <w:rFonts w:ascii="Times New Roman" w:hAnsi="Times New Roman" w:cs="Times New Roman"/>
        </w:rPr>
        <w:footnoteReference w:id="105"/>
      </w:r>
      <w:r w:rsidR="003A4EB6">
        <w:rPr>
          <w:rFonts w:ascii="Times New Roman" w:hAnsi="Times New Roman" w:cs="Times New Roman"/>
        </w:rPr>
        <w:t xml:space="preserve">. </w:t>
      </w:r>
    </w:p>
    <w:p w14:paraId="2D0DFD7B" w14:textId="45A88005" w:rsidR="007373CB" w:rsidRDefault="0079077E" w:rsidP="00D060EB">
      <w:pPr>
        <w:pStyle w:val="Default"/>
        <w:spacing w:line="360" w:lineRule="auto"/>
        <w:ind w:firstLine="708"/>
        <w:jc w:val="both"/>
        <w:rPr>
          <w:rFonts w:ascii="Times New Roman" w:hAnsi="Times New Roman" w:cs="Times New Roman"/>
        </w:rPr>
      </w:pPr>
      <w:r>
        <w:rPr>
          <w:rFonts w:ascii="Times New Roman" w:hAnsi="Times New Roman" w:cs="Times New Roman"/>
        </w:rPr>
        <w:t>Sytuacja, która ma miejsce w Austrii nie wydaje się być podobna, do tej, która ma miejsce w Polsce. W tym państwie trudn</w:t>
      </w:r>
      <w:r w:rsidR="00A84D70">
        <w:rPr>
          <w:rFonts w:ascii="Times New Roman" w:hAnsi="Times New Roman" w:cs="Times New Roman"/>
        </w:rPr>
        <w:t>e położenie finansowe</w:t>
      </w:r>
      <w:r>
        <w:rPr>
          <w:rFonts w:ascii="Times New Roman" w:hAnsi="Times New Roman" w:cs="Times New Roman"/>
        </w:rPr>
        <w:t xml:space="preserve"> kredytobiorców</w:t>
      </w:r>
      <w:r w:rsidR="00A84D70">
        <w:rPr>
          <w:rFonts w:ascii="Times New Roman" w:hAnsi="Times New Roman" w:cs="Times New Roman"/>
        </w:rPr>
        <w:t>, którzy zaciągnęli kredyty w CHF</w:t>
      </w:r>
      <w:r>
        <w:rPr>
          <w:rFonts w:ascii="Times New Roman" w:hAnsi="Times New Roman" w:cs="Times New Roman"/>
        </w:rPr>
        <w:t xml:space="preserve"> wynika przede wszystkim z wpisanych do umów kredytowych</w:t>
      </w:r>
      <w:r w:rsidR="00741060">
        <w:rPr>
          <w:rFonts w:ascii="Times New Roman" w:hAnsi="Times New Roman" w:cs="Times New Roman"/>
        </w:rPr>
        <w:t xml:space="preserve"> </w:t>
      </w:r>
      <w:r>
        <w:rPr>
          <w:rFonts w:ascii="Times New Roman" w:hAnsi="Times New Roman" w:cs="Times New Roman"/>
        </w:rPr>
        <w:t>klauzul typu stop loss, które automatycznie uruchamiały konwersję zadłużenia w CHF na EUR, gdy kurs EUR/CHF spadał poniżej poziomu określonego w umowie. Konwersja długu zazwyczaj znacznie powiększała pozostałą do spłaty kwotę kapitału. Ten czynnik, w połączeniu z niewystarczającą</w:t>
      </w:r>
      <w:r w:rsidR="00741060">
        <w:rPr>
          <w:rFonts w:ascii="Times New Roman" w:hAnsi="Times New Roman" w:cs="Times New Roman"/>
        </w:rPr>
        <w:t xml:space="preserve"> </w:t>
      </w:r>
      <w:r>
        <w:rPr>
          <w:rFonts w:ascii="Times New Roman" w:hAnsi="Times New Roman" w:cs="Times New Roman"/>
        </w:rPr>
        <w:t>rentownością polis inwestycyjnych, za pomocą których środki wpłacane przez kredytobiorców były inwestowane na poczet spłaty kapitału kredytu w racie balonowej na koniec harmonogramu spłaty sprawił, że</w:t>
      </w:r>
      <w:r w:rsidR="002E2245">
        <w:rPr>
          <w:rFonts w:ascii="Times New Roman" w:hAnsi="Times New Roman" w:cs="Times New Roman"/>
        </w:rPr>
        <w:t xml:space="preserve"> niektóre gospodarstwa domowe znalazły się w trudnej sytuacji finansowej. </w:t>
      </w:r>
      <w:r w:rsidR="005241DF">
        <w:rPr>
          <w:rFonts w:ascii="Times New Roman" w:hAnsi="Times New Roman" w:cs="Times New Roman"/>
        </w:rPr>
        <w:t>Często b</w:t>
      </w:r>
      <w:r w:rsidR="001557EE">
        <w:rPr>
          <w:rFonts w:ascii="Times New Roman" w:hAnsi="Times New Roman" w:cs="Times New Roman"/>
        </w:rPr>
        <w:t xml:space="preserve">anki w </w:t>
      </w:r>
      <w:r w:rsidR="005241DF">
        <w:rPr>
          <w:rFonts w:ascii="Times New Roman" w:hAnsi="Times New Roman" w:cs="Times New Roman"/>
        </w:rPr>
        <w:t xml:space="preserve">Austrii </w:t>
      </w:r>
      <w:r w:rsidR="001557EE">
        <w:rPr>
          <w:rFonts w:ascii="Times New Roman" w:hAnsi="Times New Roman" w:cs="Times New Roman"/>
        </w:rPr>
        <w:t xml:space="preserve">same proponują klientom przewalutowanie </w:t>
      </w:r>
      <w:r w:rsidR="00943333">
        <w:rPr>
          <w:rFonts w:ascii="Times New Roman" w:hAnsi="Times New Roman" w:cs="Times New Roman"/>
        </w:rPr>
        <w:t xml:space="preserve">kredytów </w:t>
      </w:r>
      <w:r w:rsidR="00963A81">
        <w:rPr>
          <w:rFonts w:ascii="Times New Roman" w:hAnsi="Times New Roman" w:cs="Times New Roman"/>
        </w:rPr>
        <w:t>dewizowych</w:t>
      </w:r>
      <w:r w:rsidR="00943333">
        <w:rPr>
          <w:rFonts w:ascii="Times New Roman" w:hAnsi="Times New Roman" w:cs="Times New Roman"/>
        </w:rPr>
        <w:t xml:space="preserve"> na EUR według kursu zbliżonego do obowiązującego kursu rynkowe</w:t>
      </w:r>
      <w:r w:rsidR="00943333">
        <w:rPr>
          <w:rFonts w:ascii="Times New Roman" w:hAnsi="Times New Roman" w:cs="Times New Roman"/>
        </w:rPr>
        <w:lastRenderedPageBreak/>
        <w:t>go. Podobnie postępują również banki w Polsce</w:t>
      </w:r>
      <w:r w:rsidR="002D5DAC">
        <w:rPr>
          <w:rFonts w:ascii="Times New Roman" w:hAnsi="Times New Roman" w:cs="Times New Roman"/>
        </w:rPr>
        <w:t>. W obu krajach klienci</w:t>
      </w:r>
      <w:r w:rsidR="006F454B">
        <w:rPr>
          <w:rFonts w:ascii="Times New Roman" w:hAnsi="Times New Roman" w:cs="Times New Roman"/>
        </w:rPr>
        <w:t xml:space="preserve"> </w:t>
      </w:r>
      <w:r w:rsidR="002D5DAC">
        <w:rPr>
          <w:rFonts w:ascii="Times New Roman" w:hAnsi="Times New Roman" w:cs="Times New Roman"/>
        </w:rPr>
        <w:t>jednak niechętnie akceptują proponowane im rozwiązanie.</w:t>
      </w:r>
    </w:p>
    <w:p w14:paraId="473D5EDD" w14:textId="3D9D8D62" w:rsidR="00A950B5" w:rsidRDefault="00943333" w:rsidP="004E72D4">
      <w:pPr>
        <w:pStyle w:val="Default"/>
        <w:spacing w:line="360" w:lineRule="auto"/>
        <w:ind w:firstLine="708"/>
        <w:jc w:val="both"/>
        <w:rPr>
          <w:rFonts w:ascii="Times New Roman" w:hAnsi="Times New Roman" w:cs="Times New Roman"/>
        </w:rPr>
      </w:pPr>
      <w:r>
        <w:rPr>
          <w:rFonts w:ascii="Times New Roman" w:hAnsi="Times New Roman" w:cs="Times New Roman"/>
        </w:rPr>
        <w:t>Wydaje się, że zastosowanie</w:t>
      </w:r>
      <w:r w:rsidR="006C4485">
        <w:rPr>
          <w:rFonts w:ascii="Times New Roman" w:hAnsi="Times New Roman" w:cs="Times New Roman"/>
        </w:rPr>
        <w:t xml:space="preserve"> w Polsce</w:t>
      </w:r>
      <w:r>
        <w:rPr>
          <w:rFonts w:ascii="Times New Roman" w:hAnsi="Times New Roman" w:cs="Times New Roman"/>
        </w:rPr>
        <w:t xml:space="preserve"> rozwiązań podobnych do tych, które wprowadzono w omówionych państwach nie jest uzasadnione. Wyjątkiem jest możliwość zwrotu części zawyżonych spreadów walutowych powszechnie stosowanych przez banki w Polsce w latach 2000-2011. </w:t>
      </w:r>
      <w:r w:rsidR="00696768">
        <w:rPr>
          <w:rFonts w:ascii="Times New Roman" w:hAnsi="Times New Roman" w:cs="Times New Roman"/>
        </w:rPr>
        <w:t xml:space="preserve">Nadzór finansowy </w:t>
      </w:r>
      <w:r w:rsidR="0040468D">
        <w:rPr>
          <w:rFonts w:ascii="Times New Roman" w:hAnsi="Times New Roman" w:cs="Times New Roman"/>
        </w:rPr>
        <w:t>wykonał należycie swoje obowiązki nakazując bankom szczegółowe informowanie kredytobiorców o ryzyku walutowym</w:t>
      </w:r>
      <w:r w:rsidR="0015074A">
        <w:rPr>
          <w:rFonts w:ascii="Times New Roman" w:hAnsi="Times New Roman" w:cs="Times New Roman"/>
        </w:rPr>
        <w:t>, ryzyku stopy procentowej</w:t>
      </w:r>
      <w:r w:rsidR="0040468D">
        <w:rPr>
          <w:rFonts w:ascii="Times New Roman" w:hAnsi="Times New Roman" w:cs="Times New Roman"/>
        </w:rPr>
        <w:t xml:space="preserve"> i inny</w:t>
      </w:r>
      <w:r w:rsidR="0015074A">
        <w:rPr>
          <w:rFonts w:ascii="Times New Roman" w:hAnsi="Times New Roman" w:cs="Times New Roman"/>
        </w:rPr>
        <w:t>ch</w:t>
      </w:r>
      <w:r w:rsidR="0040468D">
        <w:rPr>
          <w:rFonts w:ascii="Times New Roman" w:hAnsi="Times New Roman" w:cs="Times New Roman"/>
        </w:rPr>
        <w:t xml:space="preserve"> zagrożenia</w:t>
      </w:r>
      <w:r w:rsidR="0015074A">
        <w:rPr>
          <w:rFonts w:ascii="Times New Roman" w:hAnsi="Times New Roman" w:cs="Times New Roman"/>
        </w:rPr>
        <w:t>ch</w:t>
      </w:r>
      <w:r w:rsidR="0040468D">
        <w:rPr>
          <w:rFonts w:ascii="Times New Roman" w:hAnsi="Times New Roman" w:cs="Times New Roman"/>
        </w:rPr>
        <w:t xml:space="preserve"> związany</w:t>
      </w:r>
      <w:r w:rsidR="0015074A">
        <w:rPr>
          <w:rFonts w:ascii="Times New Roman" w:hAnsi="Times New Roman" w:cs="Times New Roman"/>
        </w:rPr>
        <w:t>ch</w:t>
      </w:r>
      <w:r w:rsidR="00741060">
        <w:rPr>
          <w:rFonts w:ascii="Times New Roman" w:hAnsi="Times New Roman" w:cs="Times New Roman"/>
        </w:rPr>
        <w:t xml:space="preserve"> </w:t>
      </w:r>
      <w:r w:rsidR="0040468D">
        <w:rPr>
          <w:rFonts w:ascii="Times New Roman" w:hAnsi="Times New Roman" w:cs="Times New Roman"/>
        </w:rPr>
        <w:t xml:space="preserve">z zaciąganiem kredytu hipotecznego w obcej walucie. </w:t>
      </w:r>
      <w:r w:rsidR="0015074A">
        <w:rPr>
          <w:rFonts w:ascii="Times New Roman" w:hAnsi="Times New Roman" w:cs="Times New Roman"/>
        </w:rPr>
        <w:t xml:space="preserve">Kredytobiorcy byli zatem świadomi ryzyka, </w:t>
      </w:r>
      <w:r w:rsidR="008361F3">
        <w:rPr>
          <w:rFonts w:ascii="Times New Roman" w:hAnsi="Times New Roman" w:cs="Times New Roman"/>
        </w:rPr>
        <w:t>co potwierdzali podpisując oświadczenia o świadomości</w:t>
      </w:r>
      <w:r w:rsidR="00741060">
        <w:rPr>
          <w:rFonts w:ascii="Times New Roman" w:hAnsi="Times New Roman" w:cs="Times New Roman"/>
        </w:rPr>
        <w:t xml:space="preserve"> </w:t>
      </w:r>
      <w:r w:rsidR="008361F3">
        <w:rPr>
          <w:rFonts w:ascii="Times New Roman" w:hAnsi="Times New Roman" w:cs="Times New Roman"/>
        </w:rPr>
        <w:t xml:space="preserve">ryzyka walutowego i ryzyka stopy procentowej. Na mocy </w:t>
      </w:r>
      <w:r w:rsidR="0006093D">
        <w:rPr>
          <w:rFonts w:ascii="Times New Roman" w:hAnsi="Times New Roman" w:cs="Times New Roman"/>
        </w:rPr>
        <w:t xml:space="preserve">regulacji </w:t>
      </w:r>
      <w:r w:rsidR="008361F3">
        <w:rPr>
          <w:rFonts w:ascii="Times New Roman" w:hAnsi="Times New Roman" w:cs="Times New Roman"/>
        </w:rPr>
        <w:t xml:space="preserve">obowiązujących od marca 2006 r. takie dokumenty były wymagane przez banki do udzielenia kredytu hipotecznego w obcej walucie. W Polsce do tej pory nie padły </w:t>
      </w:r>
      <w:r w:rsidR="004E72D4">
        <w:rPr>
          <w:rFonts w:ascii="Times New Roman" w:hAnsi="Times New Roman" w:cs="Times New Roman"/>
        </w:rPr>
        <w:t xml:space="preserve">także </w:t>
      </w:r>
      <w:r w:rsidR="008361F3">
        <w:rPr>
          <w:rFonts w:ascii="Times New Roman" w:hAnsi="Times New Roman" w:cs="Times New Roman"/>
        </w:rPr>
        <w:t>wyroki</w:t>
      </w:r>
      <w:r w:rsidR="004E72D4">
        <w:rPr>
          <w:rFonts w:ascii="Times New Roman" w:hAnsi="Times New Roman" w:cs="Times New Roman"/>
        </w:rPr>
        <w:t xml:space="preserve"> Sądu Najwyższego lub Trybunału Konstytucyjnego</w:t>
      </w:r>
      <w:r w:rsidR="008361F3">
        <w:rPr>
          <w:rFonts w:ascii="Times New Roman" w:hAnsi="Times New Roman" w:cs="Times New Roman"/>
        </w:rPr>
        <w:t>, które orzekałyby o abuzywności takich kredytów.</w:t>
      </w:r>
      <w:r w:rsidR="004E72D4">
        <w:rPr>
          <w:rFonts w:ascii="Times New Roman" w:hAnsi="Times New Roman" w:cs="Times New Roman"/>
        </w:rPr>
        <w:t xml:space="preserve"> Z powodu powyższych czynników wydaje się zatem, że zastosowanie rozwiązania systemowego np. poprzez ustawowe</w:t>
      </w:r>
      <w:r w:rsidR="00741060">
        <w:rPr>
          <w:rFonts w:ascii="Times New Roman" w:hAnsi="Times New Roman" w:cs="Times New Roman"/>
        </w:rPr>
        <w:t xml:space="preserve"> </w:t>
      </w:r>
      <w:r w:rsidR="004E72D4">
        <w:rPr>
          <w:rFonts w:ascii="Times New Roman" w:hAnsi="Times New Roman" w:cs="Times New Roman"/>
        </w:rPr>
        <w:t>przewalutowanie kredytów hipotecznych na PLN nie znajduje na tę chwilę uzasadnienia.</w:t>
      </w:r>
    </w:p>
    <w:p w14:paraId="7F46ED4B" w14:textId="5F0A60B6" w:rsidR="004E72D4" w:rsidRDefault="004E72D4">
      <w:pPr>
        <w:rPr>
          <w:rFonts w:cs="Times New Roman"/>
          <w:color w:val="000000"/>
          <w:szCs w:val="24"/>
        </w:rPr>
      </w:pPr>
      <w:r>
        <w:rPr>
          <w:rFonts w:cs="Times New Roman"/>
        </w:rPr>
        <w:br w:type="page"/>
      </w:r>
    </w:p>
    <w:p w14:paraId="78601EF2" w14:textId="05F6F3D5" w:rsidR="00A574C7" w:rsidRDefault="003C6BF8" w:rsidP="00762991">
      <w:pPr>
        <w:pStyle w:val="Nagwek1"/>
        <w:spacing w:line="360" w:lineRule="auto"/>
      </w:pPr>
      <w:bookmarkStart w:id="36" w:name="_Toc513545765"/>
      <w:r w:rsidRPr="00CF2507">
        <w:lastRenderedPageBreak/>
        <w:t>Zakończenie</w:t>
      </w:r>
      <w:r w:rsidR="000656B8">
        <w:t>.</w:t>
      </w:r>
      <w:bookmarkEnd w:id="36"/>
    </w:p>
    <w:p w14:paraId="01B9D10D" w14:textId="23133F78" w:rsidR="00AA4047" w:rsidRDefault="00AA4047" w:rsidP="00762991">
      <w:pPr>
        <w:spacing w:after="0" w:line="360" w:lineRule="auto"/>
        <w:jc w:val="both"/>
      </w:pPr>
      <w:r>
        <w:tab/>
        <w:t>Mimo, że w ostatnich latach</w:t>
      </w:r>
      <w:r w:rsidR="00E748D2">
        <w:t>, zwłaszcza</w:t>
      </w:r>
      <w:r>
        <w:t xml:space="preserve"> </w:t>
      </w:r>
      <w:r w:rsidR="00785F5A">
        <w:t xml:space="preserve">od 2015 r. </w:t>
      </w:r>
      <w:r>
        <w:t>wartość zadłużenia polskich gospodarstw domowych w walutach obcych z tytułu dewizowych kredytów hipotecznych</w:t>
      </w:r>
      <w:r w:rsidR="00210AF5">
        <w:t xml:space="preserve"> regularnie</w:t>
      </w:r>
      <w:r>
        <w:t xml:space="preserve"> malała, </w:t>
      </w:r>
      <w:r w:rsidR="0039088F">
        <w:t>problem w dal</w:t>
      </w:r>
      <w:r w:rsidR="00A5398A">
        <w:t>szym ciągu nie został zażegnany</w:t>
      </w:r>
      <w:r w:rsidR="00BB0930">
        <w:t>.</w:t>
      </w:r>
      <w:r w:rsidR="00A5398A">
        <w:t xml:space="preserve"> </w:t>
      </w:r>
      <w:r w:rsidR="00A64263">
        <w:t xml:space="preserve">Wartość i liczba </w:t>
      </w:r>
      <w:r w:rsidR="00692ADB">
        <w:t>kredytów walutowych, szczególnie w CHF w dalszym ciągu</w:t>
      </w:r>
      <w:r w:rsidR="0078287D">
        <w:t xml:space="preserve"> jest relatywnie</w:t>
      </w:r>
      <w:r w:rsidR="00692ADB">
        <w:t xml:space="preserve"> duża</w:t>
      </w:r>
      <w:r w:rsidR="00BB0930">
        <w:rPr>
          <w:rStyle w:val="Odwoanieprzypisudolnego"/>
        </w:rPr>
        <w:footnoteReference w:id="106"/>
      </w:r>
      <w:r w:rsidR="00BB0930">
        <w:t>.</w:t>
      </w:r>
    </w:p>
    <w:p w14:paraId="05F922F2" w14:textId="3300BC3F" w:rsidR="00210AF5" w:rsidRDefault="00210AF5" w:rsidP="00762991">
      <w:pPr>
        <w:spacing w:after="0" w:line="360" w:lineRule="auto"/>
        <w:jc w:val="both"/>
      </w:pPr>
      <w:r>
        <w:tab/>
        <w:t xml:space="preserve">Wydaje się jednak, że na chwilę obecną </w:t>
      </w:r>
      <w:r w:rsidR="006302BA">
        <w:t>wysoka</w:t>
      </w:r>
      <w:r>
        <w:t xml:space="preserve"> wartość portfela kredytów walutowych banków działającym w Polsce </w:t>
      </w:r>
      <w:r w:rsidR="00330120">
        <w:t xml:space="preserve">nie jest zagrożeniem dla polskiego systemu bankowego. </w:t>
      </w:r>
      <w:r w:rsidR="00612AEA">
        <w:t xml:space="preserve">Stosunek </w:t>
      </w:r>
      <w:r w:rsidR="00AE1027">
        <w:t xml:space="preserve">wartości </w:t>
      </w:r>
      <w:r w:rsidR="00612AEA">
        <w:t xml:space="preserve">dewizowych kredytów hipotecznych powodujących straty dla sektora bankowego </w:t>
      </w:r>
      <w:r w:rsidR="009A0CAC">
        <w:t xml:space="preserve">do całkowitej </w:t>
      </w:r>
      <w:r w:rsidR="00612AEA">
        <w:t>wartośc</w:t>
      </w:r>
      <w:r w:rsidR="009A0CAC">
        <w:t>i</w:t>
      </w:r>
      <w:r w:rsidR="00612AEA">
        <w:t xml:space="preserve"> portfela mieszkaniowych kredytów walutowych </w:t>
      </w:r>
      <w:r w:rsidR="009A0CAC">
        <w:t>jest stosunkowo niski</w:t>
      </w:r>
      <w:r w:rsidR="00612AEA">
        <w:t xml:space="preserve">. </w:t>
      </w:r>
      <w:r w:rsidR="009F5A11">
        <w:t xml:space="preserve">Od 2015 r. </w:t>
      </w:r>
      <w:r w:rsidR="00EB0750">
        <w:t xml:space="preserve">wskaźnik </w:t>
      </w:r>
      <w:r w:rsidR="00B15BAE">
        <w:t>utrzymuje się na poziomie 3-4%</w:t>
      </w:r>
      <w:r w:rsidR="00612AEA">
        <w:t xml:space="preserve"> dla kredytów hipotecznych w CHF i poniżej 2% dla kredytów hipotecznych w pozostałych walutach obcych</w:t>
      </w:r>
      <w:r w:rsidR="00612AEA">
        <w:rPr>
          <w:rStyle w:val="Odwoanieprzypisudolnego"/>
        </w:rPr>
        <w:footnoteReference w:id="107"/>
      </w:r>
      <w:r w:rsidR="00612AEA">
        <w:t>. Taki stan rzeczy w</w:t>
      </w:r>
      <w:r w:rsidR="002A1B27">
        <w:t xml:space="preserve">ynika z dobrej </w:t>
      </w:r>
      <w:r w:rsidR="008F4829">
        <w:t>koniunktury gospodarczej</w:t>
      </w:r>
      <w:r w:rsidR="002A1B27">
        <w:t>, niskiego bezrobocia w Polsce, ale przede wszystkim ze znacznej deprecjacji CHF od grudnia 2016 r. i ujemnej wartości stopy bazowej LIBOR CHF 3M</w:t>
      </w:r>
      <w:r w:rsidR="00580723">
        <w:t xml:space="preserve"> i EURIBOR 3M</w:t>
      </w:r>
      <w:r w:rsidR="00964D17">
        <w:rPr>
          <w:rStyle w:val="Odwoanieprzypisudolnego"/>
        </w:rPr>
        <w:footnoteReference w:id="108"/>
      </w:r>
      <w:r w:rsidR="002A1B27">
        <w:t xml:space="preserve">. </w:t>
      </w:r>
      <w:r>
        <w:t>Wydaje się</w:t>
      </w:r>
      <w:r w:rsidR="00490D7E">
        <w:t xml:space="preserve"> zatem</w:t>
      </w:r>
      <w:r>
        <w:t xml:space="preserve">, że kredytobiorcy </w:t>
      </w:r>
      <w:r w:rsidR="00964D17">
        <w:t xml:space="preserve">coraz mniej liczą na systemowe rozwiązanie problemu a zamiast tego wolą wykorzystać </w:t>
      </w:r>
      <w:r>
        <w:t>dobre warunki</w:t>
      </w:r>
      <w:r w:rsidR="0020732B">
        <w:t xml:space="preserve"> gospodarcze</w:t>
      </w:r>
      <w:r>
        <w:t xml:space="preserve"> do </w:t>
      </w:r>
      <w:r w:rsidR="00697F16">
        <w:t xml:space="preserve">terminowego </w:t>
      </w:r>
      <w:r>
        <w:t>spłacania rat kredytowych</w:t>
      </w:r>
      <w:r w:rsidR="00697F16">
        <w:t xml:space="preserve"> lub nawet nadpłacania kredytów</w:t>
      </w:r>
      <w:r w:rsidR="00964D17">
        <w:t>.</w:t>
      </w:r>
      <w:r>
        <w:t xml:space="preserve"> </w:t>
      </w:r>
    </w:p>
    <w:p w14:paraId="3C31F1BC" w14:textId="232BF0E1" w:rsidR="00B001BC" w:rsidRDefault="00ED2178" w:rsidP="00762991">
      <w:pPr>
        <w:spacing w:after="0" w:line="360" w:lineRule="auto"/>
        <w:jc w:val="both"/>
        <w:rPr>
          <w:rFonts w:cs="Times New Roman"/>
        </w:rPr>
      </w:pPr>
      <w:r>
        <w:tab/>
        <w:t xml:space="preserve">Wydaje się, że obecnie jedynym zagrożeniem dla stabilności sektora bankowego </w:t>
      </w:r>
      <w:r w:rsidR="000E2679">
        <w:t xml:space="preserve">jakie może </w:t>
      </w:r>
      <w:r w:rsidR="001E175A">
        <w:t xml:space="preserve">wystąpić jest </w:t>
      </w:r>
      <w:r w:rsidR="006D681B">
        <w:t xml:space="preserve">zrealizowanie się </w:t>
      </w:r>
      <w:r w:rsidR="001E175A">
        <w:t>scenariusz</w:t>
      </w:r>
      <w:r w:rsidR="006D681B">
        <w:t>a</w:t>
      </w:r>
      <w:r w:rsidR="001E175A">
        <w:t xml:space="preserve"> ustawowej restrukturyzacj</w:t>
      </w:r>
      <w:r w:rsidR="00E1064D">
        <w:t>i</w:t>
      </w:r>
      <w:r w:rsidR="001E175A">
        <w:t xml:space="preserve"> i konwersja zadłużenia</w:t>
      </w:r>
      <w:r w:rsidR="00E1064D">
        <w:t xml:space="preserve"> z tytułu dewizowych kredytów walutowych</w:t>
      </w:r>
      <w:r w:rsidR="001E175A">
        <w:t xml:space="preserve"> na PLN według kursu z dnia podpisania umowy kredytowej lub zbliżonego.</w:t>
      </w:r>
      <w:r w:rsidR="006D681B">
        <w:t xml:space="preserve"> Taka propozycja </w:t>
      </w:r>
      <w:r w:rsidR="000E2679">
        <w:t>został</w:t>
      </w:r>
      <w:r w:rsidR="00C711AF">
        <w:t>a</w:t>
      </w:r>
      <w:r w:rsidR="000E2679">
        <w:t xml:space="preserve"> przedstawion</w:t>
      </w:r>
      <w:r w:rsidR="00C711AF">
        <w:t>a</w:t>
      </w:r>
      <w:r w:rsidR="000E2679">
        <w:t xml:space="preserve"> m.in. w projekcie </w:t>
      </w:r>
      <w:r w:rsidR="000E2679">
        <w:rPr>
          <w:rFonts w:cs="Times New Roman"/>
        </w:rPr>
        <w:t>ustawy o restrukturyzacji kredytów walutowych</w:t>
      </w:r>
      <w:r w:rsidR="00147FFC">
        <w:rPr>
          <w:rFonts w:cs="Times New Roman"/>
        </w:rPr>
        <w:t xml:space="preserve"> z 2015 r</w:t>
      </w:r>
      <w:r w:rsidR="0068469F">
        <w:rPr>
          <w:rFonts w:cs="Times New Roman"/>
        </w:rPr>
        <w:t>. Rozwiązanie zostało ostatecznie odrzucone z powodu niezgodności z konstytucją, retroaktywnego charakteru i bardzo wysokich kosztów dla sektora bankowego</w:t>
      </w:r>
      <w:r w:rsidR="00E95899">
        <w:rPr>
          <w:rFonts w:cs="Times New Roman"/>
        </w:rPr>
        <w:t>. Dodatkowo, obecnie warunki rynkowe są dużo bardziej sprzyjające do spłaty rat dla kredytobiorców, a kredyty hipoteczne w walutach obcych nie zostały uznane za abuzywne przez wymiar sprawiedliwości. Powyższe powody sprawiają, że restrukturyzacja zadłużenia na przedstawionych warunkach jest mało prawdopodobna</w:t>
      </w:r>
      <w:r w:rsidR="00622571">
        <w:rPr>
          <w:rFonts w:cs="Times New Roman"/>
        </w:rPr>
        <w:t>. Mimo tego</w:t>
      </w:r>
      <w:r w:rsidR="008202C0">
        <w:rPr>
          <w:rFonts w:cs="Times New Roman"/>
        </w:rPr>
        <w:t xml:space="preserve"> nie można jej jednoznacznie wykluczyć</w:t>
      </w:r>
      <w:r w:rsidR="00E95899">
        <w:rPr>
          <w:rFonts w:cs="Times New Roman"/>
        </w:rPr>
        <w:t xml:space="preserve">. </w:t>
      </w:r>
    </w:p>
    <w:p w14:paraId="79B44DBB" w14:textId="631381FA" w:rsidR="00B91360" w:rsidRDefault="008202C0" w:rsidP="00762991">
      <w:pPr>
        <w:spacing w:after="0" w:line="360" w:lineRule="auto"/>
        <w:ind w:firstLine="708"/>
        <w:jc w:val="both"/>
      </w:pPr>
      <w:r>
        <w:rPr>
          <w:rFonts w:cs="Times New Roman"/>
        </w:rPr>
        <w:t>Oznacza to</w:t>
      </w:r>
      <w:r w:rsidR="0023291B">
        <w:rPr>
          <w:rFonts w:cs="Times New Roman"/>
        </w:rPr>
        <w:t xml:space="preserve"> zatem</w:t>
      </w:r>
      <w:r>
        <w:rPr>
          <w:rFonts w:cs="Times New Roman"/>
        </w:rPr>
        <w:t>, że</w:t>
      </w:r>
      <w:r w:rsidR="0023291B">
        <w:rPr>
          <w:rFonts w:cs="Times New Roman"/>
        </w:rPr>
        <w:t xml:space="preserve"> choć problem zadłużenia polskich gospodarstw domowych w walutach obcych stanowi niewielkie zagrożenie dla bezpieczeństwa sektora bankowego i polskiego gospodarki to</w:t>
      </w:r>
      <w:r>
        <w:rPr>
          <w:rFonts w:cs="Times New Roman"/>
        </w:rPr>
        <w:t xml:space="preserve"> hipoteza główna przedstawiona w pracy nie powinna zostać </w:t>
      </w:r>
      <w:r w:rsidR="0023291B">
        <w:rPr>
          <w:rFonts w:cs="Times New Roman"/>
        </w:rPr>
        <w:t xml:space="preserve">jednoznacznie </w:t>
      </w:r>
      <w:r>
        <w:rPr>
          <w:rFonts w:cs="Times New Roman"/>
        </w:rPr>
        <w:t>odrzuco</w:t>
      </w:r>
      <w:r w:rsidR="0023291B">
        <w:rPr>
          <w:rFonts w:cs="Times New Roman"/>
        </w:rPr>
        <w:t>na.</w:t>
      </w:r>
    </w:p>
    <w:p w14:paraId="3EB2DF5F" w14:textId="3361D285" w:rsidR="009D7BCC" w:rsidRDefault="00AA59DF" w:rsidP="00762991">
      <w:pPr>
        <w:spacing w:after="0" w:line="360" w:lineRule="auto"/>
        <w:jc w:val="both"/>
      </w:pPr>
      <w:r>
        <w:lastRenderedPageBreak/>
        <w:tab/>
        <w:t>Duży wpływ na to, że sytuacja</w:t>
      </w:r>
      <w:r w:rsidR="005A0B7E">
        <w:t xml:space="preserve"> na rynku kredytów walutowych w Polsce</w:t>
      </w:r>
      <w:r>
        <w:t xml:space="preserve"> jest w chwili obecnej stosunkowo bezpieczna i stabilna należy przypisać regulacjom prawnym nt. udzielania kredytów walutowych</w:t>
      </w:r>
      <w:r w:rsidR="003524CC">
        <w:t>.</w:t>
      </w:r>
      <w:r>
        <w:t xml:space="preserve"> </w:t>
      </w:r>
      <w:r w:rsidR="00A634B5">
        <w:t xml:space="preserve">Dzięki </w:t>
      </w:r>
      <w:r w:rsidR="00A96479">
        <w:t>działaniom instytucji nadzoru finansowego</w:t>
      </w:r>
      <w:r w:rsidR="00A634B5">
        <w:t xml:space="preserve"> w Polsce nastąpiło</w:t>
      </w:r>
      <w:r w:rsidR="00831815">
        <w:t xml:space="preserve"> ograniczanie dostępu</w:t>
      </w:r>
      <w:r w:rsidR="00A634B5">
        <w:t xml:space="preserve"> do kredytów walutowych.</w:t>
      </w:r>
      <w:r w:rsidR="009D7BCC">
        <w:t xml:space="preserve"> Dostęp </w:t>
      </w:r>
      <w:r w:rsidR="00A634B5">
        <w:t>zost</w:t>
      </w:r>
      <w:r w:rsidR="009D7BCC">
        <w:t>ał zawężony do klientów, którzy zaakceptowali ryzyko walutowe</w:t>
      </w:r>
      <w:r w:rsidR="003C2158">
        <w:t xml:space="preserve"> </w:t>
      </w:r>
      <w:r w:rsidR="009D7BCC">
        <w:t>i dzięki spełnieniu minimalnych wymogów odnośnie wartości współczynników LTV i DTI w zdecydowanej większości byli i są w stanie sprostać finansowym obciążeniom spowodowanym aprecjacją walut obsługiwanych kredytów hipotecznych.</w:t>
      </w:r>
      <w:r w:rsidR="003524CC">
        <w:t xml:space="preserve"> Instytucje nadzoru finansowego w Polsce, ale też w Unii Europejskiej wykonały należycie swoje obowiązki, a wprowadzone przez nie regulacje prawdopodobnie znacznie ograniczyły skalę poruszanego problemu.</w:t>
      </w:r>
      <w:r w:rsidR="009D7BCC">
        <w:t xml:space="preserve"> </w:t>
      </w:r>
      <w:r w:rsidR="003524CC">
        <w:t xml:space="preserve">Należy zatem przyjąć hipotezę pomocniczą </w:t>
      </w:r>
      <w:r w:rsidR="00731CDD">
        <w:t xml:space="preserve">nr 1 </w:t>
      </w:r>
      <w:r w:rsidR="003524CC">
        <w:t>i ocenić wpływ regulatorów na politykę udzielania kredytów walutowych przez banki jako pozytywny.</w:t>
      </w:r>
    </w:p>
    <w:p w14:paraId="05C1E469" w14:textId="6E8B2D87" w:rsidR="00831815" w:rsidRDefault="00831815" w:rsidP="00762991">
      <w:pPr>
        <w:spacing w:after="0" w:line="360" w:lineRule="auto"/>
        <w:jc w:val="both"/>
        <w:rPr>
          <w:rFonts w:cs="Times New Roman"/>
          <w:szCs w:val="24"/>
        </w:rPr>
      </w:pPr>
      <w:r>
        <w:tab/>
      </w:r>
      <w:r w:rsidR="005D3E4A">
        <w:t xml:space="preserve">Przedstawione w pracy propozycje rozwiązania problemu </w:t>
      </w:r>
      <w:r w:rsidR="005D3E4A" w:rsidRPr="00CF2507">
        <w:rPr>
          <w:rFonts w:cs="Times New Roman"/>
          <w:szCs w:val="24"/>
        </w:rPr>
        <w:t>zadłużenia gospodarstw domowych w Polsce</w:t>
      </w:r>
      <w:r w:rsidR="005D3E4A">
        <w:rPr>
          <w:rFonts w:cs="Times New Roman"/>
          <w:szCs w:val="24"/>
        </w:rPr>
        <w:t xml:space="preserve"> w walutach obcych </w:t>
      </w:r>
      <w:r w:rsidR="00754E4E">
        <w:rPr>
          <w:rFonts w:cs="Times New Roman"/>
          <w:szCs w:val="24"/>
        </w:rPr>
        <w:t xml:space="preserve">należy ocenić dwojako. </w:t>
      </w:r>
      <w:r w:rsidR="00F1031D">
        <w:rPr>
          <w:rFonts w:cs="Times New Roman"/>
          <w:szCs w:val="24"/>
        </w:rPr>
        <w:t xml:space="preserve">Wszystkie propozycje miałyby pozytywny wpływ </w:t>
      </w:r>
      <w:r w:rsidR="00466C1E">
        <w:rPr>
          <w:rFonts w:cs="Times New Roman"/>
          <w:szCs w:val="24"/>
        </w:rPr>
        <w:t>na sytuację finansową kredytobiorców</w:t>
      </w:r>
      <w:r w:rsidR="007414B2">
        <w:rPr>
          <w:rFonts w:cs="Times New Roman"/>
          <w:szCs w:val="24"/>
        </w:rPr>
        <w:t xml:space="preserve"> i uważaj</w:t>
      </w:r>
      <w:r w:rsidR="00466C1E">
        <w:rPr>
          <w:rFonts w:cs="Times New Roman"/>
          <w:szCs w:val="24"/>
        </w:rPr>
        <w:t xml:space="preserve">. </w:t>
      </w:r>
      <w:r w:rsidR="00616878">
        <w:rPr>
          <w:rFonts w:cs="Times New Roman"/>
          <w:szCs w:val="24"/>
        </w:rPr>
        <w:t>Nie oznacza to jednak, że kredytobiorcy są zadowoleni ze wszystkich przedstawionych projektów</w:t>
      </w:r>
      <w:r w:rsidR="007414B2">
        <w:rPr>
          <w:rFonts w:cs="Times New Roman"/>
          <w:szCs w:val="24"/>
        </w:rPr>
        <w:t xml:space="preserve"> i uważają je za </w:t>
      </w:r>
      <w:r w:rsidR="00264470">
        <w:rPr>
          <w:rFonts w:cs="Times New Roman"/>
          <w:szCs w:val="24"/>
        </w:rPr>
        <w:t>wystarczające</w:t>
      </w:r>
      <w:r w:rsidR="00616878">
        <w:rPr>
          <w:rFonts w:cs="Times New Roman"/>
          <w:szCs w:val="24"/>
        </w:rPr>
        <w:t>. Dla sektora bankowego wszystkie propozycji wiążą się z poniesieniem kosztów, które są zależ</w:t>
      </w:r>
      <w:r w:rsidR="00123707">
        <w:rPr>
          <w:rFonts w:cs="Times New Roman"/>
          <w:szCs w:val="24"/>
        </w:rPr>
        <w:t>ne</w:t>
      </w:r>
      <w:r w:rsidR="00616878">
        <w:rPr>
          <w:rFonts w:cs="Times New Roman"/>
          <w:szCs w:val="24"/>
        </w:rPr>
        <w:t xml:space="preserve"> od treści propozycji ale też od warunków rynkowych. </w:t>
      </w:r>
      <w:r w:rsidR="00AB6EA8">
        <w:rPr>
          <w:rFonts w:cs="Times New Roman"/>
          <w:szCs w:val="24"/>
        </w:rPr>
        <w:t>Należy zatem ocenić zaproponowane scenariusze jako niekorzystne dla sektora bankowego i odrzucić hipotezę pomocniczą</w:t>
      </w:r>
      <w:r w:rsidR="00731CDD">
        <w:rPr>
          <w:rFonts w:cs="Times New Roman"/>
          <w:szCs w:val="24"/>
        </w:rPr>
        <w:t xml:space="preserve"> nr 2</w:t>
      </w:r>
      <w:r w:rsidR="00AB6EA8">
        <w:rPr>
          <w:rFonts w:cs="Times New Roman"/>
          <w:szCs w:val="24"/>
        </w:rPr>
        <w:t xml:space="preserve">. </w:t>
      </w:r>
    </w:p>
    <w:p w14:paraId="38A836A6" w14:textId="2BB0CA27" w:rsidR="00D32D97" w:rsidRDefault="00D32D97" w:rsidP="00762991">
      <w:pPr>
        <w:spacing w:after="0" w:line="360" w:lineRule="auto"/>
        <w:jc w:val="both"/>
      </w:pPr>
      <w:r>
        <w:rPr>
          <w:rFonts w:cs="Times New Roman"/>
          <w:szCs w:val="24"/>
        </w:rPr>
        <w:tab/>
        <w:t xml:space="preserve">Rozwiązania zastosowane w innych państwach Unii Europejskiej, które zostały dotknięte podobnym problemem w zdecydowanej większości nie nadają się do wdrożenia </w:t>
      </w:r>
      <w:r w:rsidR="006C01FE">
        <w:rPr>
          <w:rFonts w:cs="Times New Roman"/>
          <w:szCs w:val="24"/>
        </w:rPr>
        <w:t>także</w:t>
      </w:r>
      <w:r>
        <w:rPr>
          <w:rFonts w:cs="Times New Roman"/>
          <w:szCs w:val="24"/>
        </w:rPr>
        <w:t xml:space="preserve"> w Polsce. </w:t>
      </w:r>
      <w:r w:rsidR="001056AC">
        <w:rPr>
          <w:rFonts w:cs="Times New Roman"/>
          <w:szCs w:val="24"/>
        </w:rPr>
        <w:t>W poprzedniej części pracy wykazano, że jed</w:t>
      </w:r>
      <w:r w:rsidR="0043250F">
        <w:rPr>
          <w:rFonts w:cs="Times New Roman"/>
          <w:szCs w:val="24"/>
        </w:rPr>
        <w:t>y</w:t>
      </w:r>
      <w:r w:rsidR="001056AC">
        <w:rPr>
          <w:rFonts w:cs="Times New Roman"/>
          <w:szCs w:val="24"/>
        </w:rPr>
        <w:t xml:space="preserve">nym rozwiązaniem, z którego można czerpać wzorzec jest zwrócenie kredytobiorcom środków z tytułu nieuzasadnionego stosowania zawyżonych spreadów walutowych przez banki, jak miało to miejsce </w:t>
      </w:r>
      <w:r w:rsidR="007B23C7">
        <w:rPr>
          <w:rFonts w:cs="Times New Roman"/>
          <w:szCs w:val="24"/>
        </w:rPr>
        <w:t xml:space="preserve">na Węgrzech. Choć w Polsce do tej pory takie praktyki nie zostały uznane przez sądy za abuzywne, </w:t>
      </w:r>
      <w:r w:rsidR="00884604">
        <w:rPr>
          <w:rFonts w:cs="Times New Roman"/>
          <w:szCs w:val="24"/>
        </w:rPr>
        <w:t xml:space="preserve">to </w:t>
      </w:r>
      <w:r w:rsidR="007B23C7">
        <w:rPr>
          <w:rFonts w:cs="Times New Roman"/>
          <w:szCs w:val="24"/>
        </w:rPr>
        <w:t xml:space="preserve">miały miejsce propozycje wdrożenia w ustawowy sposób podobnego rozwiązania. </w:t>
      </w:r>
      <w:r w:rsidR="00C56F83">
        <w:rPr>
          <w:rFonts w:cs="Times New Roman"/>
          <w:szCs w:val="24"/>
        </w:rPr>
        <w:t xml:space="preserve">Oznacza to, że nie można w jednoznaczny sposób odrzucić hipotezy pomocniczej nr 3.  </w:t>
      </w:r>
    </w:p>
    <w:p w14:paraId="6FFB9915" w14:textId="694A2B21" w:rsidR="00A574C7" w:rsidRPr="00E748D2" w:rsidRDefault="00440483" w:rsidP="00762991">
      <w:pPr>
        <w:spacing w:after="0" w:line="360" w:lineRule="auto"/>
        <w:jc w:val="both"/>
      </w:pPr>
      <w:r>
        <w:tab/>
        <w:t>W opinii autora problem zadłużenia polskich gospodarstw domowych w walutach obcych z tytułu kredytów hipotecznych nie powinien zostać rozwiązany w sposób systemowy.</w:t>
      </w:r>
      <w:r w:rsidR="00B95111">
        <w:t xml:space="preserve"> Dzięki wprowadzonym regulacjom prawnym dewizowe kredyty hipoteczne były dostępne tylko dla klientów, którzy podpisali oświadczenia o świadomości nt. ryzyka walutowego i ryzyka zmiany stopy procentowej. Takie osoby musiały również spełnić odpowiednie wymagania w kwestii minimalnej wysokości współczynników LTV i DTI. </w:t>
      </w:r>
      <w:r w:rsidR="00F07299">
        <w:t>Oznacza to, że kredyto</w:t>
      </w:r>
      <w:r w:rsidR="00F07299">
        <w:lastRenderedPageBreak/>
        <w:t xml:space="preserve">biorcy byli świadomi natury zaciąganych zobowiązań i ich możliwych ekonomicznych konsekwencji. </w:t>
      </w:r>
      <w:r w:rsidR="00D348C6">
        <w:t>Dodatkowo, odsetek niespłacanych kredytów walutowych jest znacznie niższy, niż kredytów złotowych o podobnych parametrach</w:t>
      </w:r>
      <w:r w:rsidR="004A1570">
        <w:t xml:space="preserve"> co świadczy o stosunkowo dobrej sytua</w:t>
      </w:r>
      <w:r w:rsidR="000F7388">
        <w:t>cji finansowej kredytobiorców, która pozwala na terminową spłatę rat.</w:t>
      </w:r>
      <w:r w:rsidR="00D348C6">
        <w:t xml:space="preserve"> W opinii autora oznacza to, że </w:t>
      </w:r>
      <w:r w:rsidR="00E856CD">
        <w:t xml:space="preserve">zastosowanie </w:t>
      </w:r>
      <w:r w:rsidR="00D348C6">
        <w:t>rozwiązani</w:t>
      </w:r>
      <w:r w:rsidR="00E856CD">
        <w:t>a</w:t>
      </w:r>
      <w:r w:rsidR="00D348C6">
        <w:t xml:space="preserve"> systemowe</w:t>
      </w:r>
      <w:r w:rsidR="00E856CD">
        <w:t xml:space="preserve">go, a w szczególności ustawowej konwersji kredytów hipotecznych w walutach obcych na kredyty złotowe według kursów walutowych </w:t>
      </w:r>
      <w:r w:rsidR="00D377D4">
        <w:t>z dnia podpisania umowy kredytowej</w:t>
      </w:r>
      <w:r w:rsidR="003221A9">
        <w:t xml:space="preserve"> </w:t>
      </w:r>
      <w:r w:rsidR="00D348C6">
        <w:t>jest nieuzasadnione.</w:t>
      </w:r>
      <w:r w:rsidR="00E748D2">
        <w:t xml:space="preserve"> </w:t>
      </w:r>
      <w:r w:rsidR="00D348C6">
        <w:t xml:space="preserve"> </w:t>
      </w:r>
      <w:r w:rsidR="00B95111">
        <w:t xml:space="preserve"> </w:t>
      </w:r>
      <w:r>
        <w:t xml:space="preserve"> </w:t>
      </w:r>
      <w:r w:rsidR="00A574C7">
        <w:br w:type="page"/>
      </w:r>
    </w:p>
    <w:p w14:paraId="756DAECC" w14:textId="14BF9906" w:rsidR="00A574C7" w:rsidRDefault="00A574C7" w:rsidP="00CC60BA">
      <w:pPr>
        <w:pStyle w:val="Nagwek1"/>
        <w:spacing w:line="360" w:lineRule="auto"/>
        <w:jc w:val="both"/>
      </w:pPr>
      <w:bookmarkStart w:id="37" w:name="_Toc513545766"/>
      <w:r w:rsidRPr="00A574C7">
        <w:lastRenderedPageBreak/>
        <w:t>Bibliografia</w:t>
      </w:r>
      <w:r w:rsidR="00363B56">
        <w:t>.</w:t>
      </w:r>
      <w:bookmarkEnd w:id="37"/>
    </w:p>
    <w:p w14:paraId="2DAEEF3B" w14:textId="7BD02F30" w:rsidR="000656B8" w:rsidRDefault="00CC60BA" w:rsidP="00CC60BA">
      <w:pPr>
        <w:pStyle w:val="Nagwek2"/>
        <w:spacing w:line="360" w:lineRule="auto"/>
        <w:jc w:val="both"/>
      </w:pPr>
      <w:bookmarkStart w:id="38" w:name="_Toc513545767"/>
      <w:r>
        <w:t>I</w:t>
      </w:r>
      <w:r w:rsidR="000656B8">
        <w:t xml:space="preserve">. </w:t>
      </w:r>
      <w:r>
        <w:t>Wydawnictwa zwarte.</w:t>
      </w:r>
      <w:bookmarkEnd w:id="38"/>
    </w:p>
    <w:p w14:paraId="5E36D4BA" w14:textId="77777777" w:rsidR="008A3772" w:rsidRDefault="008A3772" w:rsidP="00C96456">
      <w:pPr>
        <w:pStyle w:val="Tekstprzypisudolnego"/>
        <w:numPr>
          <w:ilvl w:val="0"/>
          <w:numId w:val="10"/>
        </w:numPr>
        <w:spacing w:line="360" w:lineRule="auto"/>
        <w:ind w:left="360"/>
        <w:jc w:val="both"/>
        <w:rPr>
          <w:rFonts w:cs="Times New Roman"/>
          <w:sz w:val="24"/>
        </w:rPr>
      </w:pPr>
      <w:r>
        <w:rPr>
          <w:rFonts w:cs="Times New Roman"/>
          <w:sz w:val="24"/>
        </w:rPr>
        <w:t xml:space="preserve">Czerwińska </w:t>
      </w:r>
      <w:r w:rsidRPr="00007E1C">
        <w:rPr>
          <w:rFonts w:cs="Times New Roman"/>
          <w:sz w:val="24"/>
        </w:rPr>
        <w:t>T.</w:t>
      </w:r>
      <w:r>
        <w:rPr>
          <w:rFonts w:cs="Times New Roman"/>
          <w:sz w:val="24"/>
        </w:rPr>
        <w:t>, Jajuga</w:t>
      </w:r>
      <w:r w:rsidRPr="00007E1C">
        <w:rPr>
          <w:rFonts w:cs="Times New Roman"/>
          <w:sz w:val="24"/>
        </w:rPr>
        <w:t xml:space="preserve"> K.,</w:t>
      </w:r>
      <w:r w:rsidRPr="00007E1C">
        <w:rPr>
          <w:rFonts w:cs="Times New Roman"/>
          <w:i/>
          <w:sz w:val="24"/>
        </w:rPr>
        <w:t xml:space="preserve"> Ryzyko instytucji finansowych, </w:t>
      </w:r>
      <w:r w:rsidRPr="00007E1C">
        <w:rPr>
          <w:rFonts w:cs="Times New Roman"/>
          <w:sz w:val="24"/>
        </w:rPr>
        <w:t>C.H. Beck, Warszawa 2016,</w:t>
      </w:r>
    </w:p>
    <w:p w14:paraId="788BC520" w14:textId="77777777" w:rsidR="008A3772" w:rsidRPr="00007E1C" w:rsidRDefault="008A3772" w:rsidP="00C96456">
      <w:pPr>
        <w:pStyle w:val="Tekstprzypisudolnego"/>
        <w:numPr>
          <w:ilvl w:val="0"/>
          <w:numId w:val="10"/>
        </w:numPr>
        <w:spacing w:line="360" w:lineRule="auto"/>
        <w:ind w:left="360"/>
        <w:jc w:val="both"/>
        <w:rPr>
          <w:rFonts w:cs="Times New Roman"/>
          <w:sz w:val="24"/>
        </w:rPr>
      </w:pPr>
      <w:r>
        <w:rPr>
          <w:rFonts w:cs="Times New Roman"/>
          <w:sz w:val="24"/>
        </w:rPr>
        <w:t xml:space="preserve">Grzywacz </w:t>
      </w:r>
      <w:r w:rsidRPr="00007E1C">
        <w:rPr>
          <w:rFonts w:cs="Times New Roman"/>
          <w:sz w:val="24"/>
        </w:rPr>
        <w:t>J.</w:t>
      </w:r>
      <w:r>
        <w:rPr>
          <w:rFonts w:cs="Times New Roman"/>
          <w:sz w:val="24"/>
        </w:rPr>
        <w:t>,</w:t>
      </w:r>
      <w:r w:rsidRPr="00007E1C">
        <w:rPr>
          <w:rFonts w:cs="Times New Roman"/>
          <w:sz w:val="24"/>
        </w:rPr>
        <w:t xml:space="preserve"> </w:t>
      </w:r>
      <w:r w:rsidRPr="00007E1C">
        <w:rPr>
          <w:rFonts w:cs="Times New Roman"/>
          <w:i/>
          <w:sz w:val="24"/>
        </w:rPr>
        <w:t>Podstawy bankowości</w:t>
      </w:r>
      <w:r w:rsidRPr="00007E1C">
        <w:rPr>
          <w:rFonts w:cs="Times New Roman"/>
          <w:sz w:val="24"/>
        </w:rPr>
        <w:t xml:space="preserve">, Diffin, Warszawa 2006, </w:t>
      </w:r>
    </w:p>
    <w:p w14:paraId="2516497F" w14:textId="77777777" w:rsidR="008A3772" w:rsidRPr="00007E1C" w:rsidRDefault="008A3772" w:rsidP="00C96456">
      <w:pPr>
        <w:pStyle w:val="Tekstprzypisudolnego"/>
        <w:numPr>
          <w:ilvl w:val="0"/>
          <w:numId w:val="10"/>
        </w:numPr>
        <w:spacing w:line="360" w:lineRule="auto"/>
        <w:ind w:left="360"/>
        <w:jc w:val="both"/>
        <w:rPr>
          <w:rFonts w:cs="Times New Roman"/>
          <w:i/>
          <w:sz w:val="24"/>
        </w:rPr>
      </w:pPr>
      <w:r w:rsidRPr="00007E1C">
        <w:rPr>
          <w:rFonts w:cs="Times New Roman"/>
          <w:sz w:val="24"/>
        </w:rPr>
        <w:t xml:space="preserve">Iwanicz-Drozdowska M., </w:t>
      </w:r>
      <w:r w:rsidRPr="00007E1C">
        <w:rPr>
          <w:rFonts w:cs="Times New Roman"/>
          <w:i/>
          <w:sz w:val="24"/>
        </w:rPr>
        <w:t>Zarządzanie ryzykiem bankowym</w:t>
      </w:r>
      <w:r w:rsidRPr="00007E1C">
        <w:rPr>
          <w:rFonts w:cs="Times New Roman"/>
          <w:sz w:val="24"/>
        </w:rPr>
        <w:t>, Poltext, Warszawa 2017</w:t>
      </w:r>
      <w:r>
        <w:rPr>
          <w:rFonts w:cs="Times New Roman"/>
          <w:sz w:val="24"/>
        </w:rPr>
        <w:t>,</w:t>
      </w:r>
      <w:r w:rsidRPr="00007E1C">
        <w:rPr>
          <w:rFonts w:cs="Times New Roman"/>
          <w:sz w:val="24"/>
        </w:rPr>
        <w:t xml:space="preserve"> </w:t>
      </w:r>
    </w:p>
    <w:p w14:paraId="630E6420" w14:textId="77777777" w:rsidR="008A3772" w:rsidRDefault="008A3772" w:rsidP="00C96456">
      <w:pPr>
        <w:pStyle w:val="Tekstprzypisudolnego"/>
        <w:numPr>
          <w:ilvl w:val="0"/>
          <w:numId w:val="10"/>
        </w:numPr>
        <w:spacing w:line="360" w:lineRule="auto"/>
        <w:ind w:left="360"/>
        <w:jc w:val="both"/>
        <w:rPr>
          <w:rFonts w:cs="Times New Roman"/>
          <w:sz w:val="24"/>
        </w:rPr>
      </w:pPr>
      <w:r>
        <w:rPr>
          <w:rFonts w:cs="Times New Roman"/>
          <w:sz w:val="24"/>
        </w:rPr>
        <w:t xml:space="preserve">Zaleska </w:t>
      </w:r>
      <w:r w:rsidRPr="00007E1C">
        <w:rPr>
          <w:rFonts w:cs="Times New Roman"/>
          <w:sz w:val="24"/>
        </w:rPr>
        <w:t>M.</w:t>
      </w:r>
      <w:r>
        <w:rPr>
          <w:rFonts w:cs="Times New Roman"/>
          <w:sz w:val="24"/>
        </w:rPr>
        <w:t>,</w:t>
      </w:r>
      <w:r w:rsidRPr="00007E1C">
        <w:rPr>
          <w:rFonts w:cs="Times New Roman"/>
          <w:sz w:val="24"/>
        </w:rPr>
        <w:t xml:space="preserve"> </w:t>
      </w:r>
      <w:r w:rsidRPr="00007E1C">
        <w:rPr>
          <w:rFonts w:cs="Times New Roman"/>
          <w:i/>
          <w:sz w:val="24"/>
        </w:rPr>
        <w:t>Bankowość</w:t>
      </w:r>
      <w:r w:rsidRPr="00007E1C">
        <w:rPr>
          <w:rFonts w:cs="Times New Roman"/>
          <w:sz w:val="24"/>
        </w:rPr>
        <w:t>, C.H. Beck, Warszawa 2013</w:t>
      </w:r>
      <w:r>
        <w:rPr>
          <w:rFonts w:cs="Times New Roman"/>
          <w:sz w:val="24"/>
        </w:rPr>
        <w:t>.</w:t>
      </w:r>
    </w:p>
    <w:p w14:paraId="0E0BA6C5" w14:textId="77777777" w:rsidR="002D3DF9" w:rsidRDefault="002D3DF9" w:rsidP="002D3DF9">
      <w:pPr>
        <w:pStyle w:val="Tekstprzypisudolnego"/>
        <w:spacing w:line="360" w:lineRule="auto"/>
        <w:jc w:val="both"/>
      </w:pPr>
    </w:p>
    <w:p w14:paraId="2C409029" w14:textId="6A1742B0" w:rsidR="000656B8" w:rsidRDefault="00CC60BA" w:rsidP="00CC60BA">
      <w:pPr>
        <w:pStyle w:val="Nagwek2"/>
        <w:spacing w:line="360" w:lineRule="auto"/>
        <w:jc w:val="both"/>
      </w:pPr>
      <w:bookmarkStart w:id="39" w:name="_Toc513545768"/>
      <w:r>
        <w:t>II</w:t>
      </w:r>
      <w:r w:rsidR="000656B8">
        <w:t>. Artykuły.</w:t>
      </w:r>
      <w:bookmarkEnd w:id="39"/>
    </w:p>
    <w:p w14:paraId="7AA5B154" w14:textId="4AAEAA4B" w:rsidR="008A01F0" w:rsidRPr="00C96456" w:rsidRDefault="008A01F0" w:rsidP="00C96456">
      <w:pPr>
        <w:pStyle w:val="Akapitzlist"/>
        <w:numPr>
          <w:ilvl w:val="0"/>
          <w:numId w:val="11"/>
        </w:numPr>
        <w:spacing w:line="360" w:lineRule="auto"/>
        <w:ind w:left="360"/>
        <w:jc w:val="both"/>
        <w:rPr>
          <w:rFonts w:cs="Times New Roman"/>
          <w:szCs w:val="24"/>
        </w:rPr>
      </w:pPr>
      <w:r w:rsidRPr="00C96456">
        <w:rPr>
          <w:rFonts w:cs="Times New Roman"/>
          <w:szCs w:val="24"/>
        </w:rPr>
        <w:t xml:space="preserve">Biuro Informacji Kredytowej, </w:t>
      </w:r>
      <w:r w:rsidRPr="00C96456">
        <w:rPr>
          <w:rFonts w:cs="Times New Roman"/>
          <w:i/>
          <w:szCs w:val="24"/>
        </w:rPr>
        <w:t>Raport półroczny Kredyt Trendy</w:t>
      </w:r>
      <w:r w:rsidRPr="00C96456">
        <w:rPr>
          <w:rFonts w:cs="Times New Roman"/>
          <w:szCs w:val="24"/>
        </w:rPr>
        <w:t>, 2017</w:t>
      </w:r>
      <w:r w:rsidR="00AF5681" w:rsidRPr="00C96456">
        <w:rPr>
          <w:rFonts w:cs="Times New Roman"/>
          <w:szCs w:val="24"/>
        </w:rPr>
        <w:t>,</w:t>
      </w:r>
    </w:p>
    <w:p w14:paraId="4190DBDA" w14:textId="77777777" w:rsidR="008A01F0" w:rsidRPr="00C96456" w:rsidRDefault="008A01F0" w:rsidP="00C96456">
      <w:pPr>
        <w:pStyle w:val="Akapitzlist"/>
        <w:numPr>
          <w:ilvl w:val="0"/>
          <w:numId w:val="11"/>
        </w:numPr>
        <w:spacing w:line="360" w:lineRule="auto"/>
        <w:ind w:left="360"/>
        <w:jc w:val="both"/>
        <w:rPr>
          <w:rFonts w:cs="Times New Roman"/>
          <w:szCs w:val="24"/>
          <w:lang w:val="en-US"/>
        </w:rPr>
      </w:pPr>
      <w:r w:rsidRPr="00C96456">
        <w:rPr>
          <w:rFonts w:cs="Times New Roman"/>
          <w:szCs w:val="24"/>
          <w:lang w:val="en-GB"/>
        </w:rPr>
        <w:t xml:space="preserve">Brown M., </w:t>
      </w:r>
      <w:r w:rsidRPr="00C96456">
        <w:rPr>
          <w:rFonts w:cs="Times New Roman"/>
          <w:i/>
          <w:szCs w:val="24"/>
          <w:lang w:val="en-GB"/>
        </w:rPr>
        <w:t>Swiss Franc lending in Europe, 2009,</w:t>
      </w:r>
    </w:p>
    <w:p w14:paraId="6D4F0918" w14:textId="77777777" w:rsidR="008A01F0" w:rsidRPr="00C96456" w:rsidRDefault="008A01F0" w:rsidP="00C96456">
      <w:pPr>
        <w:pStyle w:val="Akapitzlist"/>
        <w:numPr>
          <w:ilvl w:val="0"/>
          <w:numId w:val="11"/>
        </w:numPr>
        <w:spacing w:line="360" w:lineRule="auto"/>
        <w:ind w:left="360"/>
        <w:jc w:val="both"/>
        <w:rPr>
          <w:rFonts w:cs="Times New Roman"/>
          <w:szCs w:val="24"/>
          <w:lang w:val="en-GB"/>
        </w:rPr>
      </w:pPr>
      <w:r w:rsidRPr="00C96456">
        <w:rPr>
          <w:rFonts w:cs="Times New Roman"/>
          <w:szCs w:val="24"/>
          <w:lang w:val="en-GB"/>
        </w:rPr>
        <w:t xml:space="preserve">Buszko M., Krupa D., </w:t>
      </w:r>
      <w:r w:rsidRPr="00C96456">
        <w:rPr>
          <w:rFonts w:cs="Times New Roman"/>
          <w:i/>
          <w:szCs w:val="24"/>
          <w:lang w:val="en-GB"/>
        </w:rPr>
        <w:t>Foreign currency loans in Poland and Hungary – a comparative analysis</w:t>
      </w:r>
      <w:r w:rsidRPr="00C96456">
        <w:rPr>
          <w:rFonts w:cs="Times New Roman"/>
          <w:szCs w:val="24"/>
          <w:lang w:val="en-GB"/>
        </w:rPr>
        <w:t>, 2015,</w:t>
      </w:r>
    </w:p>
    <w:p w14:paraId="0C1CC1D4" w14:textId="0BB5D26A" w:rsidR="008A01F0" w:rsidRPr="00C96456" w:rsidRDefault="008A01F0" w:rsidP="00C96456">
      <w:pPr>
        <w:pStyle w:val="Akapitzlist"/>
        <w:numPr>
          <w:ilvl w:val="0"/>
          <w:numId w:val="11"/>
        </w:numPr>
        <w:spacing w:line="360" w:lineRule="auto"/>
        <w:ind w:left="360"/>
        <w:jc w:val="both"/>
        <w:rPr>
          <w:rFonts w:cs="Times New Roman"/>
          <w:szCs w:val="24"/>
          <w:lang w:val="en-GB"/>
        </w:rPr>
      </w:pPr>
      <w:r w:rsidRPr="00C96456">
        <w:rPr>
          <w:rFonts w:cs="Times New Roman"/>
          <w:szCs w:val="24"/>
          <w:lang w:val="en-GB"/>
        </w:rPr>
        <w:t>European Mortgage Federation,</w:t>
      </w:r>
      <w:r w:rsidR="006F454B">
        <w:rPr>
          <w:rFonts w:cs="Times New Roman"/>
          <w:szCs w:val="24"/>
          <w:lang w:val="en-GB"/>
        </w:rPr>
        <w:t xml:space="preserve"> </w:t>
      </w:r>
      <w:r w:rsidRPr="00C96456">
        <w:rPr>
          <w:rFonts w:cs="Times New Roman"/>
          <w:i/>
          <w:szCs w:val="24"/>
          <w:lang w:val="en-GB"/>
        </w:rPr>
        <w:t>A review of Europe’s mortgage and housing markets</w:t>
      </w:r>
      <w:r w:rsidRPr="00C96456">
        <w:rPr>
          <w:rFonts w:cs="Times New Roman"/>
          <w:szCs w:val="24"/>
          <w:lang w:val="en-GB"/>
        </w:rPr>
        <w:t>, 2017,</w:t>
      </w:r>
    </w:p>
    <w:p w14:paraId="464488E7" w14:textId="29C7DC3C" w:rsidR="008A01F0" w:rsidRPr="00C96456" w:rsidRDefault="008A01F0" w:rsidP="00C96456">
      <w:pPr>
        <w:pStyle w:val="Akapitzlist"/>
        <w:numPr>
          <w:ilvl w:val="0"/>
          <w:numId w:val="11"/>
        </w:numPr>
        <w:spacing w:line="360" w:lineRule="auto"/>
        <w:ind w:left="360"/>
        <w:jc w:val="both"/>
        <w:rPr>
          <w:rFonts w:cs="Times New Roman"/>
          <w:szCs w:val="24"/>
          <w:lang w:val="en-GB"/>
        </w:rPr>
      </w:pPr>
      <w:r w:rsidRPr="00C96456">
        <w:rPr>
          <w:rFonts w:cs="Times New Roman"/>
          <w:szCs w:val="24"/>
          <w:lang w:val="en-GB"/>
        </w:rPr>
        <w:t xml:space="preserve">Kolozsi P. P., Banai Á., Vonnák B., </w:t>
      </w:r>
      <w:r w:rsidRPr="00C96456">
        <w:rPr>
          <w:rFonts w:cs="Times New Roman"/>
          <w:i/>
          <w:szCs w:val="24"/>
          <w:lang w:val="en-GB"/>
        </w:rPr>
        <w:t>Phasing out household foreign currency loans: schedule and framework</w:t>
      </w:r>
      <w:r w:rsidRPr="00C96456">
        <w:rPr>
          <w:rFonts w:cs="Times New Roman"/>
          <w:szCs w:val="24"/>
          <w:lang w:val="en-GB"/>
        </w:rPr>
        <w:t>, 2015</w:t>
      </w:r>
      <w:r w:rsidR="00AF5681" w:rsidRPr="00C96456">
        <w:rPr>
          <w:rFonts w:cs="Times New Roman"/>
          <w:szCs w:val="24"/>
          <w:lang w:val="en-GB"/>
        </w:rPr>
        <w:t>,</w:t>
      </w:r>
    </w:p>
    <w:p w14:paraId="4E44EA2C" w14:textId="77777777" w:rsidR="008A01F0" w:rsidRPr="00C96456" w:rsidRDefault="008A01F0" w:rsidP="00C96456">
      <w:pPr>
        <w:pStyle w:val="Akapitzlist"/>
        <w:numPr>
          <w:ilvl w:val="0"/>
          <w:numId w:val="11"/>
        </w:numPr>
        <w:spacing w:line="360" w:lineRule="auto"/>
        <w:ind w:left="360"/>
        <w:jc w:val="both"/>
        <w:rPr>
          <w:szCs w:val="24"/>
        </w:rPr>
      </w:pPr>
      <w:r w:rsidRPr="00C96456">
        <w:rPr>
          <w:rFonts w:cs="Times New Roman"/>
          <w:szCs w:val="24"/>
        </w:rPr>
        <w:t xml:space="preserve">Komisja Nadzoru Finansowego, </w:t>
      </w:r>
      <w:r w:rsidRPr="00C96456">
        <w:rPr>
          <w:rFonts w:cs="Times New Roman"/>
          <w:i/>
          <w:szCs w:val="24"/>
        </w:rPr>
        <w:t>Ocena wpływu na sytuację sektora bankowego i polskiej gospodarki propozycji przewalutowania kredytów mieszkaniowych udzielonych w CHF na PLN według kursu z dnia udzielenia kredytu</w:t>
      </w:r>
      <w:r w:rsidRPr="00C96456">
        <w:rPr>
          <w:rFonts w:cs="Times New Roman"/>
          <w:szCs w:val="24"/>
        </w:rPr>
        <w:t>, Warszawa 2013,</w:t>
      </w:r>
    </w:p>
    <w:p w14:paraId="44D8752C" w14:textId="77777777" w:rsidR="008A01F0" w:rsidRPr="00C96456" w:rsidRDefault="008A01F0" w:rsidP="00C96456">
      <w:pPr>
        <w:pStyle w:val="Akapitzlist"/>
        <w:numPr>
          <w:ilvl w:val="0"/>
          <w:numId w:val="11"/>
        </w:numPr>
        <w:spacing w:line="360" w:lineRule="auto"/>
        <w:ind w:left="360"/>
        <w:jc w:val="both"/>
        <w:rPr>
          <w:rFonts w:cs="Times New Roman"/>
          <w:szCs w:val="24"/>
          <w:lang w:val="en-US"/>
        </w:rPr>
      </w:pPr>
      <w:r w:rsidRPr="00C96456">
        <w:rPr>
          <w:rFonts w:cs="Times New Roman"/>
          <w:szCs w:val="24"/>
          <w:lang w:val="en-US"/>
        </w:rPr>
        <w:t xml:space="preserve">Rodrik P., </w:t>
      </w:r>
      <w:r w:rsidRPr="00C96456">
        <w:rPr>
          <w:rFonts w:cs="Times New Roman"/>
          <w:i/>
          <w:szCs w:val="24"/>
          <w:lang w:val="en-US"/>
        </w:rPr>
        <w:t>The Impact of the Swiss Franc Loans Crisis on Croatian Households</w:t>
      </w:r>
      <w:r w:rsidRPr="00C96456">
        <w:rPr>
          <w:rFonts w:cs="Times New Roman"/>
          <w:szCs w:val="24"/>
          <w:lang w:val="en-US"/>
        </w:rPr>
        <w:t>, Zagreb 2015,</w:t>
      </w:r>
    </w:p>
    <w:p w14:paraId="3F13F4FF" w14:textId="77777777" w:rsidR="008A01F0" w:rsidRPr="00C96456" w:rsidRDefault="008A01F0" w:rsidP="00C96456">
      <w:pPr>
        <w:pStyle w:val="Akapitzlist"/>
        <w:numPr>
          <w:ilvl w:val="0"/>
          <w:numId w:val="11"/>
        </w:numPr>
        <w:spacing w:line="360" w:lineRule="auto"/>
        <w:ind w:left="360"/>
        <w:jc w:val="both"/>
        <w:rPr>
          <w:rFonts w:cs="Times New Roman"/>
          <w:szCs w:val="24"/>
        </w:rPr>
      </w:pPr>
      <w:r w:rsidRPr="00C96456">
        <w:rPr>
          <w:rFonts w:cs="Times New Roman"/>
          <w:szCs w:val="24"/>
        </w:rPr>
        <w:t xml:space="preserve">Związek Banków Polskich, </w:t>
      </w:r>
      <w:r w:rsidRPr="00C96456">
        <w:rPr>
          <w:rFonts w:cs="Times New Roman"/>
          <w:i/>
          <w:szCs w:val="24"/>
        </w:rPr>
        <w:t>Biała księga kredytów frankowych w Polsce</w:t>
      </w:r>
      <w:r w:rsidRPr="00C96456">
        <w:rPr>
          <w:rFonts w:cs="Times New Roman"/>
          <w:szCs w:val="24"/>
        </w:rPr>
        <w:t>, Warszawa, 2015.</w:t>
      </w:r>
    </w:p>
    <w:p w14:paraId="24DC2CF5" w14:textId="2DB57D09" w:rsidR="000656B8" w:rsidRPr="002A7717" w:rsidRDefault="000656B8" w:rsidP="00CC60BA">
      <w:pPr>
        <w:jc w:val="both"/>
      </w:pPr>
    </w:p>
    <w:p w14:paraId="268A876E" w14:textId="05A5B3E0" w:rsidR="000656B8" w:rsidRDefault="00CC60BA" w:rsidP="00CC60BA">
      <w:pPr>
        <w:pStyle w:val="Nagwek2"/>
        <w:spacing w:line="360" w:lineRule="auto"/>
        <w:jc w:val="both"/>
      </w:pPr>
      <w:bookmarkStart w:id="40" w:name="_Toc513545769"/>
      <w:r>
        <w:t>III</w:t>
      </w:r>
      <w:r w:rsidR="000656B8">
        <w:t xml:space="preserve">. </w:t>
      </w:r>
      <w:r>
        <w:t>Akty prawne.</w:t>
      </w:r>
      <w:bookmarkEnd w:id="40"/>
    </w:p>
    <w:p w14:paraId="2D0F3EE4" w14:textId="39E5B311" w:rsidR="004C2F3C" w:rsidRPr="006822F3" w:rsidRDefault="004C2F3C" w:rsidP="00785474">
      <w:pPr>
        <w:pStyle w:val="Tekstprzypisudolnego"/>
        <w:numPr>
          <w:ilvl w:val="0"/>
          <w:numId w:val="12"/>
        </w:numPr>
        <w:spacing w:line="360" w:lineRule="auto"/>
        <w:ind w:left="360"/>
        <w:contextualSpacing/>
        <w:jc w:val="both"/>
        <w:rPr>
          <w:rFonts w:cs="Times New Roman"/>
          <w:sz w:val="24"/>
          <w:szCs w:val="24"/>
        </w:rPr>
      </w:pPr>
      <w:r w:rsidRPr="006822F3">
        <w:rPr>
          <w:rFonts w:cs="Times New Roman"/>
          <w:sz w:val="24"/>
          <w:szCs w:val="24"/>
        </w:rPr>
        <w:t xml:space="preserve">Ustawa </w:t>
      </w:r>
      <w:r w:rsidRPr="006822F3">
        <w:rPr>
          <w:rFonts w:cs="Times New Roman"/>
          <w:i/>
          <w:sz w:val="24"/>
          <w:szCs w:val="24"/>
        </w:rPr>
        <w:t>Prawo bankowe z dn. 29.08.1997 r.</w:t>
      </w:r>
      <w:r w:rsidRPr="006822F3">
        <w:rPr>
          <w:rFonts w:cs="Times New Roman"/>
          <w:sz w:val="24"/>
          <w:szCs w:val="24"/>
        </w:rPr>
        <w:t xml:space="preserve"> art. 5 tj. Dz.U. 1997 nr 140 poz. 939 </w:t>
      </w:r>
      <w:r w:rsidR="00D75B06" w:rsidRPr="006822F3">
        <w:rPr>
          <w:rFonts w:cs="Times New Roman"/>
          <w:sz w:val="24"/>
          <w:szCs w:val="24"/>
        </w:rPr>
        <w:t xml:space="preserve">z </w:t>
      </w:r>
      <w:r w:rsidR="00244E4A" w:rsidRPr="006822F3">
        <w:rPr>
          <w:rFonts w:cs="Times New Roman"/>
          <w:sz w:val="24"/>
          <w:szCs w:val="24"/>
        </w:rPr>
        <w:t>późn. zm.</w:t>
      </w:r>
      <w:r w:rsidR="00D75B06" w:rsidRPr="006822F3">
        <w:rPr>
          <w:rFonts w:cs="Times New Roman"/>
          <w:sz w:val="24"/>
          <w:szCs w:val="24"/>
        </w:rPr>
        <w:t>,</w:t>
      </w:r>
    </w:p>
    <w:p w14:paraId="1FF9BE84" w14:textId="77777777" w:rsidR="006822F3" w:rsidRPr="00785474" w:rsidRDefault="004C2F3C" w:rsidP="00785474">
      <w:pPr>
        <w:pStyle w:val="Akapitzlist"/>
        <w:numPr>
          <w:ilvl w:val="0"/>
          <w:numId w:val="12"/>
        </w:numPr>
        <w:spacing w:line="360" w:lineRule="auto"/>
        <w:ind w:left="360"/>
        <w:jc w:val="both"/>
        <w:rPr>
          <w:rFonts w:cs="Times New Roman"/>
          <w:szCs w:val="24"/>
        </w:rPr>
      </w:pPr>
      <w:r w:rsidRPr="00785474">
        <w:rPr>
          <w:rFonts w:cs="Times New Roman"/>
          <w:szCs w:val="24"/>
        </w:rPr>
        <w:t xml:space="preserve">Ustawa </w:t>
      </w:r>
      <w:r w:rsidRPr="00785474">
        <w:rPr>
          <w:rFonts w:cs="Times New Roman"/>
          <w:i/>
          <w:szCs w:val="24"/>
        </w:rPr>
        <w:t xml:space="preserve">Prawo Dewizowe z dn. 27.02.2002 r. </w:t>
      </w:r>
      <w:r w:rsidRPr="00785474">
        <w:rPr>
          <w:rFonts w:cs="Times New Roman"/>
          <w:szCs w:val="24"/>
        </w:rPr>
        <w:t>art. 2 t</w:t>
      </w:r>
      <w:r w:rsidR="00244E4A" w:rsidRPr="00785474">
        <w:rPr>
          <w:rFonts w:cs="Times New Roman"/>
          <w:szCs w:val="24"/>
        </w:rPr>
        <w:t xml:space="preserve">j. Dz.U. 2017 poz. 679 </w:t>
      </w:r>
      <w:r w:rsidR="00D75B06" w:rsidRPr="00785474">
        <w:rPr>
          <w:rFonts w:cs="Times New Roman"/>
          <w:szCs w:val="24"/>
        </w:rPr>
        <w:t xml:space="preserve">z </w:t>
      </w:r>
      <w:r w:rsidR="00244E4A" w:rsidRPr="00785474">
        <w:rPr>
          <w:rFonts w:cs="Times New Roman"/>
          <w:szCs w:val="24"/>
        </w:rPr>
        <w:t>późn. zm.</w:t>
      </w:r>
      <w:r w:rsidR="00D75B06" w:rsidRPr="00785474">
        <w:rPr>
          <w:rFonts w:cs="Times New Roman"/>
          <w:szCs w:val="24"/>
        </w:rPr>
        <w:t>,</w:t>
      </w:r>
    </w:p>
    <w:p w14:paraId="148451DA" w14:textId="77777777" w:rsidR="006822F3" w:rsidRPr="00785474" w:rsidRDefault="00B95A01" w:rsidP="00785474">
      <w:pPr>
        <w:pStyle w:val="Akapitzlist"/>
        <w:numPr>
          <w:ilvl w:val="0"/>
          <w:numId w:val="12"/>
        </w:numPr>
        <w:spacing w:line="360" w:lineRule="auto"/>
        <w:ind w:left="360"/>
        <w:jc w:val="both"/>
        <w:rPr>
          <w:rFonts w:cs="Times New Roman"/>
          <w:szCs w:val="24"/>
        </w:rPr>
      </w:pPr>
      <w:r w:rsidRPr="00785474">
        <w:rPr>
          <w:rFonts w:cs="Times New Roman"/>
          <w:szCs w:val="24"/>
        </w:rPr>
        <w:t xml:space="preserve">Komisja Nadzoru Bankowego, </w:t>
      </w:r>
      <w:r w:rsidRPr="00785474">
        <w:rPr>
          <w:rFonts w:cs="Times New Roman"/>
          <w:i/>
          <w:szCs w:val="24"/>
        </w:rPr>
        <w:t>Rekomendacja S dotycząca dobrych praktyk w zakresie ekspozycji kredytowych zabezpieczonych hipotecznie</w:t>
      </w:r>
      <w:r w:rsidRPr="00785474">
        <w:rPr>
          <w:rFonts w:cs="Times New Roman"/>
          <w:szCs w:val="24"/>
        </w:rPr>
        <w:t>, Warszawa, 2006,</w:t>
      </w:r>
    </w:p>
    <w:p w14:paraId="39C8ABDB" w14:textId="77777777" w:rsidR="006822F3" w:rsidRPr="00785474" w:rsidRDefault="00B95A01" w:rsidP="00785474">
      <w:pPr>
        <w:pStyle w:val="Akapitzlist"/>
        <w:numPr>
          <w:ilvl w:val="0"/>
          <w:numId w:val="12"/>
        </w:numPr>
        <w:spacing w:line="360" w:lineRule="auto"/>
        <w:ind w:left="360"/>
        <w:jc w:val="both"/>
        <w:rPr>
          <w:rFonts w:cs="Times New Roman"/>
          <w:szCs w:val="24"/>
        </w:rPr>
      </w:pPr>
      <w:r w:rsidRPr="00785474">
        <w:rPr>
          <w:rFonts w:cs="Times New Roman"/>
          <w:szCs w:val="24"/>
        </w:rPr>
        <w:t xml:space="preserve">Komisja Nadzoru Finansowego, </w:t>
      </w:r>
      <w:r w:rsidRPr="00785474">
        <w:rPr>
          <w:rFonts w:cs="Times New Roman"/>
          <w:i/>
          <w:szCs w:val="24"/>
        </w:rPr>
        <w:t xml:space="preserve">Rekomendacja S (II) dotycząca dobrych praktyk w zakresie ekspozycji kredytowych zabezpieczonych hipoteczni, </w:t>
      </w:r>
      <w:r w:rsidRPr="00785474">
        <w:rPr>
          <w:rFonts w:cs="Times New Roman"/>
          <w:szCs w:val="24"/>
        </w:rPr>
        <w:t>Warszawa, 2008,</w:t>
      </w:r>
    </w:p>
    <w:p w14:paraId="53F16C86" w14:textId="77777777" w:rsidR="006822F3" w:rsidRPr="00785474" w:rsidRDefault="00B95A01" w:rsidP="00785474">
      <w:pPr>
        <w:pStyle w:val="Akapitzlist"/>
        <w:numPr>
          <w:ilvl w:val="0"/>
          <w:numId w:val="12"/>
        </w:numPr>
        <w:spacing w:line="360" w:lineRule="auto"/>
        <w:ind w:left="360"/>
        <w:jc w:val="both"/>
        <w:rPr>
          <w:rFonts w:cs="Times New Roman"/>
          <w:szCs w:val="24"/>
        </w:rPr>
      </w:pPr>
      <w:r w:rsidRPr="00785474">
        <w:rPr>
          <w:rFonts w:cs="Times New Roman"/>
          <w:szCs w:val="24"/>
        </w:rPr>
        <w:lastRenderedPageBreak/>
        <w:t>Komisja Nadzoru Finansowego,</w:t>
      </w:r>
      <w:r w:rsidRPr="00785474">
        <w:rPr>
          <w:rFonts w:cs="Times New Roman"/>
          <w:i/>
          <w:szCs w:val="24"/>
        </w:rPr>
        <w:t xml:space="preserve"> Rekomendacja T dotycząca dobrych praktyk w zakresie zarządzania ryzykiem detalicznych ekspozycji kredytowych, </w:t>
      </w:r>
      <w:r w:rsidRPr="00785474">
        <w:rPr>
          <w:rFonts w:cs="Times New Roman"/>
          <w:szCs w:val="24"/>
        </w:rPr>
        <w:t>Warszawa, 2010,</w:t>
      </w:r>
    </w:p>
    <w:p w14:paraId="1DF84923" w14:textId="77777777" w:rsidR="006822F3" w:rsidRPr="00785474" w:rsidRDefault="00B95A01" w:rsidP="00785474">
      <w:pPr>
        <w:pStyle w:val="Akapitzlist"/>
        <w:numPr>
          <w:ilvl w:val="0"/>
          <w:numId w:val="12"/>
        </w:numPr>
        <w:spacing w:line="360" w:lineRule="auto"/>
        <w:ind w:left="360"/>
        <w:jc w:val="both"/>
        <w:rPr>
          <w:rFonts w:cs="Times New Roman"/>
          <w:szCs w:val="24"/>
        </w:rPr>
      </w:pPr>
      <w:r w:rsidRPr="00785474">
        <w:rPr>
          <w:rFonts w:cs="Times New Roman"/>
          <w:szCs w:val="24"/>
        </w:rPr>
        <w:t xml:space="preserve">Komisja Nadzoru Finansowego, </w:t>
      </w:r>
      <w:r w:rsidRPr="00785474">
        <w:rPr>
          <w:rFonts w:cs="Times New Roman"/>
          <w:i/>
          <w:szCs w:val="24"/>
        </w:rPr>
        <w:t>Rekomendacja S (III) dotycząca dobrych praktyk w zakresie zarządzania ekspozycjami kredytowymi finansującymi nieruchomości oraz zabezpieczonymi hipoteczni</w:t>
      </w:r>
      <w:r w:rsidR="00BC2A73" w:rsidRPr="00785474">
        <w:rPr>
          <w:rFonts w:cs="Times New Roman"/>
          <w:szCs w:val="24"/>
        </w:rPr>
        <w:t>, Warszawa, 2011,</w:t>
      </w:r>
    </w:p>
    <w:p w14:paraId="591B05F7" w14:textId="77777777" w:rsidR="006822F3" w:rsidRPr="00785474" w:rsidRDefault="00B95A01" w:rsidP="00785474">
      <w:pPr>
        <w:pStyle w:val="Akapitzlist"/>
        <w:numPr>
          <w:ilvl w:val="0"/>
          <w:numId w:val="12"/>
        </w:numPr>
        <w:spacing w:line="360" w:lineRule="auto"/>
        <w:ind w:left="360"/>
        <w:jc w:val="both"/>
        <w:rPr>
          <w:rFonts w:cs="Times New Roman"/>
          <w:szCs w:val="24"/>
        </w:rPr>
      </w:pPr>
      <w:r w:rsidRPr="00785474">
        <w:rPr>
          <w:rFonts w:cs="Times New Roman"/>
          <w:szCs w:val="24"/>
        </w:rPr>
        <w:t xml:space="preserve">Komisja Nadzoru Finansowego, </w:t>
      </w:r>
      <w:r w:rsidRPr="00785474">
        <w:rPr>
          <w:rFonts w:cs="Times New Roman"/>
          <w:i/>
          <w:szCs w:val="24"/>
        </w:rPr>
        <w:t>Rekomendacja S dotycząca dobrych praktyk w zakresie zarządzania ekspozycjami kredytowymi zabezpieczonymi hipotecznie</w:t>
      </w:r>
      <w:r w:rsidR="00BC2A73" w:rsidRPr="00785474">
        <w:rPr>
          <w:rFonts w:cs="Times New Roman"/>
          <w:szCs w:val="24"/>
        </w:rPr>
        <w:t>, Warszawa, 2013,</w:t>
      </w:r>
    </w:p>
    <w:p w14:paraId="69574B84" w14:textId="77777777" w:rsidR="006822F3" w:rsidRPr="00785474" w:rsidRDefault="001E6E06" w:rsidP="00785474">
      <w:pPr>
        <w:pStyle w:val="Akapitzlist"/>
        <w:numPr>
          <w:ilvl w:val="0"/>
          <w:numId w:val="12"/>
        </w:numPr>
        <w:spacing w:line="360" w:lineRule="auto"/>
        <w:ind w:left="360"/>
        <w:jc w:val="both"/>
        <w:rPr>
          <w:rFonts w:cs="Times New Roman"/>
          <w:szCs w:val="24"/>
        </w:rPr>
      </w:pPr>
      <w:r w:rsidRPr="00785474">
        <w:rPr>
          <w:rFonts w:cs="Times New Roman"/>
          <w:szCs w:val="24"/>
        </w:rPr>
        <w:t xml:space="preserve">Europejska Rada ds. Ryzyka Systemowego, </w:t>
      </w:r>
      <w:r w:rsidRPr="00785474">
        <w:rPr>
          <w:rFonts w:cs="Times New Roman"/>
          <w:i/>
          <w:szCs w:val="24"/>
        </w:rPr>
        <w:t>Zalecenie z dnia 21 września 2011 r. dotyczące kredytów w walutach obcych</w:t>
      </w:r>
      <w:r w:rsidRPr="00785474">
        <w:rPr>
          <w:rFonts w:cs="Times New Roman"/>
          <w:szCs w:val="24"/>
        </w:rPr>
        <w:t>, 2011,</w:t>
      </w:r>
    </w:p>
    <w:p w14:paraId="53338EB8" w14:textId="77777777" w:rsidR="006822F3" w:rsidRPr="00785474" w:rsidRDefault="00D75B06" w:rsidP="00785474">
      <w:pPr>
        <w:pStyle w:val="Akapitzlist"/>
        <w:numPr>
          <w:ilvl w:val="0"/>
          <w:numId w:val="12"/>
        </w:numPr>
        <w:spacing w:line="360" w:lineRule="auto"/>
        <w:ind w:left="360"/>
        <w:jc w:val="both"/>
        <w:rPr>
          <w:rFonts w:cs="Times New Roman"/>
          <w:szCs w:val="24"/>
        </w:rPr>
      </w:pPr>
      <w:r w:rsidRPr="00785474">
        <w:rPr>
          <w:rFonts w:cs="Times New Roman"/>
          <w:i/>
          <w:szCs w:val="24"/>
        </w:rPr>
        <w:t>Ustawa o wsparciu kredytobiorców znajdujących się w trudnej sytuacji finansowej, którzy zaciągnęli kredyt mieszkaniowy z dn. 9 października 2015 r</w:t>
      </w:r>
      <w:r w:rsidRPr="00785474">
        <w:rPr>
          <w:rFonts w:cs="Times New Roman"/>
          <w:szCs w:val="24"/>
        </w:rPr>
        <w:t>. art. 3-8, 14-20, Dz.U. 2015 poz. 1925. z późn. zm.,</w:t>
      </w:r>
    </w:p>
    <w:p w14:paraId="08BA1C69" w14:textId="77777777" w:rsidR="006822F3" w:rsidRPr="00785474" w:rsidRDefault="00E679F2" w:rsidP="00785474">
      <w:pPr>
        <w:pStyle w:val="Akapitzlist"/>
        <w:numPr>
          <w:ilvl w:val="0"/>
          <w:numId w:val="12"/>
        </w:numPr>
        <w:spacing w:line="360" w:lineRule="auto"/>
        <w:ind w:left="360"/>
        <w:jc w:val="both"/>
        <w:rPr>
          <w:rFonts w:cs="Times New Roman"/>
          <w:szCs w:val="24"/>
        </w:rPr>
      </w:pPr>
      <w:r w:rsidRPr="00785474">
        <w:rPr>
          <w:rFonts w:cs="Times New Roman"/>
          <w:szCs w:val="24"/>
        </w:rPr>
        <w:t>Wyrok Trybunału Sprawiedliwości Unii Europejskiej z dnia 20.09.2017 r. w sprawie C-186/16.</w:t>
      </w:r>
      <w:r w:rsidR="006822F3" w:rsidRPr="00785474">
        <w:rPr>
          <w:rFonts w:cs="Times New Roman"/>
          <w:szCs w:val="24"/>
        </w:rPr>
        <w:t>,</w:t>
      </w:r>
    </w:p>
    <w:p w14:paraId="58A5FD6A" w14:textId="77777777" w:rsidR="003E14CD" w:rsidRPr="00785474" w:rsidRDefault="00314EF6" w:rsidP="00785474">
      <w:pPr>
        <w:pStyle w:val="Akapitzlist"/>
        <w:numPr>
          <w:ilvl w:val="0"/>
          <w:numId w:val="12"/>
        </w:numPr>
        <w:spacing w:line="360" w:lineRule="auto"/>
        <w:ind w:left="360"/>
        <w:jc w:val="both"/>
        <w:rPr>
          <w:rFonts w:cs="Times New Roman"/>
          <w:szCs w:val="24"/>
        </w:rPr>
      </w:pPr>
      <w:r w:rsidRPr="00785474">
        <w:rPr>
          <w:rFonts w:cs="Times New Roman"/>
          <w:i/>
          <w:szCs w:val="24"/>
        </w:rPr>
        <w:t>Ustawa o szczególnych zasadach restrukturyzacji walutowych kredytów mieszkaniowych w związku ze zmianą kursu walut obcych do waluty polskiej, z dn 5.08.2015 r.</w:t>
      </w:r>
      <w:r w:rsidRPr="00785474">
        <w:rPr>
          <w:rFonts w:cs="Times New Roman"/>
          <w:szCs w:val="24"/>
        </w:rPr>
        <w:t>, art. 2-5. z późń. zm.</w:t>
      </w:r>
      <w:r w:rsidR="006822F3" w:rsidRPr="00785474">
        <w:rPr>
          <w:rFonts w:cs="Times New Roman"/>
          <w:szCs w:val="24"/>
        </w:rPr>
        <w:t>,</w:t>
      </w:r>
      <w:r w:rsidRPr="00785474">
        <w:rPr>
          <w:rFonts w:cs="Times New Roman"/>
          <w:szCs w:val="24"/>
        </w:rPr>
        <w:t xml:space="preserve"> </w:t>
      </w:r>
    </w:p>
    <w:p w14:paraId="32A755D2" w14:textId="25D367DD" w:rsidR="00B055B9" w:rsidRPr="00785474" w:rsidRDefault="00B055B9" w:rsidP="00785474">
      <w:pPr>
        <w:pStyle w:val="Akapitzlist"/>
        <w:numPr>
          <w:ilvl w:val="0"/>
          <w:numId w:val="12"/>
        </w:numPr>
        <w:spacing w:line="360" w:lineRule="auto"/>
        <w:ind w:left="360"/>
        <w:jc w:val="both"/>
        <w:rPr>
          <w:rFonts w:cs="Times New Roman"/>
          <w:szCs w:val="24"/>
        </w:rPr>
      </w:pPr>
      <w:r w:rsidRPr="00785474">
        <w:rPr>
          <w:rFonts w:cs="Times New Roman"/>
          <w:i/>
          <w:szCs w:val="24"/>
        </w:rPr>
        <w:t>Uchwała Senatu Rzeczpospolitej Polskiej z dnia 4 września 2015 r. w sprawie ustawy o szczególnych zasadach restrukturyzacji walutowych kredytów mieszkaniowych w związku ze zmianą kursu walut obcych do waluty polskiej</w:t>
      </w:r>
      <w:r w:rsidR="003E14CD" w:rsidRPr="00785474">
        <w:rPr>
          <w:rFonts w:cs="Times New Roman"/>
          <w:szCs w:val="24"/>
        </w:rPr>
        <w:t>,</w:t>
      </w:r>
    </w:p>
    <w:p w14:paraId="67D30B63" w14:textId="77777777" w:rsidR="003E14CD" w:rsidRPr="00785474" w:rsidRDefault="00F82C2D" w:rsidP="00785474">
      <w:pPr>
        <w:pStyle w:val="Akapitzlist"/>
        <w:numPr>
          <w:ilvl w:val="0"/>
          <w:numId w:val="12"/>
        </w:numPr>
        <w:spacing w:line="360" w:lineRule="auto"/>
        <w:ind w:left="360"/>
        <w:jc w:val="both"/>
        <w:rPr>
          <w:szCs w:val="24"/>
        </w:rPr>
      </w:pPr>
      <w:r w:rsidRPr="00785474">
        <w:rPr>
          <w:i/>
          <w:szCs w:val="24"/>
        </w:rPr>
        <w:t>Projekt ustawy o zasadach zwrotu niektórych należności wynikających z umów kredytu i pożyczki z dn. 1.08.2016 r.</w:t>
      </w:r>
      <w:r w:rsidR="0011238D" w:rsidRPr="00785474">
        <w:rPr>
          <w:szCs w:val="24"/>
        </w:rPr>
        <w:t>,</w:t>
      </w:r>
    </w:p>
    <w:p w14:paraId="62D4B303" w14:textId="2668CB94" w:rsidR="0011238D" w:rsidRPr="00785474" w:rsidRDefault="0011238D" w:rsidP="00785474">
      <w:pPr>
        <w:pStyle w:val="Akapitzlist"/>
        <w:numPr>
          <w:ilvl w:val="0"/>
          <w:numId w:val="12"/>
        </w:numPr>
        <w:spacing w:line="360" w:lineRule="auto"/>
        <w:ind w:left="360"/>
        <w:jc w:val="both"/>
        <w:rPr>
          <w:szCs w:val="24"/>
        </w:rPr>
      </w:pPr>
      <w:r w:rsidRPr="00785474">
        <w:rPr>
          <w:i/>
          <w:szCs w:val="24"/>
        </w:rPr>
        <w:t>Uzasadnienie Projektu ustawy o zasadach zwrotu niektórych należności wynikających z umów kredytu i pożyczki z dn. 1.08.2016 r.</w:t>
      </w:r>
    </w:p>
    <w:p w14:paraId="27CF8B2B" w14:textId="77777777" w:rsidR="00B95A01" w:rsidRPr="00244E4A" w:rsidRDefault="00B95A01" w:rsidP="00244E4A">
      <w:pPr>
        <w:spacing w:line="360" w:lineRule="auto"/>
        <w:jc w:val="both"/>
        <w:rPr>
          <w:szCs w:val="24"/>
        </w:rPr>
      </w:pPr>
    </w:p>
    <w:p w14:paraId="0C227D4D" w14:textId="216D5E62" w:rsidR="000656B8" w:rsidRDefault="00CC60BA" w:rsidP="00CC60BA">
      <w:pPr>
        <w:pStyle w:val="Nagwek2"/>
        <w:spacing w:line="360" w:lineRule="auto"/>
        <w:jc w:val="both"/>
      </w:pPr>
      <w:bookmarkStart w:id="41" w:name="_Toc513545770"/>
      <w:r>
        <w:t>IV</w:t>
      </w:r>
      <w:r w:rsidR="000656B8">
        <w:t xml:space="preserve">. </w:t>
      </w:r>
      <w:r>
        <w:t>Strony internetowe.</w:t>
      </w:r>
      <w:bookmarkEnd w:id="41"/>
    </w:p>
    <w:p w14:paraId="0552F8D8" w14:textId="77777777" w:rsidR="006048F7" w:rsidRPr="00785474" w:rsidRDefault="007C5526" w:rsidP="00785474">
      <w:pPr>
        <w:pStyle w:val="Akapitzlist"/>
        <w:numPr>
          <w:ilvl w:val="0"/>
          <w:numId w:val="13"/>
        </w:numPr>
        <w:spacing w:line="360" w:lineRule="auto"/>
        <w:ind w:left="360"/>
        <w:jc w:val="both"/>
        <w:rPr>
          <w:rFonts w:cs="Times New Roman"/>
          <w:szCs w:val="24"/>
        </w:rPr>
      </w:pPr>
      <w:r w:rsidRPr="00785474">
        <w:rPr>
          <w:rFonts w:cs="Times New Roman"/>
          <w:szCs w:val="24"/>
        </w:rPr>
        <w:t>www.finansopedia.forsal.pl/encyklopedia/bankowosc/hasla/912753,kredyt-indeksowany-w-walucie-obcej.html (data odsłony 30.12.2017 r.),</w:t>
      </w:r>
    </w:p>
    <w:p w14:paraId="2189CFCA" w14:textId="77777777" w:rsidR="006048F7" w:rsidRPr="00785474" w:rsidRDefault="007C5526" w:rsidP="00785474">
      <w:pPr>
        <w:pStyle w:val="Akapitzlist"/>
        <w:numPr>
          <w:ilvl w:val="0"/>
          <w:numId w:val="13"/>
        </w:numPr>
        <w:spacing w:line="360" w:lineRule="auto"/>
        <w:ind w:left="360"/>
        <w:jc w:val="both"/>
        <w:rPr>
          <w:rFonts w:cs="Times New Roman"/>
          <w:szCs w:val="24"/>
        </w:rPr>
      </w:pPr>
      <w:r w:rsidRPr="00785474">
        <w:rPr>
          <w:rFonts w:cs="Times New Roman"/>
          <w:szCs w:val="24"/>
        </w:rPr>
        <w:t xml:space="preserve">www.finansopedia.forsal.pl/encyklopedia/bankowosc/hasla/912936,kredyt-denominowany-w-walucie-obcej.html (data odsłony 30.12.2017 r.), </w:t>
      </w:r>
    </w:p>
    <w:p w14:paraId="44C76519" w14:textId="77777777" w:rsidR="006048F7" w:rsidRPr="00785474" w:rsidRDefault="00AE0FEB" w:rsidP="00785474">
      <w:pPr>
        <w:pStyle w:val="Akapitzlist"/>
        <w:numPr>
          <w:ilvl w:val="0"/>
          <w:numId w:val="13"/>
        </w:numPr>
        <w:spacing w:line="360" w:lineRule="auto"/>
        <w:ind w:left="360"/>
        <w:jc w:val="both"/>
        <w:rPr>
          <w:rFonts w:cs="Times New Roman"/>
          <w:szCs w:val="24"/>
        </w:rPr>
      </w:pPr>
      <w:r w:rsidRPr="00785474">
        <w:rPr>
          <w:rFonts w:cs="Times New Roman"/>
          <w:szCs w:val="24"/>
        </w:rPr>
        <w:t>www.nbportal.pl/slownik/pozycje-slownika/ryzyko-walutowe (data odsłony 17.02.2018 r.),</w:t>
      </w:r>
    </w:p>
    <w:p w14:paraId="78D3DC89" w14:textId="77777777" w:rsidR="006048F7" w:rsidRPr="00785474" w:rsidRDefault="00AE0FEB" w:rsidP="00785474">
      <w:pPr>
        <w:pStyle w:val="Akapitzlist"/>
        <w:numPr>
          <w:ilvl w:val="0"/>
          <w:numId w:val="13"/>
        </w:numPr>
        <w:spacing w:line="360" w:lineRule="auto"/>
        <w:ind w:left="360"/>
        <w:jc w:val="both"/>
        <w:rPr>
          <w:rFonts w:cs="Times New Roman"/>
          <w:szCs w:val="24"/>
        </w:rPr>
      </w:pPr>
      <w:r w:rsidRPr="00785474">
        <w:rPr>
          <w:rFonts w:cs="Times New Roman"/>
          <w:szCs w:val="24"/>
        </w:rPr>
        <w:lastRenderedPageBreak/>
        <w:t>www.wyborcza.pl/1,75248,1515032.html?disableRedirects=true (data odsłony 17.02.2018 r.),</w:t>
      </w:r>
    </w:p>
    <w:p w14:paraId="7C945C07" w14:textId="77777777" w:rsidR="006048F7" w:rsidRPr="00785474" w:rsidRDefault="00AE0FEB" w:rsidP="00785474">
      <w:pPr>
        <w:pStyle w:val="Akapitzlist"/>
        <w:numPr>
          <w:ilvl w:val="0"/>
          <w:numId w:val="13"/>
        </w:numPr>
        <w:spacing w:line="360" w:lineRule="auto"/>
        <w:ind w:left="360"/>
        <w:jc w:val="both"/>
        <w:rPr>
          <w:rFonts w:cs="Times New Roman"/>
          <w:szCs w:val="24"/>
        </w:rPr>
      </w:pPr>
      <w:r w:rsidRPr="00785474">
        <w:rPr>
          <w:rFonts w:cs="Times New Roman"/>
          <w:szCs w:val="24"/>
        </w:rPr>
        <w:t>www.nbp.pl/Konferencje/droga_do_euro/bratkowski_rostowski_pl.pdf (data odsłony 17.02.2018 r.),</w:t>
      </w:r>
    </w:p>
    <w:p w14:paraId="01058B3B" w14:textId="77777777" w:rsidR="006048F7" w:rsidRPr="00785474" w:rsidRDefault="00AE0FEB" w:rsidP="00785474">
      <w:pPr>
        <w:pStyle w:val="Akapitzlist"/>
        <w:numPr>
          <w:ilvl w:val="0"/>
          <w:numId w:val="13"/>
        </w:numPr>
        <w:spacing w:line="360" w:lineRule="auto"/>
        <w:ind w:left="360"/>
        <w:jc w:val="both"/>
        <w:rPr>
          <w:rFonts w:cs="Times New Roman"/>
          <w:szCs w:val="24"/>
        </w:rPr>
      </w:pPr>
      <w:r w:rsidRPr="00785474">
        <w:rPr>
          <w:rFonts w:cs="Times New Roman"/>
          <w:szCs w:val="24"/>
        </w:rPr>
        <w:t>www.nbp.pl/home.aspx?f=/dzienne/stopy_archiwum.htm (data odsłony 17.02.2018 r.),</w:t>
      </w:r>
    </w:p>
    <w:p w14:paraId="3610D922" w14:textId="28F9B11D" w:rsidR="00453409" w:rsidRDefault="00453409" w:rsidP="00785474">
      <w:pPr>
        <w:pStyle w:val="Akapitzlist"/>
        <w:numPr>
          <w:ilvl w:val="0"/>
          <w:numId w:val="13"/>
        </w:numPr>
        <w:spacing w:line="360" w:lineRule="auto"/>
        <w:ind w:left="360"/>
        <w:jc w:val="both"/>
        <w:rPr>
          <w:rFonts w:cs="Times New Roman"/>
          <w:szCs w:val="24"/>
        </w:rPr>
      </w:pPr>
      <w:r w:rsidRPr="00453409">
        <w:rPr>
          <w:rFonts w:cs="Times New Roman"/>
          <w:szCs w:val="24"/>
        </w:rPr>
        <w:t>www.stooq.pl</w:t>
      </w:r>
      <w:r>
        <w:rPr>
          <w:rFonts w:cs="Times New Roman"/>
          <w:szCs w:val="24"/>
        </w:rPr>
        <w:t xml:space="preserve"> </w:t>
      </w:r>
      <w:r>
        <w:rPr>
          <w:rFonts w:eastAsia="Times New Roman" w:cs="Times New Roman"/>
          <w:szCs w:val="24"/>
          <w:lang w:eastAsia="pl-PL"/>
        </w:rPr>
        <w:t>(data</w:t>
      </w:r>
      <w:r w:rsidRPr="00785474">
        <w:rPr>
          <w:rFonts w:eastAsia="Times New Roman" w:cs="Times New Roman"/>
          <w:szCs w:val="24"/>
          <w:lang w:eastAsia="pl-PL"/>
        </w:rPr>
        <w:t xml:space="preserve"> odsłon</w:t>
      </w:r>
      <w:r>
        <w:rPr>
          <w:rFonts w:eastAsia="Times New Roman" w:cs="Times New Roman"/>
          <w:szCs w:val="24"/>
          <w:lang w:eastAsia="pl-PL"/>
        </w:rPr>
        <w:t>y</w:t>
      </w:r>
      <w:r w:rsidRPr="00785474">
        <w:rPr>
          <w:rFonts w:eastAsia="Times New Roman" w:cs="Times New Roman"/>
          <w:szCs w:val="24"/>
          <w:lang w:eastAsia="pl-PL"/>
        </w:rPr>
        <w:t xml:space="preserve"> 17.02.2018 r.),</w:t>
      </w:r>
      <w:r w:rsidR="00D17A33" w:rsidRPr="00785474">
        <w:rPr>
          <w:rFonts w:cs="Times New Roman"/>
          <w:szCs w:val="24"/>
        </w:rPr>
        <w:t xml:space="preserve"> </w:t>
      </w:r>
    </w:p>
    <w:p w14:paraId="0968E4CF" w14:textId="3F66CBE9" w:rsidR="00AE0FEB" w:rsidRPr="00785474" w:rsidRDefault="00D17A33" w:rsidP="00785474">
      <w:pPr>
        <w:pStyle w:val="Akapitzlist"/>
        <w:numPr>
          <w:ilvl w:val="0"/>
          <w:numId w:val="13"/>
        </w:numPr>
        <w:spacing w:line="360" w:lineRule="auto"/>
        <w:ind w:left="360"/>
        <w:jc w:val="both"/>
        <w:rPr>
          <w:rFonts w:cs="Times New Roman"/>
          <w:szCs w:val="24"/>
        </w:rPr>
      </w:pPr>
      <w:r w:rsidRPr="00785474">
        <w:rPr>
          <w:rFonts w:eastAsia="Times New Roman" w:cs="Times New Roman"/>
          <w:szCs w:val="24"/>
          <w:lang w:eastAsia="pl-PL"/>
        </w:rPr>
        <w:t>www.global-rate</w:t>
      </w:r>
      <w:r w:rsidR="00453409">
        <w:rPr>
          <w:rFonts w:eastAsia="Times New Roman" w:cs="Times New Roman"/>
          <w:szCs w:val="24"/>
          <w:lang w:eastAsia="pl-PL"/>
        </w:rPr>
        <w:t>s.com/interest-rates/libor (data</w:t>
      </w:r>
      <w:r w:rsidRPr="00785474">
        <w:rPr>
          <w:rFonts w:eastAsia="Times New Roman" w:cs="Times New Roman"/>
          <w:szCs w:val="24"/>
          <w:lang w:eastAsia="pl-PL"/>
        </w:rPr>
        <w:t xml:space="preserve"> odsłon</w:t>
      </w:r>
      <w:r w:rsidR="00453409">
        <w:rPr>
          <w:rFonts w:eastAsia="Times New Roman" w:cs="Times New Roman"/>
          <w:szCs w:val="24"/>
          <w:lang w:eastAsia="pl-PL"/>
        </w:rPr>
        <w:t>y</w:t>
      </w:r>
      <w:r w:rsidRPr="00785474">
        <w:rPr>
          <w:rFonts w:eastAsia="Times New Roman" w:cs="Times New Roman"/>
          <w:szCs w:val="24"/>
          <w:lang w:eastAsia="pl-PL"/>
        </w:rPr>
        <w:t xml:space="preserve"> 17.02.2018 r.),</w:t>
      </w:r>
    </w:p>
    <w:p w14:paraId="22200CEA" w14:textId="77777777" w:rsidR="006048F7" w:rsidRPr="00785474" w:rsidRDefault="00D17A33" w:rsidP="00785474">
      <w:pPr>
        <w:pStyle w:val="Akapitzlist"/>
        <w:numPr>
          <w:ilvl w:val="0"/>
          <w:numId w:val="13"/>
        </w:numPr>
        <w:spacing w:line="360" w:lineRule="auto"/>
        <w:ind w:left="360"/>
        <w:jc w:val="both"/>
        <w:rPr>
          <w:rFonts w:cs="Times New Roman"/>
          <w:szCs w:val="24"/>
        </w:rPr>
      </w:pPr>
      <w:r w:rsidRPr="00785474">
        <w:rPr>
          <w:rFonts w:cs="Times New Roman"/>
          <w:szCs w:val="24"/>
        </w:rPr>
        <w:t>www.nbp.pl/home.aspx?f=/kursy/arch_a.html (data odsłony 17.02.2018 r.),</w:t>
      </w:r>
    </w:p>
    <w:p w14:paraId="0E6D25CF" w14:textId="3C426CCB" w:rsidR="006048F7" w:rsidRPr="00785474" w:rsidRDefault="00D17A33" w:rsidP="00785474">
      <w:pPr>
        <w:pStyle w:val="Akapitzlist"/>
        <w:numPr>
          <w:ilvl w:val="0"/>
          <w:numId w:val="13"/>
        </w:numPr>
        <w:spacing w:line="360" w:lineRule="auto"/>
        <w:ind w:left="360"/>
        <w:jc w:val="both"/>
        <w:rPr>
          <w:szCs w:val="24"/>
        </w:rPr>
      </w:pPr>
      <w:r w:rsidRPr="00785474">
        <w:rPr>
          <w:rFonts w:cs="Times New Roman"/>
          <w:szCs w:val="24"/>
        </w:rPr>
        <w:t>www.ergokantor.pl/kredyty-walutowe---czy-wciaz--sa-dostepne.ht</w:t>
      </w:r>
      <w:r w:rsidR="006048F7" w:rsidRPr="00785474">
        <w:rPr>
          <w:rFonts w:cs="Times New Roman"/>
          <w:szCs w:val="24"/>
        </w:rPr>
        <w:t>ml (data odsłony 25.02.2018 r.),</w:t>
      </w:r>
    </w:p>
    <w:p w14:paraId="51C5E2A4" w14:textId="77777777" w:rsidR="006048F7" w:rsidRPr="00785474" w:rsidRDefault="00157392" w:rsidP="00785474">
      <w:pPr>
        <w:pStyle w:val="Akapitzlist"/>
        <w:numPr>
          <w:ilvl w:val="0"/>
          <w:numId w:val="13"/>
        </w:numPr>
        <w:spacing w:line="360" w:lineRule="auto"/>
        <w:ind w:left="360"/>
        <w:jc w:val="both"/>
        <w:rPr>
          <w:rFonts w:cs="Times New Roman"/>
          <w:szCs w:val="24"/>
        </w:rPr>
      </w:pPr>
      <w:r w:rsidRPr="00785474">
        <w:rPr>
          <w:rFonts w:cs="Times New Roman"/>
          <w:szCs w:val="24"/>
        </w:rPr>
        <w:t>media.bik.pl/informacje-prasowe/333117/walutowe-kredyty-mieszkaniowe-w-latach-2005-20</w:t>
      </w:r>
      <w:r w:rsidR="003A69F3" w:rsidRPr="00785474">
        <w:rPr>
          <w:rFonts w:cs="Times New Roman"/>
          <w:szCs w:val="24"/>
        </w:rPr>
        <w:t>16 (data odsłony 25.02.2018 r.),</w:t>
      </w:r>
    </w:p>
    <w:p w14:paraId="6453B177" w14:textId="77777777" w:rsidR="006048F7" w:rsidRPr="00785474" w:rsidRDefault="00157392" w:rsidP="00785474">
      <w:pPr>
        <w:pStyle w:val="Akapitzlist"/>
        <w:numPr>
          <w:ilvl w:val="0"/>
          <w:numId w:val="13"/>
        </w:numPr>
        <w:spacing w:line="360" w:lineRule="auto"/>
        <w:ind w:left="360"/>
        <w:jc w:val="both"/>
        <w:rPr>
          <w:szCs w:val="24"/>
        </w:rPr>
      </w:pPr>
      <w:r w:rsidRPr="00785474">
        <w:rPr>
          <w:rFonts w:cs="Times New Roman"/>
          <w:szCs w:val="24"/>
        </w:rPr>
        <w:t>www.nbp.pl/home.aspx?f=/statystyka/pieniezna_i_bankowa/naleznosci.html (data odsłony 4.05.2018 r.)</w:t>
      </w:r>
      <w:r w:rsidR="006048F7" w:rsidRPr="00785474">
        <w:rPr>
          <w:rFonts w:cs="Times New Roman"/>
          <w:szCs w:val="24"/>
        </w:rPr>
        <w:t>,</w:t>
      </w:r>
    </w:p>
    <w:p w14:paraId="03205144" w14:textId="77777777" w:rsidR="006048F7" w:rsidRPr="00785474" w:rsidRDefault="00171CFB" w:rsidP="00785474">
      <w:pPr>
        <w:pStyle w:val="Akapitzlist"/>
        <w:numPr>
          <w:ilvl w:val="0"/>
          <w:numId w:val="13"/>
        </w:numPr>
        <w:spacing w:line="360" w:lineRule="auto"/>
        <w:ind w:left="360"/>
        <w:jc w:val="both"/>
        <w:rPr>
          <w:szCs w:val="24"/>
        </w:rPr>
      </w:pPr>
      <w:r w:rsidRPr="00785474">
        <w:rPr>
          <w:rFonts w:cs="Times New Roman"/>
          <w:szCs w:val="24"/>
        </w:rPr>
        <w:t xml:space="preserve">www.nbportal.pl/wiedza/artykuly/finanse/frankowe-kredyty-walutowe (data odsłony 26.02.2018 </w:t>
      </w:r>
      <w:r w:rsidR="003A69F3" w:rsidRPr="00785474">
        <w:rPr>
          <w:rFonts w:cs="Times New Roman"/>
          <w:szCs w:val="24"/>
        </w:rPr>
        <w:t>r.),</w:t>
      </w:r>
    </w:p>
    <w:p w14:paraId="0C134331" w14:textId="77777777" w:rsidR="006048F7" w:rsidRPr="00785474" w:rsidRDefault="00171CFB" w:rsidP="00785474">
      <w:pPr>
        <w:pStyle w:val="Akapitzlist"/>
        <w:numPr>
          <w:ilvl w:val="0"/>
          <w:numId w:val="13"/>
        </w:numPr>
        <w:spacing w:line="360" w:lineRule="auto"/>
        <w:ind w:left="360"/>
        <w:jc w:val="both"/>
        <w:rPr>
          <w:rFonts w:cs="Times New Roman"/>
          <w:szCs w:val="24"/>
        </w:rPr>
      </w:pPr>
      <w:r w:rsidRPr="00785474">
        <w:rPr>
          <w:rFonts w:cs="Times New Roman"/>
          <w:szCs w:val="24"/>
        </w:rPr>
        <w:t xml:space="preserve">www.obserwatorfinansowy.pl/tematyka/bankowosc/kredyty-walutowe-pod-krajowym-nadzorem (data odsłony 25.02.2018 </w:t>
      </w:r>
      <w:r w:rsidR="003A69F3" w:rsidRPr="00785474">
        <w:rPr>
          <w:rFonts w:cs="Times New Roman"/>
          <w:szCs w:val="24"/>
        </w:rPr>
        <w:t>r.),</w:t>
      </w:r>
    </w:p>
    <w:p w14:paraId="5A6A3021" w14:textId="77777777" w:rsidR="006048F7" w:rsidRPr="00785474" w:rsidRDefault="003A69F3" w:rsidP="00785474">
      <w:pPr>
        <w:pStyle w:val="Akapitzlist"/>
        <w:numPr>
          <w:ilvl w:val="0"/>
          <w:numId w:val="13"/>
        </w:numPr>
        <w:spacing w:line="360" w:lineRule="auto"/>
        <w:ind w:left="360"/>
        <w:jc w:val="both"/>
        <w:rPr>
          <w:rFonts w:cs="Times New Roman"/>
          <w:szCs w:val="24"/>
        </w:rPr>
      </w:pPr>
      <w:r w:rsidRPr="00785474">
        <w:rPr>
          <w:rFonts w:cs="Times New Roman"/>
          <w:szCs w:val="24"/>
        </w:rPr>
        <w:t>www.nbp.pl/home.aspx?f=/systemfinansowy/esrb.html (data odsłony 16.03.2018 r.),</w:t>
      </w:r>
    </w:p>
    <w:p w14:paraId="6042FD80" w14:textId="77777777" w:rsidR="006048F7" w:rsidRPr="00785474" w:rsidRDefault="00CC1835" w:rsidP="00785474">
      <w:pPr>
        <w:pStyle w:val="Akapitzlist"/>
        <w:numPr>
          <w:ilvl w:val="0"/>
          <w:numId w:val="13"/>
        </w:numPr>
        <w:spacing w:line="360" w:lineRule="auto"/>
        <w:ind w:left="360"/>
        <w:jc w:val="both"/>
        <w:rPr>
          <w:rFonts w:cs="Times New Roman"/>
          <w:szCs w:val="24"/>
        </w:rPr>
      </w:pPr>
      <w:r w:rsidRPr="00785474">
        <w:rPr>
          <w:rFonts w:cs="Times New Roman"/>
          <w:szCs w:val="24"/>
        </w:rPr>
        <w:t>www.prezydent.pl/prawo/ustawy/zgloszone/art,15,prezydent-andrzej-duda-proponuje-kolejne-regulacje-korzystne-dla-kredytobiorcow.html (data odsłony 22.03.2018 r.),</w:t>
      </w:r>
    </w:p>
    <w:p w14:paraId="6787E801" w14:textId="77777777" w:rsidR="006048F7" w:rsidRPr="00785474" w:rsidRDefault="00CC1835" w:rsidP="00785474">
      <w:pPr>
        <w:pStyle w:val="Akapitzlist"/>
        <w:numPr>
          <w:ilvl w:val="0"/>
          <w:numId w:val="13"/>
        </w:numPr>
        <w:spacing w:line="360" w:lineRule="auto"/>
        <w:ind w:left="360"/>
        <w:jc w:val="both"/>
        <w:rPr>
          <w:rFonts w:cs="Times New Roman"/>
          <w:szCs w:val="24"/>
        </w:rPr>
      </w:pPr>
      <w:r w:rsidRPr="00785474">
        <w:rPr>
          <w:rFonts w:cs="Times New Roman"/>
          <w:szCs w:val="24"/>
        </w:rPr>
        <w:t>www.parkiet.com/Kredyty-i-pozyczki/308029917-Prezydencki-projekt-ustawy-ws-frankowiczow-juz-w-Sejmie.html (data odsłony 22.03.2018 r.),</w:t>
      </w:r>
    </w:p>
    <w:p w14:paraId="2F3122BD" w14:textId="77777777" w:rsidR="006048F7" w:rsidRPr="00785474" w:rsidRDefault="00CC1835" w:rsidP="00785474">
      <w:pPr>
        <w:pStyle w:val="Akapitzlist"/>
        <w:numPr>
          <w:ilvl w:val="0"/>
          <w:numId w:val="13"/>
        </w:numPr>
        <w:spacing w:line="360" w:lineRule="auto"/>
        <w:ind w:left="360"/>
        <w:jc w:val="both"/>
        <w:rPr>
          <w:rFonts w:cs="Times New Roman"/>
          <w:szCs w:val="24"/>
        </w:rPr>
      </w:pPr>
      <w:r w:rsidRPr="00785474">
        <w:rPr>
          <w:rFonts w:cs="Times New Roman"/>
          <w:szCs w:val="24"/>
        </w:rPr>
        <w:t>www.c.europa.eu/eurostat/statistics-explained/index.php/Housing_statistics/pl (data odsłony 20.04.2018 r.),</w:t>
      </w:r>
    </w:p>
    <w:p w14:paraId="34C72767" w14:textId="77777777" w:rsidR="006048F7" w:rsidRPr="00785474" w:rsidRDefault="00E679F2" w:rsidP="00785474">
      <w:pPr>
        <w:pStyle w:val="Akapitzlist"/>
        <w:numPr>
          <w:ilvl w:val="0"/>
          <w:numId w:val="13"/>
        </w:numPr>
        <w:spacing w:line="360" w:lineRule="auto"/>
        <w:ind w:left="360"/>
        <w:jc w:val="both"/>
        <w:rPr>
          <w:rFonts w:cs="Times New Roman"/>
          <w:szCs w:val="24"/>
        </w:rPr>
      </w:pPr>
      <w:r w:rsidRPr="00785474">
        <w:rPr>
          <w:rFonts w:cs="Times New Roman"/>
          <w:szCs w:val="24"/>
        </w:rPr>
        <w:t>www.bankier.pl/wiadomosc/Jak-w-innych-krajach-wyglada-problem-frankowy-7480757.html (data odsłony 24.04.2018 r.),</w:t>
      </w:r>
    </w:p>
    <w:p w14:paraId="13A3B9CD" w14:textId="77777777" w:rsidR="006048F7" w:rsidRPr="00785474" w:rsidRDefault="00E679F2" w:rsidP="00785474">
      <w:pPr>
        <w:pStyle w:val="Akapitzlist"/>
        <w:numPr>
          <w:ilvl w:val="0"/>
          <w:numId w:val="13"/>
        </w:numPr>
        <w:spacing w:line="360" w:lineRule="auto"/>
        <w:ind w:left="360"/>
        <w:jc w:val="both"/>
        <w:rPr>
          <w:rFonts w:cs="Times New Roman"/>
          <w:szCs w:val="24"/>
        </w:rPr>
      </w:pPr>
      <w:r w:rsidRPr="00785474">
        <w:rPr>
          <w:rFonts w:cs="Times New Roman"/>
          <w:szCs w:val="24"/>
        </w:rPr>
        <w:t>www.wgospodarce.pl/informacje/30831-kredyty-walutowe-jak-to-wyglada-w-hiszpanii (data odsłony 24.04.2018 r.),</w:t>
      </w:r>
    </w:p>
    <w:p w14:paraId="6E3E9D29" w14:textId="77777777" w:rsidR="006048F7" w:rsidRPr="00785474" w:rsidRDefault="00E679F2" w:rsidP="00785474">
      <w:pPr>
        <w:pStyle w:val="Akapitzlist"/>
        <w:numPr>
          <w:ilvl w:val="0"/>
          <w:numId w:val="13"/>
        </w:numPr>
        <w:spacing w:line="360" w:lineRule="auto"/>
        <w:ind w:left="360"/>
        <w:jc w:val="both"/>
        <w:rPr>
          <w:rFonts w:cs="Times New Roman"/>
          <w:szCs w:val="24"/>
        </w:rPr>
      </w:pPr>
      <w:r w:rsidRPr="00785474">
        <w:rPr>
          <w:rFonts w:cs="Times New Roman"/>
          <w:szCs w:val="24"/>
        </w:rPr>
        <w:t>www.wyborcza.biz/biznes/7,147582,22658253,kredyty-walutowe-sad-najwyzszy-w-hiszpanii-wydal-wyrok-korzystny.html?disableRedirects=true (data odsłony 25.04.2018 r.),</w:t>
      </w:r>
    </w:p>
    <w:p w14:paraId="61F35306" w14:textId="77777777" w:rsidR="006048F7" w:rsidRPr="00785474" w:rsidRDefault="00E679F2" w:rsidP="00785474">
      <w:pPr>
        <w:pStyle w:val="Akapitzlist"/>
        <w:numPr>
          <w:ilvl w:val="0"/>
          <w:numId w:val="13"/>
        </w:numPr>
        <w:spacing w:line="360" w:lineRule="auto"/>
        <w:ind w:left="360"/>
        <w:jc w:val="both"/>
        <w:rPr>
          <w:szCs w:val="24"/>
        </w:rPr>
      </w:pPr>
      <w:r w:rsidRPr="00785474">
        <w:rPr>
          <w:rFonts w:cs="Times New Roman"/>
          <w:szCs w:val="24"/>
        </w:rPr>
        <w:t>www.statista.com/statistics/453410/unemployment-rate-in-spain/ (data odsłony 25.04.2018 r.),</w:t>
      </w:r>
    </w:p>
    <w:p w14:paraId="7C2928DB" w14:textId="77777777" w:rsidR="006048F7" w:rsidRPr="00785474" w:rsidRDefault="00E679F2" w:rsidP="00785474">
      <w:pPr>
        <w:pStyle w:val="Akapitzlist"/>
        <w:numPr>
          <w:ilvl w:val="0"/>
          <w:numId w:val="13"/>
        </w:numPr>
        <w:spacing w:line="360" w:lineRule="auto"/>
        <w:ind w:left="360"/>
        <w:jc w:val="both"/>
        <w:rPr>
          <w:rFonts w:cs="Times New Roman"/>
          <w:szCs w:val="24"/>
        </w:rPr>
      </w:pPr>
      <w:r w:rsidRPr="00785474">
        <w:rPr>
          <w:rFonts w:cs="Times New Roman"/>
          <w:szCs w:val="24"/>
        </w:rPr>
        <w:lastRenderedPageBreak/>
        <w:t>www.gbabogados.co.uk/multi-currency-mortgage-declared-illegal-spanish-supreme-court/ (data odsłony 25.04.2018 r.),</w:t>
      </w:r>
    </w:p>
    <w:p w14:paraId="5053110A" w14:textId="77777777" w:rsidR="006048F7" w:rsidRPr="00785474" w:rsidRDefault="00314EF6" w:rsidP="00785474">
      <w:pPr>
        <w:pStyle w:val="Akapitzlist"/>
        <w:numPr>
          <w:ilvl w:val="0"/>
          <w:numId w:val="13"/>
        </w:numPr>
        <w:spacing w:line="360" w:lineRule="auto"/>
        <w:ind w:left="360"/>
        <w:jc w:val="both"/>
        <w:rPr>
          <w:rFonts w:cs="Times New Roman"/>
          <w:szCs w:val="24"/>
        </w:rPr>
      </w:pPr>
      <w:r w:rsidRPr="00785474">
        <w:rPr>
          <w:rFonts w:cs="Times New Roman"/>
          <w:szCs w:val="24"/>
        </w:rPr>
        <w:t>www.country.eiu.com/article.aspx?articleid=128440197&amp;Country=Croatia&amp;topic=Economy&amp;subtopic=Current+policy&amp;subsubtopic=Economic+policy:+State+offers+mortgage+support+to+Swiss+franc+borrowers (data odsłony 25.04.2018 r.),</w:t>
      </w:r>
    </w:p>
    <w:p w14:paraId="131599CA" w14:textId="77777777" w:rsidR="006048F7" w:rsidRPr="00785474" w:rsidRDefault="00314EF6" w:rsidP="00785474">
      <w:pPr>
        <w:pStyle w:val="Akapitzlist"/>
        <w:numPr>
          <w:ilvl w:val="0"/>
          <w:numId w:val="13"/>
        </w:numPr>
        <w:spacing w:line="360" w:lineRule="auto"/>
        <w:ind w:left="360"/>
        <w:jc w:val="both"/>
        <w:rPr>
          <w:rFonts w:cs="Times New Roman"/>
          <w:szCs w:val="24"/>
        </w:rPr>
      </w:pPr>
      <w:r w:rsidRPr="00785474">
        <w:rPr>
          <w:rFonts w:cs="Times New Roman"/>
          <w:szCs w:val="24"/>
        </w:rPr>
        <w:t>www.reuters.com/article/croatia-banks/croatia-hit-with-lawsuit-for-franc-loan-conversion-law-idUSL8N1BR3JD (data odsłony 26.04.2018 r.),</w:t>
      </w:r>
    </w:p>
    <w:p w14:paraId="7B82EC16" w14:textId="77777777" w:rsidR="006048F7" w:rsidRPr="00785474" w:rsidRDefault="00314EF6" w:rsidP="00785474">
      <w:pPr>
        <w:pStyle w:val="Akapitzlist"/>
        <w:numPr>
          <w:ilvl w:val="0"/>
          <w:numId w:val="13"/>
        </w:numPr>
        <w:spacing w:line="360" w:lineRule="auto"/>
        <w:ind w:left="360"/>
        <w:jc w:val="both"/>
        <w:rPr>
          <w:rFonts w:cs="Times New Roman"/>
          <w:szCs w:val="24"/>
        </w:rPr>
      </w:pPr>
      <w:r w:rsidRPr="00785474">
        <w:rPr>
          <w:rFonts w:cs="Times New Roman"/>
          <w:szCs w:val="24"/>
        </w:rPr>
        <w:t>www.reuters.com/article/us-croatia-court-idUSKBN1491U5 (data odsłony 26.04.2018 r.),</w:t>
      </w:r>
    </w:p>
    <w:p w14:paraId="6E713261" w14:textId="77777777" w:rsidR="006048F7" w:rsidRPr="00785474" w:rsidRDefault="00314EF6" w:rsidP="00785474">
      <w:pPr>
        <w:pStyle w:val="Akapitzlist"/>
        <w:numPr>
          <w:ilvl w:val="0"/>
          <w:numId w:val="13"/>
        </w:numPr>
        <w:spacing w:line="360" w:lineRule="auto"/>
        <w:ind w:left="360"/>
        <w:jc w:val="both"/>
        <w:rPr>
          <w:szCs w:val="24"/>
        </w:rPr>
      </w:pPr>
      <w:r w:rsidRPr="00785474">
        <w:rPr>
          <w:rFonts w:cs="Times New Roman"/>
          <w:szCs w:val="24"/>
        </w:rPr>
        <w:t>www.uk.reuters.com/article/uk-croatia-court-law/croatia-top-court-says-swiss-franc-conversion-law-necessary-idUKKBN1791I9 (data odsłony 26.04.2018 r.),</w:t>
      </w:r>
    </w:p>
    <w:p w14:paraId="3C1CFAC2" w14:textId="77777777" w:rsidR="006048F7" w:rsidRPr="00785474" w:rsidRDefault="00314EF6" w:rsidP="00785474">
      <w:pPr>
        <w:pStyle w:val="Akapitzlist"/>
        <w:numPr>
          <w:ilvl w:val="0"/>
          <w:numId w:val="13"/>
        </w:numPr>
        <w:spacing w:line="360" w:lineRule="auto"/>
        <w:ind w:left="360"/>
        <w:jc w:val="both"/>
        <w:rPr>
          <w:rFonts w:cs="Times New Roman"/>
          <w:szCs w:val="24"/>
        </w:rPr>
      </w:pPr>
      <w:r w:rsidRPr="00785474">
        <w:rPr>
          <w:rFonts w:cs="Times New Roman"/>
          <w:szCs w:val="24"/>
        </w:rPr>
        <w:t>www.forsal.pl/artykuly/971211,chorwacki-sposob-na-kredyty-frankowe-potezny-cios-w-banki.html (data odsłony 26.04.2018 r.),</w:t>
      </w:r>
    </w:p>
    <w:p w14:paraId="6C6C9448" w14:textId="77777777" w:rsidR="006048F7" w:rsidRPr="00785474" w:rsidRDefault="00314EF6" w:rsidP="00785474">
      <w:pPr>
        <w:pStyle w:val="Akapitzlist"/>
        <w:numPr>
          <w:ilvl w:val="0"/>
          <w:numId w:val="13"/>
        </w:numPr>
        <w:spacing w:line="360" w:lineRule="auto"/>
        <w:ind w:left="360"/>
        <w:jc w:val="both"/>
        <w:rPr>
          <w:szCs w:val="24"/>
        </w:rPr>
      </w:pPr>
      <w:r w:rsidRPr="00785474">
        <w:rPr>
          <w:rFonts w:cs="Times New Roman"/>
          <w:szCs w:val="24"/>
        </w:rPr>
        <w:t>www.forsal.pl/artykuly/1021734,austria-kredyty-we-frankach-chf-austria-najbardziej-ufrankowionym-krajem-w-europie.html (data odsłony 27.04.2018 r.),</w:t>
      </w:r>
    </w:p>
    <w:p w14:paraId="5726221C" w14:textId="77777777" w:rsidR="006048F7" w:rsidRPr="00785474" w:rsidRDefault="00314EF6" w:rsidP="00785474">
      <w:pPr>
        <w:pStyle w:val="Akapitzlist"/>
        <w:numPr>
          <w:ilvl w:val="0"/>
          <w:numId w:val="13"/>
        </w:numPr>
        <w:spacing w:line="360" w:lineRule="auto"/>
        <w:ind w:left="360"/>
        <w:jc w:val="both"/>
        <w:rPr>
          <w:szCs w:val="24"/>
        </w:rPr>
      </w:pPr>
      <w:r w:rsidRPr="00785474">
        <w:rPr>
          <w:rFonts w:cs="Times New Roman"/>
          <w:szCs w:val="24"/>
        </w:rPr>
        <w:t>www.reuters.com/article/us-swiss-snb-austria/austrians-rue-starting-fashion-for-swiss-franc-mortgages-idUSKBN0L405V20150131 (data odsłony 27.04.2018 r.),</w:t>
      </w:r>
    </w:p>
    <w:p w14:paraId="76944E42" w14:textId="77777777" w:rsidR="006048F7" w:rsidRPr="00785474" w:rsidRDefault="00314EF6" w:rsidP="00785474">
      <w:pPr>
        <w:pStyle w:val="Akapitzlist"/>
        <w:numPr>
          <w:ilvl w:val="0"/>
          <w:numId w:val="13"/>
        </w:numPr>
        <w:spacing w:line="360" w:lineRule="auto"/>
        <w:ind w:left="360"/>
        <w:jc w:val="both"/>
        <w:rPr>
          <w:rFonts w:cs="Times New Roman"/>
          <w:szCs w:val="24"/>
        </w:rPr>
      </w:pPr>
      <w:r w:rsidRPr="00785474">
        <w:rPr>
          <w:rFonts w:cs="Times New Roman"/>
          <w:szCs w:val="24"/>
        </w:rPr>
        <w:t>www.reuters.com/article/austria-mortgages-swiss/swiss-franc-surge-hits-austrian-mortgage-holders-central-bank-idUSL5N0YJ36P20150528 (data odsłony 27.04.2018 r.),</w:t>
      </w:r>
    </w:p>
    <w:p w14:paraId="1D8A4E1A" w14:textId="77777777" w:rsidR="006048F7" w:rsidRPr="00785474" w:rsidRDefault="00314EF6" w:rsidP="00785474">
      <w:pPr>
        <w:pStyle w:val="Akapitzlist"/>
        <w:numPr>
          <w:ilvl w:val="0"/>
          <w:numId w:val="13"/>
        </w:numPr>
        <w:spacing w:line="360" w:lineRule="auto"/>
        <w:ind w:left="360"/>
        <w:jc w:val="both"/>
        <w:rPr>
          <w:szCs w:val="24"/>
        </w:rPr>
      </w:pPr>
      <w:r w:rsidRPr="00785474">
        <w:rPr>
          <w:rFonts w:cs="Times New Roman"/>
          <w:szCs w:val="24"/>
        </w:rPr>
        <w:t>www.pb.pl/kraje-o-najwiekszej-liczbie-kredytow-frankowych-ranking-780752 (data odsłony 29.04.2018 r.),</w:t>
      </w:r>
    </w:p>
    <w:p w14:paraId="3E479CAC" w14:textId="77777777" w:rsidR="006048F7" w:rsidRPr="00785474" w:rsidRDefault="00314EF6" w:rsidP="00785474">
      <w:pPr>
        <w:pStyle w:val="Akapitzlist"/>
        <w:numPr>
          <w:ilvl w:val="0"/>
          <w:numId w:val="13"/>
        </w:numPr>
        <w:spacing w:line="360" w:lineRule="auto"/>
        <w:ind w:left="360"/>
        <w:jc w:val="both"/>
        <w:rPr>
          <w:szCs w:val="24"/>
        </w:rPr>
      </w:pPr>
      <w:r w:rsidRPr="00785474">
        <w:rPr>
          <w:rFonts w:cs="Times New Roman"/>
          <w:szCs w:val="24"/>
        </w:rPr>
        <w:t>www.bankier.pl/wiadomosc/Kredyty-walutowe-dotknely-niemal-kazdego-Wegra-7285928.html (data odsłony 29.04.2018 r.),</w:t>
      </w:r>
    </w:p>
    <w:p w14:paraId="5F969866" w14:textId="5C524CB2" w:rsidR="00314EF6" w:rsidRPr="00785474" w:rsidRDefault="00314EF6" w:rsidP="00785474">
      <w:pPr>
        <w:pStyle w:val="Akapitzlist"/>
        <w:numPr>
          <w:ilvl w:val="0"/>
          <w:numId w:val="13"/>
        </w:numPr>
        <w:spacing w:line="360" w:lineRule="auto"/>
        <w:ind w:left="360"/>
        <w:jc w:val="both"/>
        <w:rPr>
          <w:szCs w:val="24"/>
        </w:rPr>
      </w:pPr>
      <w:r w:rsidRPr="00785474">
        <w:rPr>
          <w:rFonts w:cs="Times New Roman"/>
          <w:szCs w:val="24"/>
        </w:rPr>
        <w:t>www.kredytywalutowe.com/ustawa-o-restrukturyzacji-kredytow-walutowych-uchwalona-przez-sejm (data odsłony 1.05.2018 r.),</w:t>
      </w:r>
    </w:p>
    <w:p w14:paraId="4D18D27F" w14:textId="4E001DE9" w:rsidR="006048F7" w:rsidRPr="00785474" w:rsidRDefault="00B055B9" w:rsidP="00785474">
      <w:pPr>
        <w:pStyle w:val="Akapitzlist"/>
        <w:numPr>
          <w:ilvl w:val="0"/>
          <w:numId w:val="13"/>
        </w:numPr>
        <w:spacing w:line="360" w:lineRule="auto"/>
        <w:ind w:left="360"/>
        <w:jc w:val="both"/>
        <w:rPr>
          <w:rFonts w:cs="Times New Roman"/>
          <w:szCs w:val="24"/>
        </w:rPr>
      </w:pPr>
      <w:r w:rsidRPr="00785474">
        <w:rPr>
          <w:rFonts w:cs="Times New Roman"/>
          <w:szCs w:val="24"/>
        </w:rPr>
        <w:t>https://www.bankier.pl/wiadomosc/NBP-straty-bankow-po-umorzeniu-kredytow-walutowych-wynioslyby-ok-21-mld-zl-3395552.html (data odsłony 2.05.2018 r.),</w:t>
      </w:r>
      <w:r w:rsidR="006F454B">
        <w:rPr>
          <w:rFonts w:cs="Times New Roman"/>
          <w:szCs w:val="24"/>
        </w:rPr>
        <w:t xml:space="preserve"> </w:t>
      </w:r>
    </w:p>
    <w:p w14:paraId="2302E061" w14:textId="77777777" w:rsidR="006048F7" w:rsidRPr="00785474" w:rsidRDefault="00B055B9" w:rsidP="00785474">
      <w:pPr>
        <w:pStyle w:val="Akapitzlist"/>
        <w:numPr>
          <w:ilvl w:val="0"/>
          <w:numId w:val="13"/>
        </w:numPr>
        <w:spacing w:line="360" w:lineRule="auto"/>
        <w:ind w:left="360"/>
        <w:jc w:val="both"/>
        <w:rPr>
          <w:rFonts w:cs="Times New Roman"/>
          <w:szCs w:val="24"/>
        </w:rPr>
      </w:pPr>
      <w:r w:rsidRPr="00785474">
        <w:rPr>
          <w:rFonts w:cs="Times New Roman"/>
          <w:szCs w:val="24"/>
        </w:rPr>
        <w:t>www.bankier.pl/wiadomosc/KNF-Banki-zaplaca-22-mld-zl-za-frankowcow-7274517.html (data odsłony 2.05.2018 r.),</w:t>
      </w:r>
    </w:p>
    <w:p w14:paraId="7DDE499C" w14:textId="77777777" w:rsidR="006048F7" w:rsidRPr="00785474" w:rsidRDefault="00B055B9" w:rsidP="00785474">
      <w:pPr>
        <w:pStyle w:val="Akapitzlist"/>
        <w:numPr>
          <w:ilvl w:val="0"/>
          <w:numId w:val="13"/>
        </w:numPr>
        <w:spacing w:line="360" w:lineRule="auto"/>
        <w:ind w:left="360"/>
        <w:jc w:val="both"/>
        <w:rPr>
          <w:rFonts w:cs="Times New Roman"/>
          <w:szCs w:val="24"/>
        </w:rPr>
      </w:pPr>
      <w:r w:rsidRPr="00785474">
        <w:rPr>
          <w:rFonts w:cs="Times New Roman"/>
          <w:szCs w:val="24"/>
        </w:rPr>
        <w:t>www.bankier.pl/wiadomosc/Przewalutowanie-po-kursie-z-dnia-umowy-jak-wplynie-na-raty-frankowca-7277984.html (data odsłony 2.05.2018 r.),</w:t>
      </w:r>
    </w:p>
    <w:p w14:paraId="42518ACE" w14:textId="77777777" w:rsidR="006048F7" w:rsidRPr="00785474" w:rsidRDefault="00B055B9" w:rsidP="00785474">
      <w:pPr>
        <w:pStyle w:val="Akapitzlist"/>
        <w:numPr>
          <w:ilvl w:val="0"/>
          <w:numId w:val="13"/>
        </w:numPr>
        <w:spacing w:line="360" w:lineRule="auto"/>
        <w:ind w:left="360"/>
        <w:jc w:val="both"/>
        <w:rPr>
          <w:rFonts w:cs="Times New Roman"/>
          <w:szCs w:val="24"/>
        </w:rPr>
      </w:pPr>
      <w:r w:rsidRPr="00785474">
        <w:rPr>
          <w:rFonts w:cs="Times New Roman"/>
          <w:szCs w:val="24"/>
        </w:rPr>
        <w:t>www.tvn24bis.pl/wiadomosci-walutowe,77/propozycja-knf-dla-frankowiczow-przewalutowanie-kredytu,511902.html (data odsłony 2.05.2018 r.),</w:t>
      </w:r>
    </w:p>
    <w:p w14:paraId="0586289D" w14:textId="77777777" w:rsidR="006048F7" w:rsidRPr="00785474" w:rsidRDefault="00B055B9" w:rsidP="00785474">
      <w:pPr>
        <w:pStyle w:val="Akapitzlist"/>
        <w:numPr>
          <w:ilvl w:val="0"/>
          <w:numId w:val="13"/>
        </w:numPr>
        <w:spacing w:line="360" w:lineRule="auto"/>
        <w:ind w:left="360"/>
        <w:jc w:val="both"/>
        <w:rPr>
          <w:rFonts w:cs="Times New Roman"/>
          <w:szCs w:val="24"/>
        </w:rPr>
      </w:pPr>
      <w:r w:rsidRPr="00785474">
        <w:rPr>
          <w:rFonts w:cs="Times New Roman"/>
          <w:szCs w:val="24"/>
        </w:rPr>
        <w:t>www.zbp.pl/wydarzenia/archiwum/wydarzenia/2015/styczen/stanowisko-zarzadu-zbp-ws-chf (data odsłony 3.05.2018 r.),</w:t>
      </w:r>
    </w:p>
    <w:p w14:paraId="1EADCA7D" w14:textId="06D0B10E" w:rsidR="00B055B9" w:rsidRPr="00785474" w:rsidRDefault="00B055B9" w:rsidP="00785474">
      <w:pPr>
        <w:pStyle w:val="Akapitzlist"/>
        <w:numPr>
          <w:ilvl w:val="0"/>
          <w:numId w:val="13"/>
        </w:numPr>
        <w:spacing w:line="360" w:lineRule="auto"/>
        <w:ind w:left="360"/>
        <w:jc w:val="both"/>
        <w:rPr>
          <w:rFonts w:cs="Times New Roman"/>
          <w:szCs w:val="24"/>
        </w:rPr>
      </w:pPr>
      <w:r w:rsidRPr="00785474">
        <w:rPr>
          <w:rFonts w:cs="Times New Roman"/>
          <w:szCs w:val="24"/>
        </w:rPr>
        <w:lastRenderedPageBreak/>
        <w:t>www.zbp.pl/dla-prasy/informacje-prasowe/banki-zaakceptowaly-propozycje-zbp-konferencja-prasowa (data odsłony 3.05.2018 r.),</w:t>
      </w:r>
    </w:p>
    <w:p w14:paraId="0C3DE558" w14:textId="39E6663D" w:rsidR="00B055B9" w:rsidRPr="00785474" w:rsidRDefault="00B055B9" w:rsidP="00785474">
      <w:pPr>
        <w:pStyle w:val="Akapitzlist"/>
        <w:numPr>
          <w:ilvl w:val="0"/>
          <w:numId w:val="13"/>
        </w:numPr>
        <w:spacing w:line="360" w:lineRule="auto"/>
        <w:ind w:left="360"/>
        <w:jc w:val="both"/>
        <w:rPr>
          <w:rFonts w:cs="Times New Roman"/>
          <w:szCs w:val="24"/>
        </w:rPr>
      </w:pPr>
      <w:r w:rsidRPr="00785474">
        <w:rPr>
          <w:rFonts w:cs="Times New Roman"/>
          <w:szCs w:val="24"/>
        </w:rPr>
        <w:t>www.zbp.pl/wydarzenia/archiwum/wydarzenia/2015/maj/ponad-800-mln-zl-na-pomoc-kredytobiorcom-mieszkaniowym (data odsłony 3.05.2018 r.)</w:t>
      </w:r>
      <w:r w:rsidR="00785474" w:rsidRPr="00785474">
        <w:rPr>
          <w:rFonts w:cs="Times New Roman"/>
          <w:szCs w:val="24"/>
        </w:rPr>
        <w:t>.</w:t>
      </w:r>
    </w:p>
    <w:p w14:paraId="586A0987" w14:textId="77777777" w:rsidR="007C5526" w:rsidRPr="007C5526" w:rsidRDefault="007C5526" w:rsidP="007C5526"/>
    <w:p w14:paraId="7B4F6D77" w14:textId="77777777" w:rsidR="00CC60BA" w:rsidRDefault="00CC60BA" w:rsidP="00CC60BA">
      <w:pPr>
        <w:pStyle w:val="Nagwek2"/>
        <w:spacing w:line="360" w:lineRule="auto"/>
        <w:jc w:val="both"/>
      </w:pPr>
      <w:bookmarkStart w:id="42" w:name="_Toc513545771"/>
      <w:r>
        <w:t>V. Inne źródła.</w:t>
      </w:r>
      <w:bookmarkEnd w:id="42"/>
    </w:p>
    <w:p w14:paraId="19E8FA88" w14:textId="77777777" w:rsidR="00B95A01" w:rsidRPr="00F72B58" w:rsidRDefault="00B95A01" w:rsidP="00371474">
      <w:pPr>
        <w:pStyle w:val="Tekstprzypisudolnego"/>
        <w:rPr>
          <w:rFonts w:cs="Times New Roman"/>
        </w:rPr>
      </w:pPr>
    </w:p>
    <w:p w14:paraId="03E8DBB0" w14:textId="77777777" w:rsidR="006048F7" w:rsidRPr="00785474" w:rsidRDefault="00567E9E" w:rsidP="00785474">
      <w:pPr>
        <w:pStyle w:val="Akapitzlist"/>
        <w:numPr>
          <w:ilvl w:val="0"/>
          <w:numId w:val="14"/>
        </w:numPr>
        <w:spacing w:line="360" w:lineRule="auto"/>
        <w:ind w:left="360"/>
        <w:jc w:val="both"/>
        <w:rPr>
          <w:rFonts w:cs="Times New Roman"/>
          <w:szCs w:val="24"/>
          <w:lang w:val="en-GB"/>
        </w:rPr>
      </w:pPr>
      <w:r w:rsidRPr="00785474">
        <w:rPr>
          <w:rFonts w:cs="Times New Roman"/>
          <w:szCs w:val="24"/>
          <w:lang w:val="en-GB"/>
        </w:rPr>
        <w:t xml:space="preserve">European Parliament, </w:t>
      </w:r>
      <w:r w:rsidRPr="00785474">
        <w:rPr>
          <w:rFonts w:cs="Times New Roman"/>
          <w:i/>
          <w:szCs w:val="24"/>
          <w:lang w:val="en-GB"/>
        </w:rPr>
        <w:t>Statement on Foreign Currency Loans</w:t>
      </w:r>
      <w:r w:rsidR="00B055B9" w:rsidRPr="00785474">
        <w:rPr>
          <w:rFonts w:cs="Times New Roman"/>
          <w:szCs w:val="24"/>
          <w:lang w:val="en-GB"/>
        </w:rPr>
        <w:t xml:space="preserve">, 2016, </w:t>
      </w:r>
    </w:p>
    <w:p w14:paraId="21CD4088" w14:textId="17408EA3" w:rsidR="002C171D" w:rsidRPr="00785474" w:rsidRDefault="00B055B9" w:rsidP="00785474">
      <w:pPr>
        <w:pStyle w:val="Akapitzlist"/>
        <w:numPr>
          <w:ilvl w:val="0"/>
          <w:numId w:val="14"/>
        </w:numPr>
        <w:spacing w:line="360" w:lineRule="auto"/>
        <w:ind w:left="360"/>
        <w:jc w:val="both"/>
        <w:rPr>
          <w:rFonts w:cs="Times New Roman"/>
          <w:szCs w:val="24"/>
          <w:lang w:val="en-GB"/>
        </w:rPr>
      </w:pPr>
      <w:r w:rsidRPr="00785474">
        <w:rPr>
          <w:rFonts w:cs="Times New Roman"/>
          <w:szCs w:val="24"/>
          <w:lang w:val="en-GB"/>
        </w:rPr>
        <w:t xml:space="preserve">International Monetary Fund, </w:t>
      </w:r>
      <w:r w:rsidRPr="00785474">
        <w:rPr>
          <w:rFonts w:cs="Times New Roman"/>
          <w:i/>
          <w:szCs w:val="24"/>
          <w:lang w:val="en-GB"/>
        </w:rPr>
        <w:t>Hungary: Country Report No. 15/92</w:t>
      </w:r>
      <w:r w:rsidRPr="00785474">
        <w:rPr>
          <w:rFonts w:cs="Times New Roman"/>
          <w:szCs w:val="24"/>
          <w:lang w:val="en-GB"/>
        </w:rPr>
        <w:t>, 2015,</w:t>
      </w:r>
    </w:p>
    <w:p w14:paraId="557D6F95" w14:textId="77777777" w:rsidR="002D3DF9" w:rsidRPr="00785474" w:rsidRDefault="00A11C7D" w:rsidP="00785474">
      <w:pPr>
        <w:pStyle w:val="Akapitzlist"/>
        <w:numPr>
          <w:ilvl w:val="0"/>
          <w:numId w:val="14"/>
        </w:numPr>
        <w:spacing w:line="360" w:lineRule="auto"/>
        <w:ind w:left="360"/>
        <w:jc w:val="both"/>
        <w:rPr>
          <w:szCs w:val="24"/>
        </w:rPr>
      </w:pPr>
      <w:r w:rsidRPr="00785474">
        <w:rPr>
          <w:rFonts w:cs="Times New Roman"/>
          <w:szCs w:val="24"/>
        </w:rPr>
        <w:t xml:space="preserve">Komisja Nadzoru Finansowego, </w:t>
      </w:r>
      <w:r w:rsidRPr="00785474">
        <w:rPr>
          <w:rFonts w:cs="Times New Roman"/>
          <w:i/>
          <w:szCs w:val="24"/>
        </w:rPr>
        <w:t>Analiza skutków wprowadzenia przewalutowania kredytów walutowych zgodnie z ustawą o szczególnych zasadach restrukturyzacji walutowych kredytów mieszkaniowych w związku ze zmianą kursu walut obcych do waluty polskiej, z dn 5.08.2015 r.,</w:t>
      </w:r>
      <w:r w:rsidR="00B055B9" w:rsidRPr="00785474">
        <w:rPr>
          <w:rFonts w:cs="Times New Roman"/>
          <w:szCs w:val="24"/>
        </w:rPr>
        <w:t xml:space="preserve"> Warszawa 2015,</w:t>
      </w:r>
      <w:r w:rsidRPr="00785474">
        <w:rPr>
          <w:szCs w:val="24"/>
        </w:rPr>
        <w:t xml:space="preserve"> </w:t>
      </w:r>
    </w:p>
    <w:p w14:paraId="138686F6" w14:textId="77777777" w:rsidR="002D3DF9" w:rsidRPr="00785474" w:rsidRDefault="00EB6F6C" w:rsidP="00785474">
      <w:pPr>
        <w:pStyle w:val="Akapitzlist"/>
        <w:numPr>
          <w:ilvl w:val="0"/>
          <w:numId w:val="14"/>
        </w:numPr>
        <w:spacing w:line="360" w:lineRule="auto"/>
        <w:ind w:left="360"/>
        <w:jc w:val="both"/>
        <w:rPr>
          <w:rFonts w:cs="Times New Roman"/>
          <w:szCs w:val="24"/>
        </w:rPr>
      </w:pPr>
      <w:r w:rsidRPr="00785474">
        <w:rPr>
          <w:rFonts w:cs="Times New Roman"/>
          <w:szCs w:val="24"/>
        </w:rPr>
        <w:t xml:space="preserve">Komunikat ZBP, </w:t>
      </w:r>
      <w:r w:rsidRPr="00785474">
        <w:rPr>
          <w:rFonts w:cs="Times New Roman"/>
          <w:i/>
          <w:szCs w:val="24"/>
        </w:rPr>
        <w:t>Stanowisko Związku Banków Polskich z dnia 14.08.2015 r. na temat Ustawy o szczególnych zasadach restrukturyzacji walutowych kredytów mieszkaniowych w związku ze zmianą kursu walut obcych do waluty polskiej, z dn 5.08.2015 r.</w:t>
      </w:r>
      <w:r w:rsidR="006F2AA0" w:rsidRPr="00785474">
        <w:rPr>
          <w:rFonts w:cs="Times New Roman"/>
          <w:szCs w:val="24"/>
        </w:rPr>
        <w:t>,</w:t>
      </w:r>
    </w:p>
    <w:p w14:paraId="45B49F6F" w14:textId="5E29E61A" w:rsidR="00B055B9" w:rsidRPr="00785474" w:rsidRDefault="00182836" w:rsidP="00785474">
      <w:pPr>
        <w:pStyle w:val="Akapitzlist"/>
        <w:numPr>
          <w:ilvl w:val="0"/>
          <w:numId w:val="14"/>
        </w:numPr>
        <w:spacing w:line="360" w:lineRule="auto"/>
        <w:ind w:left="360"/>
        <w:jc w:val="both"/>
        <w:rPr>
          <w:rFonts w:cs="Times New Roman"/>
          <w:szCs w:val="24"/>
        </w:rPr>
      </w:pPr>
      <w:r w:rsidRPr="00785474">
        <w:rPr>
          <w:rFonts w:cs="Times New Roman"/>
          <w:szCs w:val="24"/>
        </w:rPr>
        <w:t xml:space="preserve">Komisja Nadzoru Finansowego, </w:t>
      </w:r>
      <w:r w:rsidR="00A3023E" w:rsidRPr="00785474">
        <w:rPr>
          <w:rFonts w:cs="Times New Roman"/>
          <w:i/>
          <w:szCs w:val="24"/>
        </w:rPr>
        <w:t>Propozycja Przewodniczącego KNF dotycząca restrukturyzacji kredytów udzielonych w CHF, przedstawiona na posiedzeniu Komisji Finansów Publicznych w dniu 3 lutego 2015r</w:t>
      </w:r>
      <w:r w:rsidR="00A3023E" w:rsidRPr="00785474">
        <w:rPr>
          <w:rFonts w:cs="Times New Roman"/>
          <w:szCs w:val="24"/>
        </w:rPr>
        <w:t>.</w:t>
      </w:r>
      <w:r w:rsidR="00F82C2D" w:rsidRPr="00785474">
        <w:rPr>
          <w:rFonts w:cs="Times New Roman"/>
          <w:szCs w:val="24"/>
        </w:rPr>
        <w:t>,</w:t>
      </w:r>
    </w:p>
    <w:p w14:paraId="3F6CC209" w14:textId="77777777" w:rsidR="00000B49" w:rsidRPr="00785474" w:rsidRDefault="002F000D" w:rsidP="00785474">
      <w:pPr>
        <w:pStyle w:val="Akapitzlist"/>
        <w:numPr>
          <w:ilvl w:val="0"/>
          <w:numId w:val="14"/>
        </w:numPr>
        <w:spacing w:line="360" w:lineRule="auto"/>
        <w:ind w:left="360"/>
        <w:jc w:val="both"/>
        <w:rPr>
          <w:rFonts w:cs="Times New Roman"/>
          <w:szCs w:val="24"/>
        </w:rPr>
      </w:pPr>
      <w:r w:rsidRPr="00785474">
        <w:rPr>
          <w:rFonts w:cs="Times New Roman"/>
          <w:szCs w:val="24"/>
        </w:rPr>
        <w:t xml:space="preserve">Komunikat ZBP, </w:t>
      </w:r>
      <w:r w:rsidRPr="00785474">
        <w:rPr>
          <w:rFonts w:cs="Times New Roman"/>
          <w:i/>
          <w:szCs w:val="24"/>
        </w:rPr>
        <w:t>Stanowisko Zarządu Związku Banków Polskich w sprawie działań ograniczających skutki skokowego wzrostu kursu CHF.</w:t>
      </w:r>
      <w:r w:rsidRPr="00785474">
        <w:rPr>
          <w:rFonts w:cs="Times New Roman"/>
          <w:szCs w:val="24"/>
        </w:rPr>
        <w:t xml:space="preserve"> </w:t>
      </w:r>
      <w:r w:rsidRPr="00785474">
        <w:rPr>
          <w:rFonts w:cs="Times New Roman"/>
          <w:i/>
          <w:szCs w:val="24"/>
        </w:rPr>
        <w:t>z dn. 23.01.2015 r.</w:t>
      </w:r>
      <w:r w:rsidR="00F82C2D" w:rsidRPr="00785474">
        <w:rPr>
          <w:rFonts w:cs="Times New Roman"/>
          <w:szCs w:val="24"/>
        </w:rPr>
        <w:t>,</w:t>
      </w:r>
    </w:p>
    <w:p w14:paraId="0DF35A9E" w14:textId="77777777" w:rsidR="00000B49" w:rsidRPr="00785474" w:rsidRDefault="002F000D" w:rsidP="00785474">
      <w:pPr>
        <w:pStyle w:val="Akapitzlist"/>
        <w:numPr>
          <w:ilvl w:val="0"/>
          <w:numId w:val="14"/>
        </w:numPr>
        <w:spacing w:line="360" w:lineRule="auto"/>
        <w:ind w:left="360"/>
        <w:jc w:val="both"/>
        <w:rPr>
          <w:rFonts w:cs="Times New Roman"/>
          <w:szCs w:val="24"/>
        </w:rPr>
      </w:pPr>
      <w:r w:rsidRPr="00785474">
        <w:rPr>
          <w:rFonts w:cs="Times New Roman"/>
          <w:szCs w:val="24"/>
        </w:rPr>
        <w:t xml:space="preserve">Związek Banków Polskich, </w:t>
      </w:r>
      <w:r w:rsidRPr="00785474">
        <w:rPr>
          <w:rFonts w:cs="Times New Roman"/>
          <w:i/>
          <w:szCs w:val="24"/>
        </w:rPr>
        <w:t>Kredyt w CHF na polskim rynku. Skutki propozycji ZBP po wzroście kursu CHF po 15.01.2015 r.</w:t>
      </w:r>
      <w:r w:rsidR="00F82C2D" w:rsidRPr="00785474">
        <w:rPr>
          <w:rFonts w:cs="Times New Roman"/>
          <w:szCs w:val="24"/>
        </w:rPr>
        <w:t>,</w:t>
      </w:r>
    </w:p>
    <w:p w14:paraId="04EFFB7C" w14:textId="4BE817D2" w:rsidR="002F000D" w:rsidRPr="00785474" w:rsidRDefault="002F000D" w:rsidP="00785474">
      <w:pPr>
        <w:pStyle w:val="Akapitzlist"/>
        <w:numPr>
          <w:ilvl w:val="0"/>
          <w:numId w:val="14"/>
        </w:numPr>
        <w:spacing w:line="360" w:lineRule="auto"/>
        <w:ind w:left="360"/>
        <w:jc w:val="both"/>
        <w:rPr>
          <w:szCs w:val="24"/>
        </w:rPr>
      </w:pPr>
      <w:r w:rsidRPr="00785474">
        <w:rPr>
          <w:rFonts w:cs="Times New Roman"/>
          <w:szCs w:val="24"/>
        </w:rPr>
        <w:t xml:space="preserve">Związek Banków Polskich, </w:t>
      </w:r>
      <w:r w:rsidRPr="00785474">
        <w:rPr>
          <w:rFonts w:cs="Times New Roman"/>
          <w:i/>
          <w:szCs w:val="24"/>
        </w:rPr>
        <w:t>Propozycja rozwiązania kwestii kredytów w CHF dla rodzin najsłabszych ekonomicznie</w:t>
      </w:r>
      <w:r w:rsidR="008A1752" w:rsidRPr="00785474">
        <w:rPr>
          <w:rFonts w:cs="Times New Roman"/>
          <w:szCs w:val="24"/>
        </w:rPr>
        <w:t>, Warszawa 2016</w:t>
      </w:r>
      <w:r w:rsidR="00F82C2D" w:rsidRPr="00785474">
        <w:rPr>
          <w:rFonts w:cs="Times New Roman"/>
          <w:szCs w:val="24"/>
        </w:rPr>
        <w:t>,</w:t>
      </w:r>
      <w:r w:rsidRPr="00785474">
        <w:rPr>
          <w:szCs w:val="24"/>
        </w:rPr>
        <w:t xml:space="preserve"> </w:t>
      </w:r>
    </w:p>
    <w:p w14:paraId="2D2AB61B" w14:textId="77777777" w:rsidR="006048F7" w:rsidRPr="00785474" w:rsidRDefault="00CC60BA" w:rsidP="00785474">
      <w:pPr>
        <w:pStyle w:val="Akapitzlist"/>
        <w:numPr>
          <w:ilvl w:val="0"/>
          <w:numId w:val="14"/>
        </w:numPr>
        <w:spacing w:line="360" w:lineRule="auto"/>
        <w:ind w:left="360"/>
        <w:jc w:val="both"/>
        <w:rPr>
          <w:rFonts w:cs="Times New Roman"/>
          <w:szCs w:val="24"/>
        </w:rPr>
      </w:pPr>
      <w:r w:rsidRPr="00785474">
        <w:rPr>
          <w:rFonts w:cs="Times New Roman"/>
          <w:szCs w:val="24"/>
        </w:rPr>
        <w:t xml:space="preserve">Ministerstwo Gospodarki, </w:t>
      </w:r>
      <w:r w:rsidRPr="00785474">
        <w:rPr>
          <w:rFonts w:cs="Times New Roman"/>
          <w:i/>
          <w:szCs w:val="24"/>
        </w:rPr>
        <w:t>Propozycje rozwiązań Ministerstwa Gospodarki wobec problemów ze spłatą kredytów hipotecznych denominowanych we franku szwajcarskim CHF</w:t>
      </w:r>
      <w:r w:rsidRPr="00785474">
        <w:rPr>
          <w:rFonts w:cs="Times New Roman"/>
          <w:szCs w:val="24"/>
        </w:rPr>
        <w:t xml:space="preserve">, Warszawa </w:t>
      </w:r>
      <w:r w:rsidR="008A1752" w:rsidRPr="00785474">
        <w:rPr>
          <w:rFonts w:cs="Times New Roman"/>
          <w:szCs w:val="24"/>
        </w:rPr>
        <w:t>2015,</w:t>
      </w:r>
    </w:p>
    <w:p w14:paraId="1472819B" w14:textId="77777777" w:rsidR="006048F7" w:rsidRPr="00785474" w:rsidRDefault="00CC60BA" w:rsidP="00785474">
      <w:pPr>
        <w:pStyle w:val="Akapitzlist"/>
        <w:numPr>
          <w:ilvl w:val="0"/>
          <w:numId w:val="14"/>
        </w:numPr>
        <w:spacing w:line="360" w:lineRule="auto"/>
        <w:ind w:left="360"/>
        <w:jc w:val="both"/>
        <w:rPr>
          <w:szCs w:val="24"/>
        </w:rPr>
      </w:pPr>
      <w:r w:rsidRPr="00785474">
        <w:rPr>
          <w:szCs w:val="24"/>
        </w:rPr>
        <w:t xml:space="preserve">Kancelaria Chmaj i Wspólnicy, </w:t>
      </w:r>
      <w:r w:rsidRPr="00785474">
        <w:rPr>
          <w:i/>
          <w:szCs w:val="24"/>
        </w:rPr>
        <w:t>Opinia prawna w przedmiocie oceny zgodności z konstytucją prezydenckiego projektu ustawy o zasadach zwrotu niektórych należności wynikających z umów kredytu i pożyczki (w wersji przedstawionej dnia 2.08.2016 r.)</w:t>
      </w:r>
      <w:r w:rsidR="00000B49" w:rsidRPr="00785474">
        <w:rPr>
          <w:szCs w:val="24"/>
        </w:rPr>
        <w:t>, Warszawa 2016 r.,</w:t>
      </w:r>
    </w:p>
    <w:p w14:paraId="0EC4972A" w14:textId="07E2D880" w:rsidR="00CC60BA" w:rsidRPr="00785474" w:rsidRDefault="00CC60BA" w:rsidP="00785474">
      <w:pPr>
        <w:pStyle w:val="Akapitzlist"/>
        <w:numPr>
          <w:ilvl w:val="0"/>
          <w:numId w:val="14"/>
        </w:numPr>
        <w:spacing w:line="360" w:lineRule="auto"/>
        <w:ind w:left="360"/>
        <w:jc w:val="both"/>
        <w:rPr>
          <w:rFonts w:cs="Times New Roman"/>
          <w:szCs w:val="24"/>
        </w:rPr>
      </w:pPr>
      <w:r w:rsidRPr="00785474">
        <w:rPr>
          <w:szCs w:val="24"/>
        </w:rPr>
        <w:lastRenderedPageBreak/>
        <w:t xml:space="preserve">Kancelaria Chmaj i Wspólnicy, </w:t>
      </w:r>
      <w:r w:rsidRPr="00785474">
        <w:rPr>
          <w:i/>
          <w:szCs w:val="24"/>
        </w:rPr>
        <w:t>Analiza skutków ekonomicznych wprowadzenia w życie prezydenckiego projektu ustawy o zasadach zwrotu niektórych należności wynikających z umów kredytu i pożyczki</w:t>
      </w:r>
      <w:r w:rsidRPr="00785474">
        <w:rPr>
          <w:szCs w:val="24"/>
        </w:rPr>
        <w:t>, Warszawa 2016 r.</w:t>
      </w:r>
    </w:p>
    <w:p w14:paraId="6814B41A" w14:textId="3FCE3946" w:rsidR="00000B49" w:rsidRPr="00000B49" w:rsidRDefault="00000B49" w:rsidP="00000B49">
      <w:pPr>
        <w:spacing w:line="360" w:lineRule="auto"/>
        <w:jc w:val="both"/>
        <w:rPr>
          <w:rFonts w:eastAsiaTheme="majorEastAsia" w:cstheme="majorBidi"/>
          <w:b/>
          <w:bCs/>
          <w:szCs w:val="24"/>
        </w:rPr>
      </w:pPr>
      <w:r w:rsidRPr="00000B49">
        <w:rPr>
          <w:rFonts w:eastAsiaTheme="majorEastAsia" w:cstheme="majorBidi"/>
          <w:b/>
          <w:bCs/>
          <w:szCs w:val="24"/>
        </w:rPr>
        <w:br w:type="page"/>
      </w:r>
    </w:p>
    <w:p w14:paraId="3C64A222" w14:textId="155E2751" w:rsidR="00A574C7" w:rsidRDefault="00A574C7" w:rsidP="008B012A">
      <w:pPr>
        <w:pStyle w:val="Nagwek1"/>
        <w:spacing w:line="360" w:lineRule="auto"/>
      </w:pPr>
      <w:bookmarkStart w:id="43" w:name="_Toc513545772"/>
      <w:r>
        <w:lastRenderedPageBreak/>
        <w:t>Spis wykresów</w:t>
      </w:r>
      <w:r w:rsidR="00363B56">
        <w:t>.</w:t>
      </w:r>
      <w:bookmarkEnd w:id="43"/>
    </w:p>
    <w:p w14:paraId="5E12FF78" w14:textId="38543DD5" w:rsidR="00496057" w:rsidRPr="00496057" w:rsidRDefault="00014F40" w:rsidP="00496057">
      <w:pPr>
        <w:pStyle w:val="Spisilustracji"/>
        <w:tabs>
          <w:tab w:val="right" w:leader="dot" w:pos="9061"/>
        </w:tabs>
        <w:spacing w:line="360" w:lineRule="auto"/>
        <w:rPr>
          <w:rFonts w:asciiTheme="minorHAnsi" w:eastAsiaTheme="minorEastAsia" w:hAnsiTheme="minorHAnsi"/>
          <w:noProof/>
          <w:sz w:val="22"/>
          <w:lang w:eastAsia="pl-PL"/>
        </w:rPr>
      </w:pPr>
      <w:r>
        <w:fldChar w:fldCharType="begin"/>
      </w:r>
      <w:r>
        <w:instrText xml:space="preserve"> TOC \h \z \c "Wykres" </w:instrText>
      </w:r>
      <w:r>
        <w:fldChar w:fldCharType="separate"/>
      </w:r>
      <w:hyperlink w:anchor="_Toc513544695" w:history="1">
        <w:r w:rsidR="00496057" w:rsidRPr="00496057">
          <w:rPr>
            <w:rStyle w:val="Hipercze"/>
            <w:noProof/>
            <w:color w:val="auto"/>
          </w:rPr>
          <w:t>Wykres 1. Wybrane referencyjne stopy procentowe w latach 2000-2017.</w:t>
        </w:r>
        <w:r w:rsidR="00496057" w:rsidRPr="00496057">
          <w:rPr>
            <w:noProof/>
            <w:webHidden/>
          </w:rPr>
          <w:tab/>
        </w:r>
        <w:r w:rsidR="00496057" w:rsidRPr="00496057">
          <w:rPr>
            <w:noProof/>
            <w:webHidden/>
          </w:rPr>
          <w:fldChar w:fldCharType="begin"/>
        </w:r>
        <w:r w:rsidR="00496057" w:rsidRPr="00496057">
          <w:rPr>
            <w:noProof/>
            <w:webHidden/>
          </w:rPr>
          <w:instrText xml:space="preserve"> PAGEREF _Toc513544695 \h </w:instrText>
        </w:r>
        <w:r w:rsidR="00496057" w:rsidRPr="00496057">
          <w:rPr>
            <w:noProof/>
            <w:webHidden/>
          </w:rPr>
        </w:r>
        <w:r w:rsidR="00496057" w:rsidRPr="00496057">
          <w:rPr>
            <w:noProof/>
            <w:webHidden/>
          </w:rPr>
          <w:fldChar w:fldCharType="separate"/>
        </w:r>
        <w:r w:rsidR="008B576E">
          <w:rPr>
            <w:noProof/>
            <w:webHidden/>
          </w:rPr>
          <w:t>- 13 -</w:t>
        </w:r>
        <w:r w:rsidR="00496057" w:rsidRPr="00496057">
          <w:rPr>
            <w:noProof/>
            <w:webHidden/>
          </w:rPr>
          <w:fldChar w:fldCharType="end"/>
        </w:r>
      </w:hyperlink>
    </w:p>
    <w:p w14:paraId="19DF74B0" w14:textId="1AC52209" w:rsidR="00496057" w:rsidRPr="00496057" w:rsidRDefault="00AD0FD6" w:rsidP="00496057">
      <w:pPr>
        <w:pStyle w:val="Spisilustracji"/>
        <w:tabs>
          <w:tab w:val="right" w:leader="dot" w:pos="9061"/>
        </w:tabs>
        <w:spacing w:line="360" w:lineRule="auto"/>
        <w:rPr>
          <w:rFonts w:asciiTheme="minorHAnsi" w:eastAsiaTheme="minorEastAsia" w:hAnsiTheme="minorHAnsi"/>
          <w:noProof/>
          <w:sz w:val="22"/>
          <w:lang w:eastAsia="pl-PL"/>
        </w:rPr>
      </w:pPr>
      <w:hyperlink w:anchor="_Toc513544696" w:history="1">
        <w:r w:rsidR="00496057" w:rsidRPr="00496057">
          <w:rPr>
            <w:rStyle w:val="Hipercze"/>
            <w:noProof/>
            <w:color w:val="auto"/>
          </w:rPr>
          <w:t>Wykres 2. Kursy wybranych walut zagranicznych do PLN w latach 2000-2017.</w:t>
        </w:r>
        <w:r w:rsidR="00496057" w:rsidRPr="00496057">
          <w:rPr>
            <w:noProof/>
            <w:webHidden/>
          </w:rPr>
          <w:tab/>
        </w:r>
        <w:r w:rsidR="00496057" w:rsidRPr="00496057">
          <w:rPr>
            <w:noProof/>
            <w:webHidden/>
          </w:rPr>
          <w:fldChar w:fldCharType="begin"/>
        </w:r>
        <w:r w:rsidR="00496057" w:rsidRPr="00496057">
          <w:rPr>
            <w:noProof/>
            <w:webHidden/>
          </w:rPr>
          <w:instrText xml:space="preserve"> PAGEREF _Toc513544696 \h </w:instrText>
        </w:r>
        <w:r w:rsidR="00496057" w:rsidRPr="00496057">
          <w:rPr>
            <w:noProof/>
            <w:webHidden/>
          </w:rPr>
        </w:r>
        <w:r w:rsidR="00496057" w:rsidRPr="00496057">
          <w:rPr>
            <w:noProof/>
            <w:webHidden/>
          </w:rPr>
          <w:fldChar w:fldCharType="separate"/>
        </w:r>
        <w:r w:rsidR="008B576E">
          <w:rPr>
            <w:noProof/>
            <w:webHidden/>
          </w:rPr>
          <w:t>- 15 -</w:t>
        </w:r>
        <w:r w:rsidR="00496057" w:rsidRPr="00496057">
          <w:rPr>
            <w:noProof/>
            <w:webHidden/>
          </w:rPr>
          <w:fldChar w:fldCharType="end"/>
        </w:r>
      </w:hyperlink>
    </w:p>
    <w:p w14:paraId="2C8C5277" w14:textId="3F111EBB" w:rsidR="00496057" w:rsidRPr="00496057" w:rsidRDefault="00AD0FD6" w:rsidP="00496057">
      <w:pPr>
        <w:pStyle w:val="Spisilustracji"/>
        <w:tabs>
          <w:tab w:val="right" w:leader="dot" w:pos="9061"/>
        </w:tabs>
        <w:spacing w:line="360" w:lineRule="auto"/>
        <w:rPr>
          <w:rFonts w:asciiTheme="minorHAnsi" w:eastAsiaTheme="minorEastAsia" w:hAnsiTheme="minorHAnsi"/>
          <w:noProof/>
          <w:sz w:val="22"/>
          <w:lang w:eastAsia="pl-PL"/>
        </w:rPr>
      </w:pPr>
      <w:hyperlink w:anchor="_Toc513544697" w:history="1">
        <w:r w:rsidR="00496057" w:rsidRPr="00496057">
          <w:rPr>
            <w:rStyle w:val="Hipercze"/>
            <w:noProof/>
            <w:color w:val="auto"/>
          </w:rPr>
          <w:t>Wykres 3. Liczba udzielonych kredytów mieszkaniowych w sztukach według walut w latach 2005-2015 w Polsce.</w:t>
        </w:r>
        <w:r w:rsidR="00496057" w:rsidRPr="00496057">
          <w:rPr>
            <w:noProof/>
            <w:webHidden/>
          </w:rPr>
          <w:tab/>
        </w:r>
        <w:r w:rsidR="00496057" w:rsidRPr="00496057">
          <w:rPr>
            <w:noProof/>
            <w:webHidden/>
          </w:rPr>
          <w:fldChar w:fldCharType="begin"/>
        </w:r>
        <w:r w:rsidR="00496057" w:rsidRPr="00496057">
          <w:rPr>
            <w:noProof/>
            <w:webHidden/>
          </w:rPr>
          <w:instrText xml:space="preserve"> PAGEREF _Toc513544697 \h </w:instrText>
        </w:r>
        <w:r w:rsidR="00496057" w:rsidRPr="00496057">
          <w:rPr>
            <w:noProof/>
            <w:webHidden/>
          </w:rPr>
        </w:r>
        <w:r w:rsidR="00496057" w:rsidRPr="00496057">
          <w:rPr>
            <w:noProof/>
            <w:webHidden/>
          </w:rPr>
          <w:fldChar w:fldCharType="separate"/>
        </w:r>
        <w:r w:rsidR="008B576E">
          <w:rPr>
            <w:noProof/>
            <w:webHidden/>
          </w:rPr>
          <w:t>- 16 -</w:t>
        </w:r>
        <w:r w:rsidR="00496057" w:rsidRPr="00496057">
          <w:rPr>
            <w:noProof/>
            <w:webHidden/>
          </w:rPr>
          <w:fldChar w:fldCharType="end"/>
        </w:r>
      </w:hyperlink>
    </w:p>
    <w:p w14:paraId="1E44607F" w14:textId="14F02888" w:rsidR="00496057" w:rsidRPr="00496057" w:rsidRDefault="00AD0FD6" w:rsidP="00496057">
      <w:pPr>
        <w:pStyle w:val="Spisilustracji"/>
        <w:tabs>
          <w:tab w:val="right" w:leader="dot" w:pos="9061"/>
        </w:tabs>
        <w:spacing w:line="360" w:lineRule="auto"/>
        <w:rPr>
          <w:rFonts w:asciiTheme="minorHAnsi" w:eastAsiaTheme="minorEastAsia" w:hAnsiTheme="minorHAnsi"/>
          <w:noProof/>
          <w:sz w:val="22"/>
          <w:lang w:eastAsia="pl-PL"/>
        </w:rPr>
      </w:pPr>
      <w:hyperlink w:anchor="_Toc513544698" w:history="1">
        <w:r w:rsidR="00496057" w:rsidRPr="00496057">
          <w:rPr>
            <w:rStyle w:val="Hipercze"/>
            <w:noProof/>
            <w:color w:val="auto"/>
          </w:rPr>
          <w:t>Wykres 4. Struktura nowo udzielonych kredytów mieszkaniowych w latach 2005-2015 w Polsce.</w:t>
        </w:r>
        <w:r w:rsidR="00496057" w:rsidRPr="00496057">
          <w:rPr>
            <w:noProof/>
            <w:webHidden/>
          </w:rPr>
          <w:tab/>
        </w:r>
        <w:r w:rsidR="00496057" w:rsidRPr="00496057">
          <w:rPr>
            <w:noProof/>
            <w:webHidden/>
          </w:rPr>
          <w:fldChar w:fldCharType="begin"/>
        </w:r>
        <w:r w:rsidR="00496057" w:rsidRPr="00496057">
          <w:rPr>
            <w:noProof/>
            <w:webHidden/>
          </w:rPr>
          <w:instrText xml:space="preserve"> PAGEREF _Toc513544698 \h </w:instrText>
        </w:r>
        <w:r w:rsidR="00496057" w:rsidRPr="00496057">
          <w:rPr>
            <w:noProof/>
            <w:webHidden/>
          </w:rPr>
        </w:r>
        <w:r w:rsidR="00496057" w:rsidRPr="00496057">
          <w:rPr>
            <w:noProof/>
            <w:webHidden/>
          </w:rPr>
          <w:fldChar w:fldCharType="separate"/>
        </w:r>
        <w:r w:rsidR="008B576E">
          <w:rPr>
            <w:noProof/>
            <w:webHidden/>
          </w:rPr>
          <w:t>- 18 -</w:t>
        </w:r>
        <w:r w:rsidR="00496057" w:rsidRPr="00496057">
          <w:rPr>
            <w:noProof/>
            <w:webHidden/>
          </w:rPr>
          <w:fldChar w:fldCharType="end"/>
        </w:r>
      </w:hyperlink>
    </w:p>
    <w:p w14:paraId="4036A3A1" w14:textId="30DD6938" w:rsidR="00496057" w:rsidRPr="00496057" w:rsidRDefault="00AD0FD6" w:rsidP="00496057">
      <w:pPr>
        <w:pStyle w:val="Spisilustracji"/>
        <w:tabs>
          <w:tab w:val="right" w:leader="dot" w:pos="9061"/>
        </w:tabs>
        <w:spacing w:line="360" w:lineRule="auto"/>
        <w:rPr>
          <w:rFonts w:asciiTheme="minorHAnsi" w:eastAsiaTheme="minorEastAsia" w:hAnsiTheme="minorHAnsi"/>
          <w:noProof/>
          <w:sz w:val="22"/>
          <w:lang w:eastAsia="pl-PL"/>
        </w:rPr>
      </w:pPr>
      <w:hyperlink w:anchor="_Toc513544699" w:history="1">
        <w:r w:rsidR="00496057" w:rsidRPr="00496057">
          <w:rPr>
            <w:rStyle w:val="Hipercze"/>
            <w:noProof/>
            <w:color w:val="auto"/>
          </w:rPr>
          <w:t>Wykres 5. Porównanie wartości (w mld zł) i struktury walutowej kredytów mieszkaniowych w latach 2009-2017 w Polsce.</w:t>
        </w:r>
        <w:r w:rsidR="00496057" w:rsidRPr="00496057">
          <w:rPr>
            <w:noProof/>
            <w:webHidden/>
          </w:rPr>
          <w:tab/>
        </w:r>
        <w:r w:rsidR="00496057" w:rsidRPr="00496057">
          <w:rPr>
            <w:noProof/>
            <w:webHidden/>
          </w:rPr>
          <w:fldChar w:fldCharType="begin"/>
        </w:r>
        <w:r w:rsidR="00496057" w:rsidRPr="00496057">
          <w:rPr>
            <w:noProof/>
            <w:webHidden/>
          </w:rPr>
          <w:instrText xml:space="preserve"> PAGEREF _Toc513544699 \h </w:instrText>
        </w:r>
        <w:r w:rsidR="00496057" w:rsidRPr="00496057">
          <w:rPr>
            <w:noProof/>
            <w:webHidden/>
          </w:rPr>
        </w:r>
        <w:r w:rsidR="00496057" w:rsidRPr="00496057">
          <w:rPr>
            <w:noProof/>
            <w:webHidden/>
          </w:rPr>
          <w:fldChar w:fldCharType="separate"/>
        </w:r>
        <w:r w:rsidR="008B576E">
          <w:rPr>
            <w:noProof/>
            <w:webHidden/>
          </w:rPr>
          <w:t>- 19 -</w:t>
        </w:r>
        <w:r w:rsidR="00496057" w:rsidRPr="00496057">
          <w:rPr>
            <w:noProof/>
            <w:webHidden/>
          </w:rPr>
          <w:fldChar w:fldCharType="end"/>
        </w:r>
      </w:hyperlink>
    </w:p>
    <w:p w14:paraId="0B3039DF" w14:textId="3F876EF5" w:rsidR="00496057" w:rsidRPr="00496057" w:rsidRDefault="00AD0FD6" w:rsidP="00496057">
      <w:pPr>
        <w:pStyle w:val="Spisilustracji"/>
        <w:tabs>
          <w:tab w:val="right" w:leader="dot" w:pos="9061"/>
        </w:tabs>
        <w:spacing w:line="360" w:lineRule="auto"/>
        <w:rPr>
          <w:rFonts w:asciiTheme="minorHAnsi" w:eastAsiaTheme="minorEastAsia" w:hAnsiTheme="minorHAnsi"/>
          <w:noProof/>
          <w:sz w:val="22"/>
          <w:lang w:eastAsia="pl-PL"/>
        </w:rPr>
      </w:pPr>
      <w:hyperlink w:anchor="_Toc513544700" w:history="1">
        <w:r w:rsidR="00496057" w:rsidRPr="00496057">
          <w:rPr>
            <w:rStyle w:val="Hipercze"/>
            <w:noProof/>
            <w:color w:val="auto"/>
          </w:rPr>
          <w:t>Wykres 6. Liczba osób obsługujących kredyty mieszkaniowe (w tys.) w 2017 r. w Polsce.</w:t>
        </w:r>
        <w:r w:rsidR="00496057" w:rsidRPr="00496057">
          <w:rPr>
            <w:noProof/>
            <w:webHidden/>
          </w:rPr>
          <w:tab/>
        </w:r>
        <w:r w:rsidR="00496057" w:rsidRPr="00496057">
          <w:rPr>
            <w:noProof/>
            <w:webHidden/>
          </w:rPr>
          <w:fldChar w:fldCharType="begin"/>
        </w:r>
        <w:r w:rsidR="00496057" w:rsidRPr="00496057">
          <w:rPr>
            <w:noProof/>
            <w:webHidden/>
          </w:rPr>
          <w:instrText xml:space="preserve"> PAGEREF _Toc513544700 \h </w:instrText>
        </w:r>
        <w:r w:rsidR="00496057" w:rsidRPr="00496057">
          <w:rPr>
            <w:noProof/>
            <w:webHidden/>
          </w:rPr>
        </w:r>
        <w:r w:rsidR="00496057" w:rsidRPr="00496057">
          <w:rPr>
            <w:noProof/>
            <w:webHidden/>
          </w:rPr>
          <w:fldChar w:fldCharType="separate"/>
        </w:r>
        <w:r w:rsidR="008B576E">
          <w:rPr>
            <w:noProof/>
            <w:webHidden/>
          </w:rPr>
          <w:t>- 20 -</w:t>
        </w:r>
        <w:r w:rsidR="00496057" w:rsidRPr="00496057">
          <w:rPr>
            <w:noProof/>
            <w:webHidden/>
          </w:rPr>
          <w:fldChar w:fldCharType="end"/>
        </w:r>
      </w:hyperlink>
    </w:p>
    <w:p w14:paraId="5428E672" w14:textId="7FE2E359" w:rsidR="00496057" w:rsidRPr="00496057" w:rsidRDefault="00AD0FD6" w:rsidP="00496057">
      <w:pPr>
        <w:pStyle w:val="Spisilustracji"/>
        <w:tabs>
          <w:tab w:val="right" w:leader="dot" w:pos="9061"/>
        </w:tabs>
        <w:spacing w:line="360" w:lineRule="auto"/>
        <w:rPr>
          <w:rFonts w:asciiTheme="minorHAnsi" w:eastAsiaTheme="minorEastAsia" w:hAnsiTheme="minorHAnsi"/>
          <w:noProof/>
          <w:sz w:val="22"/>
          <w:lang w:eastAsia="pl-PL"/>
        </w:rPr>
      </w:pPr>
      <w:hyperlink w:anchor="_Toc513544701" w:history="1">
        <w:r w:rsidR="00496057" w:rsidRPr="00496057">
          <w:rPr>
            <w:rStyle w:val="Hipercze"/>
            <w:noProof/>
            <w:color w:val="auto"/>
          </w:rPr>
          <w:t>Wykres 7. Stosunek strat należności sektora bankowego w Polsce z tytułu kredytów mieszkaniowych do ogólnej wartości kredytów mieszkaniowych w wartości bilansowej brutto według walut w latach 2009-2017.</w:t>
        </w:r>
        <w:r w:rsidR="00496057" w:rsidRPr="00496057">
          <w:rPr>
            <w:noProof/>
            <w:webHidden/>
          </w:rPr>
          <w:tab/>
        </w:r>
        <w:r w:rsidR="00496057" w:rsidRPr="00496057">
          <w:rPr>
            <w:noProof/>
            <w:webHidden/>
          </w:rPr>
          <w:fldChar w:fldCharType="begin"/>
        </w:r>
        <w:r w:rsidR="00496057" w:rsidRPr="00496057">
          <w:rPr>
            <w:noProof/>
            <w:webHidden/>
          </w:rPr>
          <w:instrText xml:space="preserve"> PAGEREF _Toc513544701 \h </w:instrText>
        </w:r>
        <w:r w:rsidR="00496057" w:rsidRPr="00496057">
          <w:rPr>
            <w:noProof/>
            <w:webHidden/>
          </w:rPr>
        </w:r>
        <w:r w:rsidR="00496057" w:rsidRPr="00496057">
          <w:rPr>
            <w:noProof/>
            <w:webHidden/>
          </w:rPr>
          <w:fldChar w:fldCharType="separate"/>
        </w:r>
        <w:r w:rsidR="008B576E">
          <w:rPr>
            <w:noProof/>
            <w:webHidden/>
          </w:rPr>
          <w:t>- 21 -</w:t>
        </w:r>
        <w:r w:rsidR="00496057" w:rsidRPr="00496057">
          <w:rPr>
            <w:noProof/>
            <w:webHidden/>
          </w:rPr>
          <w:fldChar w:fldCharType="end"/>
        </w:r>
      </w:hyperlink>
    </w:p>
    <w:p w14:paraId="401D735D" w14:textId="1ABE5FB7" w:rsidR="00496057" w:rsidRPr="00496057" w:rsidRDefault="00AD0FD6" w:rsidP="00496057">
      <w:pPr>
        <w:pStyle w:val="Spisilustracji"/>
        <w:tabs>
          <w:tab w:val="right" w:leader="dot" w:pos="9061"/>
        </w:tabs>
        <w:spacing w:line="360" w:lineRule="auto"/>
        <w:rPr>
          <w:rFonts w:asciiTheme="minorHAnsi" w:eastAsiaTheme="minorEastAsia" w:hAnsiTheme="minorHAnsi"/>
          <w:noProof/>
          <w:sz w:val="22"/>
          <w:lang w:eastAsia="pl-PL"/>
        </w:rPr>
      </w:pPr>
      <w:hyperlink w:anchor="_Toc513544702" w:history="1">
        <w:r w:rsidR="00496057" w:rsidRPr="00496057">
          <w:rPr>
            <w:rStyle w:val="Hipercze"/>
            <w:noProof/>
            <w:color w:val="auto"/>
          </w:rPr>
          <w:t>Wykres 8. Odsetek nieruchomości obciążonych kredytem hipotecznym w krajach Europy w 2014 r.</w:t>
        </w:r>
        <w:r w:rsidR="00496057" w:rsidRPr="00496057">
          <w:rPr>
            <w:noProof/>
            <w:webHidden/>
          </w:rPr>
          <w:tab/>
        </w:r>
        <w:r w:rsidR="00496057" w:rsidRPr="00496057">
          <w:rPr>
            <w:noProof/>
            <w:webHidden/>
          </w:rPr>
          <w:fldChar w:fldCharType="begin"/>
        </w:r>
        <w:r w:rsidR="00496057" w:rsidRPr="00496057">
          <w:rPr>
            <w:noProof/>
            <w:webHidden/>
          </w:rPr>
          <w:instrText xml:space="preserve"> PAGEREF _Toc513544702 \h </w:instrText>
        </w:r>
        <w:r w:rsidR="00496057" w:rsidRPr="00496057">
          <w:rPr>
            <w:noProof/>
            <w:webHidden/>
          </w:rPr>
        </w:r>
        <w:r w:rsidR="00496057" w:rsidRPr="00496057">
          <w:rPr>
            <w:noProof/>
            <w:webHidden/>
          </w:rPr>
          <w:fldChar w:fldCharType="separate"/>
        </w:r>
        <w:r w:rsidR="008B576E">
          <w:rPr>
            <w:noProof/>
            <w:webHidden/>
          </w:rPr>
          <w:t>- 30 -</w:t>
        </w:r>
        <w:r w:rsidR="00496057" w:rsidRPr="00496057">
          <w:rPr>
            <w:noProof/>
            <w:webHidden/>
          </w:rPr>
          <w:fldChar w:fldCharType="end"/>
        </w:r>
      </w:hyperlink>
    </w:p>
    <w:p w14:paraId="44DF895B" w14:textId="5F473640" w:rsidR="00496057" w:rsidRDefault="00AD0FD6" w:rsidP="00496057">
      <w:pPr>
        <w:pStyle w:val="Spisilustracji"/>
        <w:tabs>
          <w:tab w:val="right" w:leader="dot" w:pos="9061"/>
        </w:tabs>
        <w:spacing w:line="360" w:lineRule="auto"/>
        <w:rPr>
          <w:rFonts w:asciiTheme="minorHAnsi" w:eastAsiaTheme="minorEastAsia" w:hAnsiTheme="minorHAnsi"/>
          <w:noProof/>
          <w:sz w:val="22"/>
          <w:lang w:eastAsia="pl-PL"/>
        </w:rPr>
      </w:pPr>
      <w:hyperlink w:anchor="_Toc513544703" w:history="1">
        <w:r w:rsidR="00496057" w:rsidRPr="00496057">
          <w:rPr>
            <w:rStyle w:val="Hipercze"/>
            <w:noProof/>
            <w:color w:val="auto"/>
          </w:rPr>
          <w:t>Wykres 9. Łączne zadłużenie gospodarstw domowych i przedsiębiorstw z tytułu kredytów w CHF w mld EUR w III kwartale 2014 r. w wybranych krajach Unii Europejskiej.</w:t>
        </w:r>
        <w:r w:rsidR="00496057" w:rsidRPr="00496057">
          <w:rPr>
            <w:noProof/>
            <w:webHidden/>
          </w:rPr>
          <w:tab/>
        </w:r>
        <w:r w:rsidR="00496057" w:rsidRPr="00496057">
          <w:rPr>
            <w:noProof/>
            <w:webHidden/>
          </w:rPr>
          <w:fldChar w:fldCharType="begin"/>
        </w:r>
        <w:r w:rsidR="00496057" w:rsidRPr="00496057">
          <w:rPr>
            <w:noProof/>
            <w:webHidden/>
          </w:rPr>
          <w:instrText xml:space="preserve"> PAGEREF _Toc513544703 \h </w:instrText>
        </w:r>
        <w:r w:rsidR="00496057" w:rsidRPr="00496057">
          <w:rPr>
            <w:noProof/>
            <w:webHidden/>
          </w:rPr>
        </w:r>
        <w:r w:rsidR="00496057" w:rsidRPr="00496057">
          <w:rPr>
            <w:noProof/>
            <w:webHidden/>
          </w:rPr>
          <w:fldChar w:fldCharType="separate"/>
        </w:r>
        <w:r w:rsidR="008B576E">
          <w:rPr>
            <w:noProof/>
            <w:webHidden/>
          </w:rPr>
          <w:t>- 31 -</w:t>
        </w:r>
        <w:r w:rsidR="00496057" w:rsidRPr="00496057">
          <w:rPr>
            <w:noProof/>
            <w:webHidden/>
          </w:rPr>
          <w:fldChar w:fldCharType="end"/>
        </w:r>
      </w:hyperlink>
    </w:p>
    <w:p w14:paraId="76456255" w14:textId="53898729" w:rsidR="00683B35" w:rsidRDefault="00014F40" w:rsidP="00CD1205">
      <w:pPr>
        <w:spacing w:line="360" w:lineRule="auto"/>
        <w:jc w:val="both"/>
      </w:pPr>
      <w:r>
        <w:fldChar w:fldCharType="end"/>
      </w:r>
    </w:p>
    <w:p w14:paraId="4A9B2921" w14:textId="77777777" w:rsidR="000A2EDF" w:rsidRPr="0039600C" w:rsidRDefault="000A2EDF" w:rsidP="00CD1205">
      <w:pPr>
        <w:spacing w:line="360" w:lineRule="auto"/>
        <w:jc w:val="both"/>
      </w:pPr>
    </w:p>
    <w:p w14:paraId="53B1563C" w14:textId="77777777" w:rsidR="00874504" w:rsidRDefault="00874504" w:rsidP="00CD1205">
      <w:pPr>
        <w:spacing w:line="360" w:lineRule="auto"/>
        <w:jc w:val="both"/>
        <w:rPr>
          <w:noProof/>
          <w:lang w:eastAsia="pl-PL"/>
        </w:rPr>
      </w:pPr>
    </w:p>
    <w:p w14:paraId="40EF5E43" w14:textId="5596B637" w:rsidR="00FA376D" w:rsidRDefault="00FA376D" w:rsidP="00FA376D"/>
    <w:p w14:paraId="11D94F99" w14:textId="77777777" w:rsidR="009A3B16" w:rsidRDefault="009A3B16" w:rsidP="00FA376D"/>
    <w:p w14:paraId="2D48C742" w14:textId="77777777" w:rsidR="00FA376D" w:rsidRPr="00FA376D" w:rsidRDefault="00FA376D" w:rsidP="00FA376D"/>
    <w:p w14:paraId="69441D3A" w14:textId="75222D28" w:rsidR="004907F1" w:rsidRDefault="004907F1" w:rsidP="004907F1"/>
    <w:p w14:paraId="3B2B57BC" w14:textId="77777777" w:rsidR="004907F1" w:rsidRPr="004907F1" w:rsidRDefault="004907F1" w:rsidP="004907F1"/>
    <w:p w14:paraId="5BDA5B47" w14:textId="77777777" w:rsidR="00A574C7" w:rsidRDefault="00A574C7" w:rsidP="004907F1">
      <w:pPr>
        <w:jc w:val="both"/>
        <w:rPr>
          <w:rFonts w:eastAsiaTheme="majorEastAsia" w:cstheme="majorBidi"/>
          <w:b/>
          <w:bCs/>
          <w:szCs w:val="28"/>
        </w:rPr>
      </w:pPr>
      <w:r>
        <w:br w:type="page"/>
      </w:r>
    </w:p>
    <w:p w14:paraId="6E6D5934" w14:textId="58170160" w:rsidR="00493E50" w:rsidRDefault="00A574C7" w:rsidP="00472AF7">
      <w:pPr>
        <w:pStyle w:val="Nagwek1"/>
        <w:spacing w:line="360" w:lineRule="auto"/>
      </w:pPr>
      <w:bookmarkStart w:id="44" w:name="_Toc513545773"/>
      <w:r w:rsidRPr="00A574C7">
        <w:lastRenderedPageBreak/>
        <w:t>Streszczenie</w:t>
      </w:r>
      <w:r w:rsidR="00363B56">
        <w:t>.</w:t>
      </w:r>
      <w:bookmarkEnd w:id="44"/>
    </w:p>
    <w:p w14:paraId="23C3AC78" w14:textId="2DC42A49" w:rsidR="00563295" w:rsidRPr="00CF2507" w:rsidRDefault="00E549EE" w:rsidP="0080347A">
      <w:pPr>
        <w:spacing w:after="0" w:line="360" w:lineRule="auto"/>
        <w:jc w:val="both"/>
        <w:rPr>
          <w:rFonts w:cs="Times New Roman"/>
          <w:szCs w:val="24"/>
        </w:rPr>
      </w:pPr>
      <w:r>
        <w:tab/>
      </w:r>
      <w:r w:rsidR="00472AF7">
        <w:t>Praca porusza temat zadłużenia polskich gospodarstw domowych w walutach obcych</w:t>
      </w:r>
      <w:r w:rsidR="00F44B6F">
        <w:t xml:space="preserve"> z tytułu kredytów hipotecznych</w:t>
      </w:r>
      <w:r w:rsidR="00683D0D">
        <w:t xml:space="preserve"> i </w:t>
      </w:r>
      <w:r w:rsidR="0080347A">
        <w:t xml:space="preserve">stanowi próbę odpowiedzi na pytanie, czy </w:t>
      </w:r>
      <w:r w:rsidR="00563295">
        <w:t xml:space="preserve">duża wartość </w:t>
      </w:r>
      <w:r w:rsidR="008C68A2">
        <w:t>tego rodzaju długu</w:t>
      </w:r>
      <w:r w:rsidR="00563295">
        <w:t xml:space="preserve"> może stanowić zagrożenie</w:t>
      </w:r>
      <w:r w:rsidR="0080347A" w:rsidRPr="00CF2507">
        <w:rPr>
          <w:rFonts w:cs="Times New Roman"/>
          <w:szCs w:val="24"/>
        </w:rPr>
        <w:t xml:space="preserve"> dla poprawnego działania systemu bankowe</w:t>
      </w:r>
      <w:r w:rsidR="00563295">
        <w:rPr>
          <w:rFonts w:cs="Times New Roman"/>
          <w:szCs w:val="24"/>
        </w:rPr>
        <w:t>go</w:t>
      </w:r>
      <w:r w:rsidR="00235C64">
        <w:rPr>
          <w:rFonts w:cs="Times New Roman"/>
          <w:szCs w:val="24"/>
        </w:rPr>
        <w:t xml:space="preserve"> i gospodarki</w:t>
      </w:r>
      <w:r w:rsidR="00563295">
        <w:rPr>
          <w:rFonts w:cs="Times New Roman"/>
          <w:szCs w:val="24"/>
        </w:rPr>
        <w:t>.</w:t>
      </w:r>
    </w:p>
    <w:p w14:paraId="4B8A098E" w14:textId="05B93A86" w:rsidR="00F46DB4" w:rsidRDefault="0047744C" w:rsidP="0047744C">
      <w:pPr>
        <w:spacing w:line="360" w:lineRule="auto"/>
        <w:ind w:firstLine="708"/>
        <w:contextualSpacing/>
        <w:jc w:val="both"/>
      </w:pPr>
      <w:r>
        <w:t>W tym celu przedstawione</w:t>
      </w:r>
      <w:r w:rsidR="00292C6C">
        <w:t xml:space="preserve"> zosta</w:t>
      </w:r>
      <w:r>
        <w:t>ły</w:t>
      </w:r>
      <w:r w:rsidR="00292C6C">
        <w:t xml:space="preserve"> geneza i przyczyny dużej skali zadłużenia Polaków w walutach obcych </w:t>
      </w:r>
      <w:r w:rsidR="00E04BA4">
        <w:t xml:space="preserve">oraz </w:t>
      </w:r>
      <w:r w:rsidR="003F30C2">
        <w:t xml:space="preserve">zagrożenia </w:t>
      </w:r>
      <w:r w:rsidR="00A33661">
        <w:t>związane z kredytami walutowymi, zwłaszcza ryzyko walutowe.</w:t>
      </w:r>
      <w:r>
        <w:t xml:space="preserve"> W dalszej części omówiono regulacje dotyczące kredytów walutowych w Polsce i Unii Europejskiej</w:t>
      </w:r>
      <w:r w:rsidR="005128E7">
        <w:t xml:space="preserve"> i ich wpływ na kształt rynku kredytów walutowych w Polsce i Unii Europejskiej</w:t>
      </w:r>
      <w:r>
        <w:t xml:space="preserve">. Przedstawiono również sytuację </w:t>
      </w:r>
      <w:r w:rsidR="00245F6C">
        <w:t xml:space="preserve">i zastosowane </w:t>
      </w:r>
      <w:r w:rsidR="00454200">
        <w:t>metody</w:t>
      </w:r>
      <w:r w:rsidR="00245F6C">
        <w:t xml:space="preserve"> </w:t>
      </w:r>
      <w:r>
        <w:t>w innych pa</w:t>
      </w:r>
      <w:r w:rsidR="00E1656E">
        <w:t>ństwach, które zmagały</w:t>
      </w:r>
      <w:r w:rsidR="007B1ED6">
        <w:t xml:space="preserve"> się z podobn</w:t>
      </w:r>
      <w:r w:rsidR="00454200">
        <w:t>ym problem</w:t>
      </w:r>
      <w:r w:rsidR="001C540A">
        <w:t xml:space="preserve">. </w:t>
      </w:r>
      <w:r w:rsidR="009455F3">
        <w:t xml:space="preserve">Ostatnim elementem pracy jest porównanie różnych propozycji rozwiązania </w:t>
      </w:r>
      <w:r w:rsidR="00554850">
        <w:t>kwestii kredytów walutowych</w:t>
      </w:r>
      <w:r w:rsidR="008A3FFC">
        <w:t xml:space="preserve"> w Polsce</w:t>
      </w:r>
      <w:r w:rsidR="009455F3">
        <w:t xml:space="preserve"> i analiza ich potencjalnego wpływu na sytuację kredytobiorców i sektora bankowego. </w:t>
      </w:r>
    </w:p>
    <w:p w14:paraId="6C78CB6B" w14:textId="7082215C" w:rsidR="00E549EE" w:rsidRPr="00E549EE" w:rsidRDefault="00F46DB4" w:rsidP="009455F3">
      <w:pPr>
        <w:spacing w:line="360" w:lineRule="auto"/>
        <w:contextualSpacing/>
        <w:jc w:val="both"/>
        <w:rPr>
          <w:b/>
        </w:rPr>
      </w:pPr>
      <w:r>
        <w:tab/>
      </w:r>
      <w:r w:rsidR="009B7EBF">
        <w:t xml:space="preserve">Pracę zamyka wyciągnięcie wniosków, odpowiedź na pytania postawione w hipotezach oraz przedstawienie opinii autora na omawiany temat. </w:t>
      </w:r>
    </w:p>
    <w:p w14:paraId="02C81F07" w14:textId="77777777" w:rsidR="007A7DF0" w:rsidRDefault="00493E50" w:rsidP="007A7DF0">
      <w:pPr>
        <w:autoSpaceDE w:val="0"/>
        <w:autoSpaceDN w:val="0"/>
        <w:adjustRightInd w:val="0"/>
        <w:jc w:val="right"/>
        <w:rPr>
          <w:rFonts w:eastAsia="Calibri"/>
          <w:lang w:eastAsia="pl-PL"/>
        </w:rPr>
      </w:pPr>
      <w:r>
        <w:br w:type="page"/>
      </w:r>
      <w:r w:rsidR="007A7DF0">
        <w:rPr>
          <w:rFonts w:eastAsia="Calibri"/>
          <w:lang w:eastAsia="pl-PL"/>
        </w:rPr>
        <w:lastRenderedPageBreak/>
        <w:t>Załącznik nr 2 do Zasad weryfikacji</w:t>
      </w:r>
    </w:p>
    <w:p w14:paraId="525AF275" w14:textId="77777777" w:rsidR="007A7DF0" w:rsidRDefault="007A7DF0" w:rsidP="007A7DF0">
      <w:pPr>
        <w:autoSpaceDE w:val="0"/>
        <w:autoSpaceDN w:val="0"/>
        <w:adjustRightInd w:val="0"/>
        <w:jc w:val="right"/>
        <w:rPr>
          <w:rFonts w:eastAsia="Calibri"/>
          <w:lang w:eastAsia="pl-PL"/>
        </w:rPr>
      </w:pPr>
      <w:r>
        <w:rPr>
          <w:rFonts w:eastAsia="Calibri"/>
          <w:lang w:eastAsia="pl-PL"/>
        </w:rPr>
        <w:t>samodzielności przygotowania pracy</w:t>
      </w:r>
    </w:p>
    <w:p w14:paraId="06146513" w14:textId="77777777" w:rsidR="007A7DF0" w:rsidRDefault="007A7DF0" w:rsidP="007A7DF0">
      <w:pPr>
        <w:autoSpaceDE w:val="0"/>
        <w:autoSpaceDN w:val="0"/>
        <w:adjustRightInd w:val="0"/>
        <w:jc w:val="right"/>
        <w:rPr>
          <w:rFonts w:eastAsia="Calibri"/>
          <w:lang w:eastAsia="pl-PL"/>
        </w:rPr>
      </w:pPr>
      <w:r>
        <w:rPr>
          <w:rFonts w:eastAsia="Calibri"/>
          <w:lang w:eastAsia="pl-PL"/>
        </w:rPr>
        <w:t>dyplomowej oraz elektronicznej</w:t>
      </w:r>
    </w:p>
    <w:p w14:paraId="577649F7" w14:textId="77777777" w:rsidR="007A7DF0" w:rsidRDefault="007A7DF0" w:rsidP="007A7DF0">
      <w:pPr>
        <w:autoSpaceDE w:val="0"/>
        <w:autoSpaceDN w:val="0"/>
        <w:adjustRightInd w:val="0"/>
        <w:jc w:val="right"/>
        <w:rPr>
          <w:rFonts w:eastAsia="Calibri"/>
          <w:lang w:eastAsia="pl-PL"/>
        </w:rPr>
      </w:pPr>
      <w:r>
        <w:rPr>
          <w:rFonts w:eastAsia="Calibri"/>
          <w:lang w:eastAsia="pl-PL"/>
        </w:rPr>
        <w:t>archiwizacji prac dyplomowych</w:t>
      </w:r>
    </w:p>
    <w:p w14:paraId="70006E2E" w14:textId="77777777" w:rsidR="007A7DF0" w:rsidRDefault="007A7DF0" w:rsidP="007A7DF0">
      <w:pPr>
        <w:autoSpaceDE w:val="0"/>
        <w:autoSpaceDN w:val="0"/>
        <w:adjustRightInd w:val="0"/>
        <w:rPr>
          <w:rFonts w:eastAsia="Calibri"/>
          <w:b/>
          <w:bCs/>
          <w:lang w:eastAsia="pl-PL"/>
        </w:rPr>
      </w:pPr>
    </w:p>
    <w:p w14:paraId="5B8FD8AA" w14:textId="77777777" w:rsidR="007A7DF0" w:rsidRDefault="007A7DF0" w:rsidP="007A7DF0">
      <w:pPr>
        <w:autoSpaceDE w:val="0"/>
        <w:autoSpaceDN w:val="0"/>
        <w:adjustRightInd w:val="0"/>
        <w:rPr>
          <w:rFonts w:eastAsia="Calibri"/>
          <w:b/>
          <w:bCs/>
          <w:lang w:eastAsia="pl-PL"/>
        </w:rPr>
      </w:pPr>
    </w:p>
    <w:p w14:paraId="3877D8A3" w14:textId="77777777" w:rsidR="007A7DF0" w:rsidRDefault="007A7DF0" w:rsidP="007A7DF0">
      <w:pPr>
        <w:autoSpaceDE w:val="0"/>
        <w:autoSpaceDN w:val="0"/>
        <w:adjustRightInd w:val="0"/>
        <w:rPr>
          <w:rFonts w:eastAsia="Calibri"/>
          <w:b/>
          <w:bCs/>
          <w:lang w:eastAsia="pl-PL"/>
        </w:rPr>
      </w:pPr>
    </w:p>
    <w:p w14:paraId="68BEA7C0" w14:textId="77777777" w:rsidR="007A7DF0" w:rsidRDefault="007A7DF0" w:rsidP="007A7DF0">
      <w:pPr>
        <w:autoSpaceDE w:val="0"/>
        <w:autoSpaceDN w:val="0"/>
        <w:adjustRightInd w:val="0"/>
        <w:jc w:val="center"/>
        <w:rPr>
          <w:rFonts w:eastAsia="Calibri"/>
          <w:b/>
          <w:bCs/>
          <w:lang w:eastAsia="pl-PL"/>
        </w:rPr>
      </w:pPr>
    </w:p>
    <w:p w14:paraId="753655FA" w14:textId="77777777" w:rsidR="007A7DF0" w:rsidRDefault="007A7DF0" w:rsidP="007A7DF0">
      <w:pPr>
        <w:autoSpaceDE w:val="0"/>
        <w:autoSpaceDN w:val="0"/>
        <w:adjustRightInd w:val="0"/>
        <w:jc w:val="center"/>
        <w:rPr>
          <w:rFonts w:eastAsia="Calibri"/>
          <w:b/>
          <w:bCs/>
          <w:lang w:eastAsia="pl-PL"/>
        </w:rPr>
      </w:pPr>
      <w:r>
        <w:rPr>
          <w:rFonts w:eastAsia="Calibri"/>
          <w:b/>
          <w:bCs/>
          <w:lang w:eastAsia="pl-PL"/>
        </w:rPr>
        <w:t>OŚWIADCZENIE AUTORA PRACY DYPLOMOWEJ/ROZDZIAŁÓWPRACY</w:t>
      </w:r>
    </w:p>
    <w:p w14:paraId="408D40DF" w14:textId="77777777" w:rsidR="007A7DF0" w:rsidRDefault="007A7DF0" w:rsidP="007A7DF0">
      <w:pPr>
        <w:autoSpaceDE w:val="0"/>
        <w:autoSpaceDN w:val="0"/>
        <w:adjustRightInd w:val="0"/>
        <w:jc w:val="center"/>
        <w:rPr>
          <w:rFonts w:eastAsia="Calibri"/>
          <w:b/>
          <w:bCs/>
          <w:sz w:val="16"/>
          <w:szCs w:val="16"/>
          <w:lang w:eastAsia="pl-PL"/>
        </w:rPr>
      </w:pPr>
      <w:r>
        <w:rPr>
          <w:rFonts w:eastAsia="Calibri"/>
          <w:b/>
          <w:bCs/>
          <w:lang w:eastAsia="pl-PL"/>
        </w:rPr>
        <w:t>LICENCJACKIEJ/MAGISTERSKIEJ</w:t>
      </w:r>
      <w:r>
        <w:rPr>
          <w:rFonts w:eastAsia="Calibri"/>
          <w:b/>
          <w:bCs/>
          <w:sz w:val="16"/>
          <w:szCs w:val="16"/>
          <w:lang w:eastAsia="pl-PL"/>
        </w:rPr>
        <w:t>1</w:t>
      </w:r>
    </w:p>
    <w:p w14:paraId="05FE77D1" w14:textId="77777777" w:rsidR="007A7DF0" w:rsidRDefault="007A7DF0" w:rsidP="007A7DF0">
      <w:pPr>
        <w:autoSpaceDE w:val="0"/>
        <w:autoSpaceDN w:val="0"/>
        <w:adjustRightInd w:val="0"/>
        <w:rPr>
          <w:rFonts w:eastAsia="Calibri"/>
          <w:szCs w:val="24"/>
          <w:lang w:eastAsia="pl-PL"/>
        </w:rPr>
      </w:pPr>
      <w:r>
        <w:rPr>
          <w:rFonts w:eastAsia="Calibri"/>
          <w:b/>
          <w:bCs/>
          <w:lang w:eastAsia="pl-PL"/>
        </w:rPr>
        <w:t xml:space="preserve">pod tytułem </w:t>
      </w:r>
      <w:r>
        <w:rPr>
          <w:rFonts w:eastAsia="Calibri"/>
          <w:lang w:eastAsia="pl-PL"/>
        </w:rPr>
        <w:t>................................................................................................................................</w:t>
      </w:r>
    </w:p>
    <w:p w14:paraId="0E474760" w14:textId="77777777" w:rsidR="007A7DF0" w:rsidRDefault="007A7DF0" w:rsidP="007A7DF0">
      <w:pPr>
        <w:autoSpaceDE w:val="0"/>
        <w:autoSpaceDN w:val="0"/>
        <w:adjustRightInd w:val="0"/>
        <w:rPr>
          <w:rFonts w:eastAsia="Calibri"/>
          <w:lang w:eastAsia="pl-PL"/>
        </w:rPr>
      </w:pPr>
      <w:r>
        <w:rPr>
          <w:rFonts w:eastAsia="Calibri"/>
          <w:lang w:eastAsia="pl-PL"/>
        </w:rPr>
        <w:t>......................................................................................................................................................</w:t>
      </w:r>
    </w:p>
    <w:p w14:paraId="5F89D510" w14:textId="77777777" w:rsidR="007A7DF0" w:rsidRDefault="007A7DF0" w:rsidP="007A7DF0">
      <w:pPr>
        <w:autoSpaceDE w:val="0"/>
        <w:autoSpaceDN w:val="0"/>
        <w:adjustRightInd w:val="0"/>
        <w:rPr>
          <w:rFonts w:eastAsia="Calibri"/>
          <w:lang w:eastAsia="pl-PL"/>
        </w:rPr>
      </w:pPr>
      <w:r>
        <w:rPr>
          <w:rFonts w:eastAsia="Calibri"/>
          <w:b/>
          <w:bCs/>
          <w:lang w:eastAsia="pl-PL"/>
        </w:rPr>
        <w:t>napisanej przez</w:t>
      </w:r>
      <w:r>
        <w:rPr>
          <w:rFonts w:eastAsia="Calibri"/>
          <w:lang w:eastAsia="pl-PL"/>
        </w:rPr>
        <w:t>: ..........................................................</w:t>
      </w:r>
      <w:r>
        <w:rPr>
          <w:rFonts w:eastAsia="Calibri"/>
          <w:b/>
          <w:bCs/>
          <w:lang w:eastAsia="pl-PL"/>
        </w:rPr>
        <w:t xml:space="preserve">nr albumu </w:t>
      </w:r>
      <w:r>
        <w:rPr>
          <w:rFonts w:eastAsia="Calibri"/>
          <w:lang w:eastAsia="pl-PL"/>
        </w:rPr>
        <w:t>............................................</w:t>
      </w:r>
    </w:p>
    <w:p w14:paraId="45BFA094" w14:textId="77777777" w:rsidR="007A7DF0" w:rsidRDefault="007A7DF0" w:rsidP="007A7DF0">
      <w:pPr>
        <w:autoSpaceDE w:val="0"/>
        <w:autoSpaceDN w:val="0"/>
        <w:adjustRightInd w:val="0"/>
        <w:rPr>
          <w:rFonts w:eastAsia="Calibri"/>
          <w:lang w:eastAsia="pl-PL"/>
        </w:rPr>
      </w:pPr>
      <w:r>
        <w:rPr>
          <w:rFonts w:eastAsia="Calibri"/>
          <w:b/>
          <w:bCs/>
          <w:lang w:eastAsia="pl-PL"/>
        </w:rPr>
        <w:t xml:space="preserve">pod kierunkiem </w:t>
      </w:r>
      <w:r>
        <w:rPr>
          <w:rFonts w:eastAsia="Calibri"/>
          <w:lang w:eastAsia="pl-PL"/>
        </w:rPr>
        <w:t>.........................................................................................................................</w:t>
      </w:r>
    </w:p>
    <w:p w14:paraId="63801878" w14:textId="77777777" w:rsidR="007A7DF0" w:rsidRDefault="007A7DF0" w:rsidP="007A7DF0">
      <w:pPr>
        <w:autoSpaceDE w:val="0"/>
        <w:autoSpaceDN w:val="0"/>
        <w:adjustRightInd w:val="0"/>
        <w:rPr>
          <w:rFonts w:eastAsia="Calibri"/>
          <w:lang w:eastAsia="pl-PL"/>
        </w:rPr>
      </w:pPr>
    </w:p>
    <w:p w14:paraId="4437911B" w14:textId="77777777" w:rsidR="007A7DF0" w:rsidRDefault="007A7DF0" w:rsidP="007A7DF0">
      <w:pPr>
        <w:autoSpaceDE w:val="0"/>
        <w:autoSpaceDN w:val="0"/>
        <w:adjustRightInd w:val="0"/>
        <w:rPr>
          <w:rFonts w:eastAsia="Calibri"/>
          <w:lang w:eastAsia="pl-PL"/>
        </w:rPr>
      </w:pPr>
    </w:p>
    <w:p w14:paraId="22C686A9" w14:textId="77777777" w:rsidR="007A7DF0" w:rsidRDefault="007A7DF0" w:rsidP="007A7DF0">
      <w:pPr>
        <w:autoSpaceDE w:val="0"/>
        <w:autoSpaceDN w:val="0"/>
        <w:adjustRightInd w:val="0"/>
        <w:rPr>
          <w:rFonts w:eastAsia="Calibri"/>
          <w:lang w:eastAsia="pl-PL"/>
        </w:rPr>
      </w:pPr>
      <w:r>
        <w:rPr>
          <w:rFonts w:eastAsia="Calibri"/>
          <w:lang w:eastAsia="pl-PL"/>
        </w:rPr>
        <w:t>Świadom odpowiedzialności prawnej oświadczam, że niniejsza praca dyplomowa została</w:t>
      </w:r>
    </w:p>
    <w:p w14:paraId="3528D0AB" w14:textId="77777777" w:rsidR="007A7DF0" w:rsidRDefault="007A7DF0" w:rsidP="007A7DF0">
      <w:pPr>
        <w:autoSpaceDE w:val="0"/>
        <w:autoSpaceDN w:val="0"/>
        <w:adjustRightInd w:val="0"/>
        <w:rPr>
          <w:rFonts w:eastAsia="Calibri"/>
          <w:lang w:eastAsia="pl-PL"/>
        </w:rPr>
      </w:pPr>
      <w:r>
        <w:rPr>
          <w:rFonts w:eastAsia="Calibri"/>
          <w:lang w:eastAsia="pl-PL"/>
        </w:rPr>
        <w:t>napisana przeze mnie samodzielnie i nie zawiera treści uzyskanych w sposób niezgodny</w:t>
      </w:r>
    </w:p>
    <w:p w14:paraId="79DA10B3" w14:textId="77777777" w:rsidR="007A7DF0" w:rsidRDefault="007A7DF0" w:rsidP="007A7DF0">
      <w:pPr>
        <w:autoSpaceDE w:val="0"/>
        <w:autoSpaceDN w:val="0"/>
        <w:adjustRightInd w:val="0"/>
        <w:rPr>
          <w:rFonts w:eastAsia="Calibri"/>
          <w:lang w:eastAsia="pl-PL"/>
        </w:rPr>
      </w:pPr>
      <w:r>
        <w:rPr>
          <w:rFonts w:eastAsia="Calibri"/>
          <w:lang w:eastAsia="pl-PL"/>
        </w:rPr>
        <w:t>z obowiązującymi przepisami.</w:t>
      </w:r>
    </w:p>
    <w:p w14:paraId="3DBFA866" w14:textId="77777777" w:rsidR="007A7DF0" w:rsidRDefault="007A7DF0" w:rsidP="007A7DF0">
      <w:pPr>
        <w:autoSpaceDE w:val="0"/>
        <w:autoSpaceDN w:val="0"/>
        <w:adjustRightInd w:val="0"/>
        <w:rPr>
          <w:rFonts w:eastAsia="Calibri"/>
          <w:lang w:eastAsia="pl-PL"/>
        </w:rPr>
      </w:pPr>
    </w:p>
    <w:p w14:paraId="7CAC372E" w14:textId="77777777" w:rsidR="007A7DF0" w:rsidRDefault="007A7DF0" w:rsidP="007A7DF0">
      <w:pPr>
        <w:autoSpaceDE w:val="0"/>
        <w:autoSpaceDN w:val="0"/>
        <w:adjustRightInd w:val="0"/>
        <w:rPr>
          <w:rFonts w:eastAsia="Calibri"/>
          <w:lang w:eastAsia="pl-PL"/>
        </w:rPr>
      </w:pPr>
      <w:r>
        <w:rPr>
          <w:rFonts w:eastAsia="Calibri"/>
          <w:lang w:eastAsia="pl-PL"/>
        </w:rPr>
        <w:t>Oświadczam również, że przedstawiona praca dyplomowa nie była wcześniej przedmiotem</w:t>
      </w:r>
    </w:p>
    <w:p w14:paraId="75CDCFA7" w14:textId="77777777" w:rsidR="007A7DF0" w:rsidRDefault="007A7DF0" w:rsidP="007A7DF0">
      <w:pPr>
        <w:autoSpaceDE w:val="0"/>
        <w:autoSpaceDN w:val="0"/>
        <w:adjustRightInd w:val="0"/>
        <w:rPr>
          <w:rFonts w:eastAsia="Calibri"/>
          <w:lang w:eastAsia="pl-PL"/>
        </w:rPr>
      </w:pPr>
      <w:r>
        <w:rPr>
          <w:rFonts w:eastAsia="Calibri"/>
          <w:lang w:eastAsia="pl-PL"/>
        </w:rPr>
        <w:t>procedur związanych z uzyskaniem tytułu zawodowego w wyższej uczelni.</w:t>
      </w:r>
    </w:p>
    <w:p w14:paraId="73A421BE" w14:textId="77777777" w:rsidR="007A7DF0" w:rsidRDefault="007A7DF0" w:rsidP="007A7DF0">
      <w:pPr>
        <w:autoSpaceDE w:val="0"/>
        <w:autoSpaceDN w:val="0"/>
        <w:adjustRightInd w:val="0"/>
        <w:rPr>
          <w:rFonts w:eastAsia="Calibri"/>
          <w:lang w:eastAsia="pl-PL"/>
        </w:rPr>
      </w:pPr>
    </w:p>
    <w:p w14:paraId="7AAF5B66" w14:textId="77777777" w:rsidR="007A7DF0" w:rsidRDefault="007A7DF0" w:rsidP="007A7DF0">
      <w:pPr>
        <w:autoSpaceDE w:val="0"/>
        <w:autoSpaceDN w:val="0"/>
        <w:adjustRightInd w:val="0"/>
        <w:rPr>
          <w:rFonts w:eastAsia="Calibri"/>
          <w:lang w:eastAsia="pl-PL"/>
        </w:rPr>
      </w:pPr>
      <w:r>
        <w:rPr>
          <w:rFonts w:eastAsia="Calibri"/>
          <w:lang w:eastAsia="pl-PL"/>
        </w:rPr>
        <w:t>Oświadczam ponadto, że niniejsza wersja pracy dyplomowej jest identyczna z załączoną wersją elektroniczną.</w:t>
      </w:r>
    </w:p>
    <w:p w14:paraId="34524F1E" w14:textId="77777777" w:rsidR="007A7DF0" w:rsidRDefault="007A7DF0" w:rsidP="007A7DF0">
      <w:pPr>
        <w:autoSpaceDE w:val="0"/>
        <w:autoSpaceDN w:val="0"/>
        <w:adjustRightInd w:val="0"/>
        <w:rPr>
          <w:rFonts w:eastAsia="Calibri"/>
          <w:lang w:eastAsia="pl-PL"/>
        </w:rPr>
      </w:pPr>
    </w:p>
    <w:p w14:paraId="54B1FD80" w14:textId="77777777" w:rsidR="007A7DF0" w:rsidRDefault="007A7DF0" w:rsidP="007A7DF0">
      <w:pPr>
        <w:autoSpaceDE w:val="0"/>
        <w:autoSpaceDN w:val="0"/>
        <w:adjustRightInd w:val="0"/>
        <w:rPr>
          <w:rFonts w:eastAsia="Calibri"/>
          <w:lang w:eastAsia="pl-PL"/>
        </w:rPr>
      </w:pPr>
      <w:r>
        <w:rPr>
          <w:rFonts w:eastAsia="Calibri"/>
          <w:lang w:eastAsia="pl-PL"/>
        </w:rPr>
        <w:t>Wyrażam zgodę na poddanie pracy dyplomowej kontroli, w tym za pomocą programu</w:t>
      </w:r>
    </w:p>
    <w:p w14:paraId="4B56FBE7" w14:textId="77777777" w:rsidR="007A7DF0" w:rsidRDefault="007A7DF0" w:rsidP="007A7DF0">
      <w:pPr>
        <w:autoSpaceDE w:val="0"/>
        <w:autoSpaceDN w:val="0"/>
        <w:adjustRightInd w:val="0"/>
        <w:rPr>
          <w:rFonts w:eastAsia="Calibri"/>
          <w:lang w:eastAsia="pl-PL"/>
        </w:rPr>
      </w:pPr>
      <w:r>
        <w:rPr>
          <w:rFonts w:eastAsia="Calibri"/>
          <w:lang w:eastAsia="pl-PL"/>
        </w:rPr>
        <w:t>wychwytującego znamiona pracy niesamodzielnej, zwanego dalej programem, oraz na</w:t>
      </w:r>
    </w:p>
    <w:p w14:paraId="630AB60A" w14:textId="77777777" w:rsidR="007A7DF0" w:rsidRDefault="007A7DF0" w:rsidP="007A7DF0">
      <w:pPr>
        <w:autoSpaceDE w:val="0"/>
        <w:autoSpaceDN w:val="0"/>
        <w:adjustRightInd w:val="0"/>
        <w:rPr>
          <w:rFonts w:eastAsia="Calibri"/>
          <w:lang w:eastAsia="pl-PL"/>
        </w:rPr>
      </w:pPr>
      <w:r>
        <w:rPr>
          <w:rFonts w:eastAsia="Calibri"/>
          <w:lang w:eastAsia="pl-PL"/>
        </w:rPr>
        <w:t>umieszczenie tekstu pracy dyplomowej w bazie porównawczej programu, w celu chronienia go przed nieuprawnionym wykorzystaniem, a także przekazanie pracy do Ogólnopolskiego</w:t>
      </w:r>
    </w:p>
    <w:p w14:paraId="2CF697C4" w14:textId="77777777" w:rsidR="007A7DF0" w:rsidRDefault="007A7DF0" w:rsidP="007A7DF0">
      <w:pPr>
        <w:autoSpaceDE w:val="0"/>
        <w:autoSpaceDN w:val="0"/>
        <w:adjustRightInd w:val="0"/>
        <w:rPr>
          <w:rFonts w:eastAsia="Calibri"/>
          <w:lang w:eastAsia="pl-PL"/>
        </w:rPr>
      </w:pPr>
      <w:r>
        <w:rPr>
          <w:rFonts w:eastAsia="Calibri"/>
          <w:lang w:eastAsia="pl-PL"/>
        </w:rPr>
        <w:t>Repozytorium Prac Dyplomowych.</w:t>
      </w:r>
    </w:p>
    <w:p w14:paraId="0B2916E5" w14:textId="77777777" w:rsidR="007A7DF0" w:rsidRDefault="007A7DF0" w:rsidP="007A7DF0">
      <w:pPr>
        <w:autoSpaceDE w:val="0"/>
        <w:autoSpaceDN w:val="0"/>
        <w:adjustRightInd w:val="0"/>
        <w:rPr>
          <w:rFonts w:eastAsia="Calibri"/>
          <w:lang w:eastAsia="pl-PL"/>
        </w:rPr>
      </w:pPr>
    </w:p>
    <w:p w14:paraId="425FF6C1" w14:textId="77777777" w:rsidR="007A7DF0" w:rsidRDefault="007A7DF0" w:rsidP="007A7DF0">
      <w:pPr>
        <w:autoSpaceDE w:val="0"/>
        <w:autoSpaceDN w:val="0"/>
        <w:adjustRightInd w:val="0"/>
        <w:rPr>
          <w:rFonts w:eastAsia="Calibri"/>
          <w:lang w:eastAsia="pl-PL"/>
        </w:rPr>
      </w:pPr>
      <w:r>
        <w:rPr>
          <w:rFonts w:eastAsia="Calibri"/>
          <w:lang w:eastAsia="pl-PL"/>
        </w:rPr>
        <w:t>Wyrażam także zgodę na przetwarzanie przez Szkołę Główną Handlową w Warszawie moich</w:t>
      </w:r>
    </w:p>
    <w:p w14:paraId="768A205A" w14:textId="77777777" w:rsidR="007A7DF0" w:rsidRDefault="007A7DF0" w:rsidP="007A7DF0">
      <w:pPr>
        <w:autoSpaceDE w:val="0"/>
        <w:autoSpaceDN w:val="0"/>
        <w:adjustRightInd w:val="0"/>
        <w:rPr>
          <w:rFonts w:eastAsia="Calibri"/>
          <w:lang w:eastAsia="pl-PL"/>
        </w:rPr>
      </w:pPr>
      <w:r>
        <w:rPr>
          <w:rFonts w:eastAsia="Calibri"/>
          <w:lang w:eastAsia="pl-PL"/>
        </w:rPr>
        <w:t>danych osobowych umieszczonych w pracy dyplomowej w zakresie niezbędnym do jej kontroli</w:t>
      </w:r>
    </w:p>
    <w:p w14:paraId="2C081F86" w14:textId="77777777" w:rsidR="007A7DF0" w:rsidRDefault="007A7DF0" w:rsidP="007A7DF0">
      <w:pPr>
        <w:autoSpaceDE w:val="0"/>
        <w:autoSpaceDN w:val="0"/>
        <w:adjustRightInd w:val="0"/>
        <w:rPr>
          <w:rFonts w:eastAsia="Calibri"/>
          <w:lang w:eastAsia="pl-PL"/>
        </w:rPr>
      </w:pPr>
      <w:r>
        <w:rPr>
          <w:rFonts w:eastAsia="Calibri"/>
          <w:lang w:eastAsia="pl-PL"/>
        </w:rPr>
        <w:t>za pomocą programu oraz w zakresie niezbędnym do jej archiwizacji i nieodpłatnego</w:t>
      </w:r>
    </w:p>
    <w:p w14:paraId="4EAE10B3" w14:textId="77777777" w:rsidR="007A7DF0" w:rsidRDefault="007A7DF0" w:rsidP="007A7DF0">
      <w:pPr>
        <w:autoSpaceDE w:val="0"/>
        <w:autoSpaceDN w:val="0"/>
        <w:adjustRightInd w:val="0"/>
        <w:rPr>
          <w:rFonts w:eastAsia="Calibri"/>
          <w:lang w:eastAsia="pl-PL"/>
        </w:rPr>
      </w:pPr>
      <w:r>
        <w:rPr>
          <w:rFonts w:eastAsia="Calibri"/>
          <w:lang w:eastAsia="pl-PL"/>
        </w:rPr>
        <w:t>udostępniania na zasadach określonych w zarządzeniu.</w:t>
      </w:r>
    </w:p>
    <w:p w14:paraId="06C385A3" w14:textId="77777777" w:rsidR="007A7DF0" w:rsidRDefault="007A7DF0" w:rsidP="007A7DF0">
      <w:pPr>
        <w:autoSpaceDE w:val="0"/>
        <w:autoSpaceDN w:val="0"/>
        <w:adjustRightInd w:val="0"/>
        <w:rPr>
          <w:rFonts w:eastAsia="Calibri"/>
          <w:lang w:eastAsia="pl-PL"/>
        </w:rPr>
      </w:pPr>
    </w:p>
    <w:p w14:paraId="15EA7331" w14:textId="77777777" w:rsidR="007A7DF0" w:rsidRDefault="007A7DF0" w:rsidP="007A7DF0">
      <w:pPr>
        <w:autoSpaceDE w:val="0"/>
        <w:autoSpaceDN w:val="0"/>
        <w:adjustRightInd w:val="0"/>
        <w:rPr>
          <w:rFonts w:eastAsia="Calibri"/>
          <w:lang w:eastAsia="pl-PL"/>
        </w:rPr>
      </w:pPr>
    </w:p>
    <w:p w14:paraId="5E51E262" w14:textId="77777777" w:rsidR="007A7DF0" w:rsidRDefault="007A7DF0" w:rsidP="007A7DF0">
      <w:pPr>
        <w:autoSpaceDE w:val="0"/>
        <w:autoSpaceDN w:val="0"/>
        <w:adjustRightInd w:val="0"/>
        <w:rPr>
          <w:rFonts w:eastAsia="Calibri"/>
          <w:lang w:eastAsia="pl-PL"/>
        </w:rPr>
      </w:pPr>
    </w:p>
    <w:p w14:paraId="0666C3AA" w14:textId="77777777" w:rsidR="007A7DF0" w:rsidRDefault="007A7DF0" w:rsidP="007A7DF0">
      <w:pPr>
        <w:autoSpaceDE w:val="0"/>
        <w:autoSpaceDN w:val="0"/>
        <w:adjustRightInd w:val="0"/>
        <w:rPr>
          <w:rFonts w:eastAsia="Calibri"/>
          <w:lang w:eastAsia="pl-PL"/>
        </w:rPr>
      </w:pPr>
    </w:p>
    <w:p w14:paraId="2F6D001D" w14:textId="3F976F4E" w:rsidR="007A7DF0" w:rsidRDefault="007A7DF0" w:rsidP="007A7DF0">
      <w:pPr>
        <w:autoSpaceDE w:val="0"/>
        <w:autoSpaceDN w:val="0"/>
        <w:adjustRightInd w:val="0"/>
        <w:rPr>
          <w:rFonts w:eastAsia="Calibri"/>
          <w:lang w:eastAsia="pl-PL"/>
        </w:rPr>
      </w:pPr>
      <w:r>
        <w:rPr>
          <w:rFonts w:eastAsia="Calibri"/>
          <w:lang w:eastAsia="pl-PL"/>
        </w:rPr>
        <w:t>…………………………………….</w:t>
      </w:r>
      <w:r w:rsidR="006F454B">
        <w:rPr>
          <w:rFonts w:eastAsia="Calibri"/>
          <w:lang w:eastAsia="pl-PL"/>
        </w:rPr>
        <w:t xml:space="preserve">                    </w:t>
      </w:r>
      <w:r>
        <w:rPr>
          <w:rFonts w:eastAsia="Calibri"/>
          <w:lang w:eastAsia="pl-PL"/>
        </w:rPr>
        <w:t>…………………………………..</w:t>
      </w:r>
    </w:p>
    <w:p w14:paraId="03AA2A96" w14:textId="572E4DF5" w:rsidR="007A7DF0" w:rsidRDefault="006F454B" w:rsidP="007A7DF0">
      <w:pPr>
        <w:autoSpaceDE w:val="0"/>
        <w:autoSpaceDN w:val="0"/>
        <w:adjustRightInd w:val="0"/>
        <w:rPr>
          <w:rFonts w:eastAsia="Calibri"/>
          <w:sz w:val="20"/>
          <w:szCs w:val="20"/>
          <w:lang w:eastAsia="pl-PL"/>
        </w:rPr>
      </w:pPr>
      <w:r>
        <w:rPr>
          <w:rFonts w:eastAsia="Calibri"/>
          <w:sz w:val="20"/>
          <w:szCs w:val="20"/>
          <w:lang w:eastAsia="pl-PL"/>
        </w:rPr>
        <w:t xml:space="preserve">            </w:t>
      </w:r>
      <w:r w:rsidR="007A7DF0">
        <w:rPr>
          <w:rFonts w:eastAsia="Calibri"/>
          <w:sz w:val="20"/>
          <w:szCs w:val="20"/>
          <w:lang w:eastAsia="pl-PL"/>
        </w:rPr>
        <w:t xml:space="preserve"> (data)</w:t>
      </w:r>
      <w:r>
        <w:rPr>
          <w:rFonts w:eastAsia="Calibri"/>
          <w:sz w:val="20"/>
          <w:szCs w:val="20"/>
          <w:lang w:eastAsia="pl-PL"/>
        </w:rPr>
        <w:t xml:space="preserve">                                                     </w:t>
      </w:r>
      <w:r w:rsidR="007A7DF0">
        <w:rPr>
          <w:rFonts w:eastAsia="Calibri"/>
          <w:sz w:val="20"/>
          <w:szCs w:val="20"/>
          <w:lang w:eastAsia="pl-PL"/>
        </w:rPr>
        <w:t>(podpis autora)</w:t>
      </w:r>
    </w:p>
    <w:p w14:paraId="32306BFF" w14:textId="77777777" w:rsidR="007A7DF0" w:rsidRDefault="007A7DF0" w:rsidP="007A7DF0">
      <w:pPr>
        <w:spacing w:line="360" w:lineRule="auto"/>
        <w:rPr>
          <w:rFonts w:eastAsia="Calibri"/>
          <w:sz w:val="13"/>
          <w:szCs w:val="13"/>
          <w:lang w:eastAsia="pl-PL"/>
        </w:rPr>
      </w:pPr>
    </w:p>
    <w:p w14:paraId="06ABF5A0" w14:textId="77777777" w:rsidR="007A7DF0" w:rsidRDefault="007A7DF0" w:rsidP="007A7DF0">
      <w:pPr>
        <w:spacing w:line="360" w:lineRule="auto"/>
        <w:rPr>
          <w:rFonts w:eastAsia="Calibri"/>
          <w:sz w:val="13"/>
          <w:szCs w:val="13"/>
          <w:lang w:eastAsia="pl-PL"/>
        </w:rPr>
      </w:pPr>
    </w:p>
    <w:p w14:paraId="0DFAA264" w14:textId="77777777" w:rsidR="007A7DF0" w:rsidRDefault="007A7DF0" w:rsidP="007A7DF0">
      <w:pPr>
        <w:spacing w:line="360" w:lineRule="auto"/>
        <w:rPr>
          <w:rFonts w:eastAsia="Calibri"/>
          <w:sz w:val="13"/>
          <w:szCs w:val="13"/>
          <w:lang w:eastAsia="pl-PL"/>
        </w:rPr>
      </w:pPr>
    </w:p>
    <w:p w14:paraId="633490B2" w14:textId="77777777" w:rsidR="007A7DF0" w:rsidRDefault="007A7DF0" w:rsidP="007A7DF0">
      <w:pPr>
        <w:spacing w:line="360" w:lineRule="auto"/>
        <w:rPr>
          <w:rFonts w:eastAsia="Calibri"/>
          <w:sz w:val="13"/>
          <w:szCs w:val="13"/>
          <w:lang w:eastAsia="pl-PL"/>
        </w:rPr>
      </w:pPr>
    </w:p>
    <w:p w14:paraId="729FE99B" w14:textId="77777777" w:rsidR="007A7DF0" w:rsidRDefault="007A7DF0" w:rsidP="007A7DF0">
      <w:pPr>
        <w:spacing w:line="360" w:lineRule="auto"/>
        <w:rPr>
          <w:rFonts w:eastAsia="Times New Roman"/>
          <w:szCs w:val="24"/>
        </w:rPr>
      </w:pPr>
      <w:r>
        <w:rPr>
          <w:rFonts w:eastAsia="Calibri"/>
          <w:sz w:val="13"/>
          <w:szCs w:val="13"/>
          <w:lang w:eastAsia="pl-PL"/>
        </w:rPr>
        <w:t xml:space="preserve">1 </w:t>
      </w:r>
      <w:r>
        <w:rPr>
          <w:rFonts w:eastAsia="Calibri"/>
          <w:sz w:val="20"/>
          <w:szCs w:val="20"/>
          <w:lang w:eastAsia="pl-PL"/>
        </w:rPr>
        <w:t>Zastosować właściwe</w:t>
      </w:r>
    </w:p>
    <w:p w14:paraId="17E5A0BF" w14:textId="5D50A96A" w:rsidR="003C6BF8" w:rsidRPr="007A7DF0" w:rsidRDefault="003C6BF8" w:rsidP="007A7DF0">
      <w:pPr>
        <w:rPr>
          <w:rFonts w:eastAsiaTheme="majorEastAsia" w:cstheme="majorBidi"/>
          <w:b/>
          <w:bCs/>
          <w:szCs w:val="28"/>
        </w:rPr>
      </w:pPr>
    </w:p>
    <w:sectPr w:rsidR="003C6BF8" w:rsidRPr="007A7DF0" w:rsidSect="009A3B16">
      <w:footerReference w:type="default" r:id="rId18"/>
      <w:pgSz w:w="11906" w:h="16838"/>
      <w:pgMar w:top="1418" w:right="1134" w:bottom="1418" w:left="1701" w:header="709" w:footer="709"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B900E3" w14:textId="77777777" w:rsidR="00AD0FD6" w:rsidRDefault="00AD0FD6" w:rsidP="00154B93">
      <w:pPr>
        <w:spacing w:after="0" w:line="240" w:lineRule="auto"/>
      </w:pPr>
      <w:r>
        <w:separator/>
      </w:r>
    </w:p>
  </w:endnote>
  <w:endnote w:type="continuationSeparator" w:id="0">
    <w:p w14:paraId="0C90B0CE" w14:textId="77777777" w:rsidR="00AD0FD6" w:rsidRDefault="00AD0FD6" w:rsidP="00154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769975465"/>
      <w:docPartObj>
        <w:docPartGallery w:val="Page Numbers (Bottom of Page)"/>
        <w:docPartUnique/>
      </w:docPartObj>
    </w:sdtPr>
    <w:sdtEndPr/>
    <w:sdtContent>
      <w:p w14:paraId="2873A1D1" w14:textId="77777777" w:rsidR="00562AA2" w:rsidRPr="009A3B16" w:rsidRDefault="00562AA2">
        <w:pPr>
          <w:pStyle w:val="Stopka"/>
          <w:jc w:val="center"/>
          <w:rPr>
            <w:rFonts w:cs="Times New Roman"/>
          </w:rPr>
        </w:pPr>
        <w:r w:rsidRPr="009A3B16">
          <w:rPr>
            <w:rFonts w:cs="Times New Roman"/>
          </w:rPr>
          <w:fldChar w:fldCharType="begin"/>
        </w:r>
        <w:r w:rsidRPr="009A3B16">
          <w:rPr>
            <w:rFonts w:cs="Times New Roman"/>
          </w:rPr>
          <w:instrText>PAGE   \* MERGEFORMAT</w:instrText>
        </w:r>
        <w:r w:rsidRPr="009A3B16">
          <w:rPr>
            <w:rFonts w:cs="Times New Roman"/>
          </w:rPr>
          <w:fldChar w:fldCharType="separate"/>
        </w:r>
        <w:r>
          <w:rPr>
            <w:rFonts w:cs="Times New Roman"/>
            <w:noProof/>
          </w:rPr>
          <w:t>- 57 -</w:t>
        </w:r>
        <w:r w:rsidRPr="009A3B16">
          <w:rPr>
            <w:rFonts w:cs="Times New Roman"/>
          </w:rPr>
          <w:fldChar w:fldCharType="end"/>
        </w:r>
      </w:p>
    </w:sdtContent>
  </w:sdt>
  <w:p w14:paraId="002B1BF8" w14:textId="77777777" w:rsidR="00562AA2" w:rsidRDefault="00562AA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F28D3E" w14:textId="77777777" w:rsidR="00AD0FD6" w:rsidRDefault="00AD0FD6" w:rsidP="00154B93">
      <w:pPr>
        <w:spacing w:after="0" w:line="240" w:lineRule="auto"/>
      </w:pPr>
      <w:r>
        <w:separator/>
      </w:r>
    </w:p>
  </w:footnote>
  <w:footnote w:type="continuationSeparator" w:id="0">
    <w:p w14:paraId="0F10AC9A" w14:textId="77777777" w:rsidR="00AD0FD6" w:rsidRDefault="00AD0FD6" w:rsidP="00154B93">
      <w:pPr>
        <w:spacing w:after="0" w:line="240" w:lineRule="auto"/>
      </w:pPr>
      <w:r>
        <w:continuationSeparator/>
      </w:r>
    </w:p>
  </w:footnote>
  <w:footnote w:id="1">
    <w:p w14:paraId="61233392" w14:textId="55CEA94A" w:rsidR="00562AA2" w:rsidRPr="005B42C2" w:rsidRDefault="00562AA2">
      <w:pPr>
        <w:pStyle w:val="Tekstprzypisudolnego"/>
        <w:rPr>
          <w:rFonts w:cs="Times New Roman"/>
        </w:rPr>
      </w:pPr>
      <w:r w:rsidRPr="005B42C2">
        <w:rPr>
          <w:rStyle w:val="Odwoanieprzypisudolnego"/>
          <w:rFonts w:cs="Times New Roman"/>
        </w:rPr>
        <w:footnoteRef/>
      </w:r>
      <w:r w:rsidRPr="005B42C2">
        <w:rPr>
          <w:rFonts w:cs="Times New Roman"/>
        </w:rPr>
        <w:t xml:space="preserve"> Ustawa </w:t>
      </w:r>
      <w:r w:rsidRPr="002F1866">
        <w:rPr>
          <w:rFonts w:cs="Times New Roman"/>
          <w:i/>
        </w:rPr>
        <w:t>Prawo bankowe z dn</w:t>
      </w:r>
      <w:r>
        <w:rPr>
          <w:rFonts w:cs="Times New Roman"/>
          <w:i/>
        </w:rPr>
        <w:t>. 29.08.</w:t>
      </w:r>
      <w:r w:rsidRPr="002F1866">
        <w:rPr>
          <w:rFonts w:cs="Times New Roman"/>
          <w:i/>
        </w:rPr>
        <w:t>1997 r.</w:t>
      </w:r>
      <w:r w:rsidRPr="005B42C2">
        <w:rPr>
          <w:rFonts w:cs="Times New Roman"/>
        </w:rPr>
        <w:t xml:space="preserve"> art. 5 tj. Dz.U. 1997 nr 140 poz. 939 </w:t>
      </w:r>
      <w:r>
        <w:rPr>
          <w:rFonts w:cs="Times New Roman"/>
        </w:rPr>
        <w:t xml:space="preserve">z </w:t>
      </w:r>
      <w:r w:rsidRPr="00244E4A">
        <w:rPr>
          <w:rFonts w:cs="Times New Roman"/>
        </w:rPr>
        <w:t>późn. zm.</w:t>
      </w:r>
      <w:r>
        <w:rPr>
          <w:rFonts w:cs="Times New Roman"/>
        </w:rPr>
        <w:t xml:space="preserve">, </w:t>
      </w:r>
      <w:r w:rsidRPr="005B42C2">
        <w:rPr>
          <w:rFonts w:cs="Times New Roman"/>
        </w:rPr>
        <w:t>dalej jako u. pb.</w:t>
      </w:r>
    </w:p>
  </w:footnote>
  <w:footnote w:id="2">
    <w:p w14:paraId="08DB3DC1" w14:textId="66306E54" w:rsidR="00562AA2" w:rsidRPr="005B42C2" w:rsidRDefault="00562AA2" w:rsidP="00920BA4">
      <w:pPr>
        <w:pStyle w:val="Tekstprzypisudolnego"/>
        <w:rPr>
          <w:rFonts w:cs="Times New Roman"/>
        </w:rPr>
      </w:pPr>
      <w:r w:rsidRPr="005B42C2">
        <w:rPr>
          <w:rStyle w:val="Odwoanieprzypisudolnego"/>
          <w:rFonts w:cs="Times New Roman"/>
        </w:rPr>
        <w:footnoteRef/>
      </w:r>
      <w:r w:rsidRPr="005B42C2">
        <w:rPr>
          <w:rFonts w:cs="Times New Roman"/>
        </w:rPr>
        <w:t xml:space="preserve"> M. Zaleska, </w:t>
      </w:r>
      <w:r w:rsidRPr="005B42C2">
        <w:rPr>
          <w:rFonts w:cs="Times New Roman"/>
          <w:i/>
        </w:rPr>
        <w:t>Bankowość</w:t>
      </w:r>
      <w:r w:rsidRPr="005B42C2">
        <w:rPr>
          <w:rFonts w:cs="Times New Roman"/>
        </w:rPr>
        <w:t>, C.H. Beck, Warszawa 2013, s. 79</w:t>
      </w:r>
      <w:r>
        <w:rPr>
          <w:rFonts w:cs="Times New Roman"/>
        </w:rPr>
        <w:t>-80; zob. art. 69-79 u.</w:t>
      </w:r>
      <w:r w:rsidRPr="005B42C2">
        <w:rPr>
          <w:rFonts w:cs="Times New Roman"/>
        </w:rPr>
        <w:t>pb.</w:t>
      </w:r>
    </w:p>
  </w:footnote>
  <w:footnote w:id="3">
    <w:p w14:paraId="09A15053" w14:textId="16DB858B" w:rsidR="00562AA2" w:rsidRPr="005B42C2" w:rsidRDefault="00562AA2" w:rsidP="00EB3F41">
      <w:pPr>
        <w:pStyle w:val="Tekstprzypisudolnego"/>
        <w:rPr>
          <w:rFonts w:cs="Times New Roman"/>
        </w:rPr>
      </w:pPr>
      <w:r w:rsidRPr="005B42C2">
        <w:rPr>
          <w:rStyle w:val="Odwoanieprzypisudolnego"/>
          <w:rFonts w:cs="Times New Roman"/>
        </w:rPr>
        <w:footnoteRef/>
      </w:r>
      <w:r w:rsidRPr="005B42C2">
        <w:rPr>
          <w:rFonts w:cs="Times New Roman"/>
        </w:rPr>
        <w:t xml:space="preserve"> J. Grzywacz, </w:t>
      </w:r>
      <w:r w:rsidRPr="005B42C2">
        <w:rPr>
          <w:rFonts w:cs="Times New Roman"/>
          <w:i/>
        </w:rPr>
        <w:t>Podstawy bankowości</w:t>
      </w:r>
      <w:r w:rsidRPr="005B42C2">
        <w:rPr>
          <w:rFonts w:cs="Times New Roman"/>
        </w:rPr>
        <w:t>, Diffin, Warszawa 2006, s. 130</w:t>
      </w:r>
      <w:r>
        <w:rPr>
          <w:rFonts w:cs="Times New Roman"/>
        </w:rPr>
        <w:t>.</w:t>
      </w:r>
    </w:p>
  </w:footnote>
  <w:footnote w:id="4">
    <w:p w14:paraId="7D18D738" w14:textId="5B9913EA" w:rsidR="00562AA2" w:rsidRDefault="00562AA2" w:rsidP="00920BA4">
      <w:pPr>
        <w:pStyle w:val="Tekstprzypisudolnego"/>
      </w:pPr>
      <w:r w:rsidRPr="005B42C2">
        <w:rPr>
          <w:rStyle w:val="Odwoanieprzypisudolnego"/>
          <w:rFonts w:cs="Times New Roman"/>
        </w:rPr>
        <w:footnoteRef/>
      </w:r>
      <w:r w:rsidRPr="005B42C2">
        <w:rPr>
          <w:rFonts w:cs="Times New Roman"/>
        </w:rPr>
        <w:t xml:space="preserve"> www.finansopedia.forsal.pl/encyklopedia/bankowosc/hasla/912753,kredyt-indeksowany-w-walucie-obcej.html (data odsłony 30.12.2017</w:t>
      </w:r>
      <w:r>
        <w:rPr>
          <w:rFonts w:cs="Times New Roman"/>
        </w:rPr>
        <w:t xml:space="preserve"> r.</w:t>
      </w:r>
      <w:r w:rsidRPr="005B42C2">
        <w:rPr>
          <w:rFonts w:cs="Times New Roman"/>
        </w:rPr>
        <w:t>)</w:t>
      </w:r>
      <w:r>
        <w:rPr>
          <w:rFonts w:cs="Times New Roman"/>
        </w:rPr>
        <w:t>.</w:t>
      </w:r>
    </w:p>
  </w:footnote>
  <w:footnote w:id="5">
    <w:p w14:paraId="3D057295" w14:textId="210F98F6" w:rsidR="00562AA2" w:rsidRPr="005B42C2" w:rsidRDefault="00562AA2" w:rsidP="00920BA4">
      <w:pPr>
        <w:pStyle w:val="Tekstprzypisudolnego"/>
        <w:rPr>
          <w:rFonts w:cs="Times New Roman"/>
        </w:rPr>
      </w:pPr>
      <w:r w:rsidRPr="005B42C2">
        <w:rPr>
          <w:rStyle w:val="Odwoanieprzypisudolnego"/>
          <w:rFonts w:cs="Times New Roman"/>
        </w:rPr>
        <w:footnoteRef/>
      </w:r>
      <w:r w:rsidRPr="005B42C2">
        <w:rPr>
          <w:rFonts w:cs="Times New Roman"/>
        </w:rPr>
        <w:t xml:space="preserve"> www.finansopedia.forsal.pl/encyklopedia/bankowosc/hasla/912936,kredyt-denominowany-w-walucie-obcej.html (data odsłony 30.12.2017</w:t>
      </w:r>
      <w:r>
        <w:rPr>
          <w:rFonts w:cs="Times New Roman"/>
        </w:rPr>
        <w:t xml:space="preserve"> r.</w:t>
      </w:r>
      <w:r w:rsidRPr="005B42C2">
        <w:rPr>
          <w:rFonts w:cs="Times New Roman"/>
        </w:rPr>
        <w:t xml:space="preserve">). </w:t>
      </w:r>
    </w:p>
  </w:footnote>
  <w:footnote w:id="6">
    <w:p w14:paraId="1509A60F" w14:textId="39FA9616" w:rsidR="00562AA2" w:rsidRPr="005B42C2" w:rsidRDefault="00562AA2" w:rsidP="00920BA4">
      <w:pPr>
        <w:pStyle w:val="Tekstprzypisudolnego"/>
        <w:rPr>
          <w:rFonts w:cs="Times New Roman"/>
        </w:rPr>
      </w:pPr>
      <w:r w:rsidRPr="005B42C2">
        <w:rPr>
          <w:rStyle w:val="Odwoanieprzypisudolnego"/>
          <w:rFonts w:cs="Times New Roman"/>
        </w:rPr>
        <w:footnoteRef/>
      </w:r>
      <w:r w:rsidRPr="005B42C2">
        <w:rPr>
          <w:rFonts w:cs="Times New Roman"/>
        </w:rPr>
        <w:t xml:space="preserve"> M. Zaleska, </w:t>
      </w:r>
      <w:r w:rsidRPr="005B42C2">
        <w:rPr>
          <w:rFonts w:cs="Times New Roman"/>
          <w:i/>
        </w:rPr>
        <w:t>Bankowość</w:t>
      </w:r>
      <w:r w:rsidRPr="005B42C2">
        <w:rPr>
          <w:rFonts w:cs="Times New Roman"/>
        </w:rPr>
        <w:t>,… s. 80,81.</w:t>
      </w:r>
    </w:p>
  </w:footnote>
  <w:footnote w:id="7">
    <w:p w14:paraId="2E343E74" w14:textId="47BE09F9" w:rsidR="00562AA2" w:rsidRDefault="00562AA2" w:rsidP="00920BA4">
      <w:pPr>
        <w:pStyle w:val="Tekstprzypisudolnego"/>
      </w:pPr>
      <w:r w:rsidRPr="005B42C2">
        <w:rPr>
          <w:rStyle w:val="Odwoanieprzypisudolnego"/>
          <w:rFonts w:cs="Times New Roman"/>
        </w:rPr>
        <w:footnoteRef/>
      </w:r>
      <w:r w:rsidRPr="005B42C2">
        <w:rPr>
          <w:rFonts w:cs="Times New Roman"/>
        </w:rPr>
        <w:t xml:space="preserve"> Współczynnik LTV (Loan to Value) to parametr przedstawiający wartość kwoty kredytu do wartości celu (zabezpieczenia kredytu), na który przeznaczona jest wypłacona kwota. W przypadku kredytów hipotecznych, które stanowią temat pracy jest to stosunek wypłaconej kwoty do zabezpieczenia kredytu w postaci nieruchomości na którą przeznaczana jest wypłacana suma. Współczynnik LTV i regulacje jakimi jest on objęty zostanie szerzej omówiony w kolejnych rozdziałach pracy.</w:t>
      </w:r>
      <w:r>
        <w:t xml:space="preserve"> </w:t>
      </w:r>
    </w:p>
  </w:footnote>
  <w:footnote w:id="8">
    <w:p w14:paraId="254CBA0A" w14:textId="51622A65" w:rsidR="00562AA2" w:rsidRPr="005B42C2" w:rsidRDefault="00562AA2" w:rsidP="00920BA4">
      <w:pPr>
        <w:pStyle w:val="Tekstprzypisudolnego"/>
        <w:rPr>
          <w:rFonts w:cs="Times New Roman"/>
        </w:rPr>
      </w:pPr>
      <w:r w:rsidRPr="005B42C2">
        <w:rPr>
          <w:rStyle w:val="Odwoanieprzypisudolnego"/>
          <w:rFonts w:cs="Times New Roman"/>
        </w:rPr>
        <w:footnoteRef/>
      </w:r>
      <w:r w:rsidRPr="005B42C2">
        <w:rPr>
          <w:rFonts w:cs="Times New Roman"/>
        </w:rPr>
        <w:t xml:space="preserve"> www.nbportal.pl/slownik/pozycje-slownika/wibor (data odsłony 17.02.2018 r.). </w:t>
      </w:r>
    </w:p>
  </w:footnote>
  <w:footnote w:id="9">
    <w:p w14:paraId="0B89D991" w14:textId="3E014832" w:rsidR="00562AA2" w:rsidRPr="005B42C2" w:rsidRDefault="00562AA2" w:rsidP="00920BA4">
      <w:pPr>
        <w:pStyle w:val="Tekstprzypisudolnego"/>
        <w:rPr>
          <w:rFonts w:cs="Times New Roman"/>
        </w:rPr>
      </w:pPr>
      <w:r w:rsidRPr="005B42C2">
        <w:rPr>
          <w:rStyle w:val="Odwoanieprzypisudolnego"/>
          <w:rFonts w:cs="Times New Roman"/>
        </w:rPr>
        <w:footnoteRef/>
      </w:r>
      <w:r w:rsidRPr="005B42C2">
        <w:rPr>
          <w:rFonts w:cs="Times New Roman"/>
        </w:rPr>
        <w:t xml:space="preserve"> www.wikipedia.org/wiki/EURIBOR (data odsłony 17.02.2018 r.). </w:t>
      </w:r>
    </w:p>
  </w:footnote>
  <w:footnote w:id="10">
    <w:p w14:paraId="426C518A" w14:textId="523B8865" w:rsidR="00562AA2" w:rsidRPr="005B42C2" w:rsidRDefault="00562AA2" w:rsidP="00920BA4">
      <w:pPr>
        <w:pStyle w:val="Tekstprzypisudolnego"/>
        <w:rPr>
          <w:rFonts w:cs="Times New Roman"/>
        </w:rPr>
      </w:pPr>
      <w:r w:rsidRPr="005B42C2">
        <w:rPr>
          <w:rStyle w:val="Odwoanieprzypisudolnego"/>
          <w:rFonts w:cs="Times New Roman"/>
        </w:rPr>
        <w:footnoteRef/>
      </w:r>
      <w:r w:rsidRPr="005B42C2">
        <w:rPr>
          <w:rFonts w:cs="Times New Roman"/>
        </w:rPr>
        <w:t xml:space="preserve"> www.wikipedia.org/wiki/LIBOR (data odsłony 17.02.2018 r.).</w:t>
      </w:r>
    </w:p>
  </w:footnote>
  <w:footnote w:id="11">
    <w:p w14:paraId="5080E802" w14:textId="60A5904B" w:rsidR="00562AA2" w:rsidRDefault="00562AA2" w:rsidP="00920BA4">
      <w:pPr>
        <w:pStyle w:val="Tekstprzypisudolnego"/>
      </w:pPr>
      <w:r w:rsidRPr="005B42C2">
        <w:rPr>
          <w:rStyle w:val="Odwoanieprzypisudolnego"/>
          <w:rFonts w:cs="Times New Roman"/>
        </w:rPr>
        <w:footnoteRef/>
      </w:r>
      <w:r w:rsidRPr="005B42C2">
        <w:rPr>
          <w:rFonts w:cs="Times New Roman"/>
        </w:rPr>
        <w:t xml:space="preserve"> www.strefainwestorow.pl/artykuly/20170531/ile-kredytow-we-franku-maja-banki-w-2017-r (data odsłony 17.02.2018 r.).</w:t>
      </w:r>
    </w:p>
  </w:footnote>
  <w:footnote w:id="12">
    <w:p w14:paraId="7C517C80" w14:textId="09CDF512" w:rsidR="00562AA2" w:rsidRPr="005B42C2" w:rsidRDefault="00562AA2" w:rsidP="00920BA4">
      <w:pPr>
        <w:pStyle w:val="Tekstprzypisudolnego"/>
        <w:rPr>
          <w:rFonts w:cs="Times New Roman"/>
        </w:rPr>
      </w:pPr>
      <w:r w:rsidRPr="005B42C2">
        <w:rPr>
          <w:rStyle w:val="Odwoanieprzypisudolnego"/>
          <w:rFonts w:cs="Times New Roman"/>
        </w:rPr>
        <w:footnoteRef/>
      </w:r>
      <w:r w:rsidRPr="005B42C2">
        <w:rPr>
          <w:rFonts w:cs="Times New Roman"/>
        </w:rPr>
        <w:t xml:space="preserve"> www.nbportal.pl/slownik/pozycje-slownika/ryzyko-walutowe (data odsłony 17.02.2018 r.).</w:t>
      </w:r>
    </w:p>
  </w:footnote>
  <w:footnote w:id="13">
    <w:p w14:paraId="5D222A4B" w14:textId="642CD139" w:rsidR="00562AA2" w:rsidRPr="005B42C2" w:rsidRDefault="00562AA2" w:rsidP="00920BA4">
      <w:pPr>
        <w:pStyle w:val="Tekstprzypisudolnego"/>
        <w:rPr>
          <w:rFonts w:cs="Times New Roman"/>
        </w:rPr>
      </w:pPr>
      <w:r w:rsidRPr="005B42C2">
        <w:rPr>
          <w:rStyle w:val="Odwoanieprzypisudolnego"/>
          <w:rFonts w:cs="Times New Roman"/>
        </w:rPr>
        <w:footnoteRef/>
      </w:r>
      <w:r w:rsidRPr="005B42C2">
        <w:rPr>
          <w:rFonts w:cs="Times New Roman"/>
        </w:rPr>
        <w:t xml:space="preserve"> T. Czerwińska, K. Jajuga,</w:t>
      </w:r>
      <w:r w:rsidRPr="005B42C2">
        <w:rPr>
          <w:rFonts w:cs="Times New Roman"/>
          <w:i/>
        </w:rPr>
        <w:t xml:space="preserve"> Ryzyko instytucji finansowych, </w:t>
      </w:r>
      <w:r w:rsidRPr="005B42C2">
        <w:rPr>
          <w:rFonts w:cs="Times New Roman"/>
        </w:rPr>
        <w:t>C.H. Beck, Warszawa 2016, s. 10.</w:t>
      </w:r>
    </w:p>
  </w:footnote>
  <w:footnote w:id="14">
    <w:p w14:paraId="02BD5964" w14:textId="429D8FAC" w:rsidR="00562AA2" w:rsidRDefault="00562AA2" w:rsidP="00920BA4">
      <w:pPr>
        <w:pStyle w:val="Tekstprzypisudolnego"/>
      </w:pPr>
      <w:r w:rsidRPr="005B42C2">
        <w:rPr>
          <w:rStyle w:val="Odwoanieprzypisudolnego"/>
          <w:rFonts w:cs="Times New Roman"/>
        </w:rPr>
        <w:footnoteRef/>
      </w:r>
      <w:r w:rsidRPr="005B42C2">
        <w:rPr>
          <w:rFonts w:cs="Times New Roman"/>
        </w:rPr>
        <w:t xml:space="preserve"> Zgodnie z polskimi standardami rachunkowości za zobowiązanie długoterminowe uznaje się zobowiązania, których termin zapadalności przekracza rok, czyli przede wszystkim długoterminowe zobowiązania i pożyczki.</w:t>
      </w:r>
    </w:p>
  </w:footnote>
  <w:footnote w:id="15">
    <w:p w14:paraId="351AF226" w14:textId="567867A4" w:rsidR="00562AA2" w:rsidRPr="005B42C2" w:rsidRDefault="00562AA2" w:rsidP="00920BA4">
      <w:pPr>
        <w:pStyle w:val="Tekstprzypisudolnego"/>
        <w:rPr>
          <w:rFonts w:cs="Times New Roman"/>
        </w:rPr>
      </w:pPr>
      <w:r w:rsidRPr="005B42C2">
        <w:rPr>
          <w:rStyle w:val="Odwoanieprzypisudolnego"/>
          <w:rFonts w:cs="Times New Roman"/>
        </w:rPr>
        <w:footnoteRef/>
      </w:r>
      <w:r w:rsidRPr="005B42C2">
        <w:rPr>
          <w:rFonts w:cs="Times New Roman"/>
        </w:rPr>
        <w:t xml:space="preserve"> J. Grzywacz, </w:t>
      </w:r>
      <w:r w:rsidRPr="005B42C2">
        <w:rPr>
          <w:rFonts w:cs="Times New Roman"/>
          <w:i/>
        </w:rPr>
        <w:t xml:space="preserve">Podstawy…, </w:t>
      </w:r>
      <w:r w:rsidRPr="005B42C2">
        <w:rPr>
          <w:rFonts w:cs="Times New Roman"/>
        </w:rPr>
        <w:t>s. 238.</w:t>
      </w:r>
    </w:p>
  </w:footnote>
  <w:footnote w:id="16">
    <w:p w14:paraId="65C864B6" w14:textId="4D3EC262" w:rsidR="00562AA2" w:rsidRPr="005B42C2" w:rsidRDefault="00562AA2" w:rsidP="00920BA4">
      <w:pPr>
        <w:pStyle w:val="Tekstprzypisudolnego"/>
        <w:rPr>
          <w:rFonts w:cs="Times New Roman"/>
          <w:i/>
        </w:rPr>
      </w:pPr>
      <w:r w:rsidRPr="005B42C2">
        <w:rPr>
          <w:rStyle w:val="Odwoanieprzypisudolnego"/>
          <w:rFonts w:cs="Times New Roman"/>
        </w:rPr>
        <w:footnoteRef/>
      </w:r>
      <w:r w:rsidRPr="005B42C2">
        <w:rPr>
          <w:rFonts w:cs="Times New Roman"/>
        </w:rPr>
        <w:t xml:space="preserve"> M. Iwanicz-Drozdowska, </w:t>
      </w:r>
      <w:r w:rsidRPr="005B42C2">
        <w:rPr>
          <w:rFonts w:cs="Times New Roman"/>
          <w:i/>
        </w:rPr>
        <w:t>Zarządzanie ryzykiem bankowym</w:t>
      </w:r>
      <w:r w:rsidRPr="005B42C2">
        <w:rPr>
          <w:rFonts w:cs="Times New Roman"/>
        </w:rPr>
        <w:t xml:space="preserve">, Poltext, Warszawa 2017, s. 11; M. Zaleska, </w:t>
      </w:r>
      <w:r w:rsidRPr="005B42C2">
        <w:rPr>
          <w:rFonts w:cs="Times New Roman"/>
          <w:i/>
        </w:rPr>
        <w:t>Bankowość</w:t>
      </w:r>
      <w:r w:rsidRPr="005B42C2">
        <w:rPr>
          <w:rFonts w:cs="Times New Roman"/>
        </w:rPr>
        <w:t xml:space="preserve">,… s. 80,81; J. Grzywacz, </w:t>
      </w:r>
      <w:r w:rsidRPr="005B42C2">
        <w:rPr>
          <w:rFonts w:cs="Times New Roman"/>
          <w:i/>
        </w:rPr>
        <w:t xml:space="preserve">Podstawy…, </w:t>
      </w:r>
      <w:r w:rsidRPr="005B42C2">
        <w:rPr>
          <w:rFonts w:cs="Times New Roman"/>
        </w:rPr>
        <w:t xml:space="preserve">s. 243; T. Czerwińska, K. Jajuga, </w:t>
      </w:r>
      <w:r w:rsidRPr="005B42C2">
        <w:rPr>
          <w:rFonts w:cs="Times New Roman"/>
          <w:i/>
        </w:rPr>
        <w:t>„Ryzyko”</w:t>
      </w:r>
      <w:r w:rsidRPr="005B42C2">
        <w:rPr>
          <w:rFonts w:cs="Times New Roman"/>
        </w:rPr>
        <w:t>, s. 460.</w:t>
      </w:r>
      <w:r w:rsidRPr="005B42C2">
        <w:rPr>
          <w:rFonts w:cs="Times New Roman"/>
          <w:i/>
        </w:rPr>
        <w:t xml:space="preserve"> </w:t>
      </w:r>
    </w:p>
  </w:footnote>
  <w:footnote w:id="17">
    <w:p w14:paraId="53CC80D8" w14:textId="24CCAD62" w:rsidR="00562AA2" w:rsidRPr="005B42C2" w:rsidRDefault="00562AA2" w:rsidP="00920BA4">
      <w:pPr>
        <w:pStyle w:val="Tekstprzypisudolnego"/>
        <w:rPr>
          <w:rFonts w:cs="Times New Roman"/>
        </w:rPr>
      </w:pPr>
      <w:r w:rsidRPr="005B42C2">
        <w:rPr>
          <w:rStyle w:val="Odwoanieprzypisudolnego"/>
          <w:rFonts w:cs="Times New Roman"/>
        </w:rPr>
        <w:footnoteRef/>
      </w:r>
      <w:r w:rsidRPr="005B42C2">
        <w:rPr>
          <w:rFonts w:cs="Times New Roman"/>
        </w:rPr>
        <w:t xml:space="preserve"> Ustawa </w:t>
      </w:r>
      <w:r w:rsidRPr="005B42C2">
        <w:rPr>
          <w:rFonts w:cs="Times New Roman"/>
          <w:i/>
        </w:rPr>
        <w:t>Prawo Dewizowe z dn. 27.02.2002</w:t>
      </w:r>
      <w:r>
        <w:rPr>
          <w:rFonts w:cs="Times New Roman"/>
          <w:i/>
        </w:rPr>
        <w:t xml:space="preserve"> </w:t>
      </w:r>
      <w:r w:rsidRPr="005B42C2">
        <w:rPr>
          <w:rFonts w:cs="Times New Roman"/>
          <w:i/>
        </w:rPr>
        <w:t xml:space="preserve">r. </w:t>
      </w:r>
      <w:r w:rsidRPr="005B42C2">
        <w:rPr>
          <w:rFonts w:cs="Times New Roman"/>
        </w:rPr>
        <w:t xml:space="preserve">art. 2 tj. Dz.U. 2017 poz. 679 </w:t>
      </w:r>
      <w:r>
        <w:rPr>
          <w:rFonts w:cs="Times New Roman"/>
        </w:rPr>
        <w:t xml:space="preserve">z </w:t>
      </w:r>
      <w:r w:rsidRPr="005B42C2">
        <w:rPr>
          <w:rFonts w:cs="Times New Roman"/>
        </w:rPr>
        <w:t>późn. zm</w:t>
      </w:r>
      <w:r>
        <w:rPr>
          <w:rFonts w:cs="Times New Roman"/>
        </w:rPr>
        <w:t>.,</w:t>
      </w:r>
      <w:r w:rsidRPr="005B42C2">
        <w:rPr>
          <w:rFonts w:cs="Times New Roman"/>
        </w:rPr>
        <w:t xml:space="preserve"> dalej jako u.pd.</w:t>
      </w:r>
    </w:p>
  </w:footnote>
  <w:footnote w:id="18">
    <w:p w14:paraId="622FBD9E" w14:textId="19E167AF" w:rsidR="00562AA2" w:rsidRPr="00D734D0" w:rsidRDefault="00562AA2" w:rsidP="00C15C5F">
      <w:pPr>
        <w:pStyle w:val="Tekstprzypisudolnego"/>
      </w:pPr>
      <w:r w:rsidRPr="005B42C2">
        <w:rPr>
          <w:rStyle w:val="Odwoanieprzypisudolnego"/>
          <w:rFonts w:cs="Times New Roman"/>
        </w:rPr>
        <w:footnoteRef/>
      </w:r>
      <w:r w:rsidRPr="005B42C2">
        <w:rPr>
          <w:rFonts w:cs="Times New Roman"/>
        </w:rPr>
        <w:t xml:space="preserve"> Związek Banków Polskich, </w:t>
      </w:r>
      <w:r w:rsidRPr="005B42C2">
        <w:rPr>
          <w:rFonts w:cs="Times New Roman"/>
          <w:i/>
        </w:rPr>
        <w:t>Biała księga kredytów frankowych w Polsce</w:t>
      </w:r>
      <w:r w:rsidRPr="005B42C2">
        <w:rPr>
          <w:rFonts w:cs="Times New Roman"/>
        </w:rPr>
        <w:t>, Warszawa, 2015</w:t>
      </w:r>
      <w:r>
        <w:rPr>
          <w:rFonts w:cs="Times New Roman"/>
        </w:rPr>
        <w:t xml:space="preserve"> </w:t>
      </w:r>
      <w:r w:rsidRPr="005B42C2">
        <w:rPr>
          <w:rFonts w:cs="Times New Roman"/>
        </w:rPr>
        <w:t>r.</w:t>
      </w:r>
    </w:p>
  </w:footnote>
  <w:footnote w:id="19">
    <w:p w14:paraId="24DD7DDF" w14:textId="5AD5E176" w:rsidR="00562AA2" w:rsidRPr="005B42C2" w:rsidRDefault="00562AA2" w:rsidP="00810648">
      <w:pPr>
        <w:pStyle w:val="Tekstprzypisudolnego"/>
        <w:rPr>
          <w:rFonts w:cs="Times New Roman"/>
        </w:rPr>
      </w:pPr>
      <w:r w:rsidRPr="005B42C2">
        <w:rPr>
          <w:rStyle w:val="Odwoanieprzypisudolnego"/>
          <w:rFonts w:cs="Times New Roman"/>
        </w:rPr>
        <w:footnoteRef/>
      </w:r>
      <w:r w:rsidRPr="005B42C2">
        <w:rPr>
          <w:rFonts w:cs="Times New Roman"/>
        </w:rPr>
        <w:t xml:space="preserve"> www.wyborcza.pl/1,75248,1515032.html?disableRedirects=true (data odsłony 17.02.2018 r.).</w:t>
      </w:r>
    </w:p>
  </w:footnote>
  <w:footnote w:id="20">
    <w:p w14:paraId="79F7CA42" w14:textId="5A374807" w:rsidR="00562AA2" w:rsidRPr="005B42C2" w:rsidRDefault="00562AA2" w:rsidP="00920BA4">
      <w:pPr>
        <w:pStyle w:val="Tekstprzypisudolnego"/>
        <w:rPr>
          <w:rFonts w:cs="Times New Roman"/>
        </w:rPr>
      </w:pPr>
      <w:r w:rsidRPr="005B42C2">
        <w:rPr>
          <w:rStyle w:val="Odwoanieprzypisudolnego"/>
          <w:rFonts w:cs="Times New Roman"/>
        </w:rPr>
        <w:footnoteRef/>
      </w:r>
      <w:r w:rsidRPr="005B42C2">
        <w:rPr>
          <w:rFonts w:cs="Times New Roman"/>
        </w:rPr>
        <w:t xml:space="preserve"> www.nbp.pl/Konferencje/droga_do_euro/bratkowski_rostowski_pl.pdf (data odsłony 17.02.2018 r.).</w:t>
      </w:r>
    </w:p>
  </w:footnote>
  <w:footnote w:id="21">
    <w:p w14:paraId="32174030" w14:textId="11A750DD" w:rsidR="00562AA2" w:rsidRPr="005B42C2" w:rsidRDefault="00562AA2" w:rsidP="00920BA4">
      <w:pPr>
        <w:pStyle w:val="Tekstprzypisudolnego"/>
        <w:rPr>
          <w:rFonts w:cs="Times New Roman"/>
        </w:rPr>
      </w:pPr>
      <w:r w:rsidRPr="005B42C2">
        <w:rPr>
          <w:rStyle w:val="Odwoanieprzypisudolnego"/>
          <w:rFonts w:cs="Times New Roman"/>
        </w:rPr>
        <w:footnoteRef/>
      </w:r>
      <w:r w:rsidRPr="005B42C2">
        <w:rPr>
          <w:rFonts w:cs="Times New Roman"/>
        </w:rPr>
        <w:t xml:space="preserve"> www.nbp.pl/home.aspx?f=/dzienne/stopy_archiwum.htm (data odsłony 17.02.2018 r.).</w:t>
      </w:r>
    </w:p>
  </w:footnote>
  <w:footnote w:id="22">
    <w:p w14:paraId="693B5706" w14:textId="65E5608D" w:rsidR="00562AA2" w:rsidRPr="00834F76" w:rsidRDefault="00562AA2" w:rsidP="00642663">
      <w:pPr>
        <w:rPr>
          <w:lang w:val="es-ES_tradnl"/>
        </w:rPr>
      </w:pPr>
      <w:r w:rsidRPr="005B42C2">
        <w:rPr>
          <w:rStyle w:val="Odwoanieprzypisudolnego"/>
          <w:rFonts w:cs="Times New Roman"/>
        </w:rPr>
        <w:footnoteRef/>
      </w:r>
      <w:r w:rsidRPr="00834F76">
        <w:rPr>
          <w:rFonts w:cs="Times New Roman"/>
          <w:lang w:val="es-ES_tradnl"/>
        </w:rPr>
        <w:t xml:space="preserve"> </w:t>
      </w:r>
      <w:hyperlink r:id="rId1" w:history="1">
        <w:r w:rsidRPr="00834F76">
          <w:rPr>
            <w:rStyle w:val="Hipercze"/>
            <w:rFonts w:cs="Times New Roman"/>
            <w:color w:val="auto"/>
            <w:sz w:val="20"/>
            <w:szCs w:val="20"/>
            <w:u w:val="none"/>
            <w:lang w:val="es-ES_tradnl"/>
          </w:rPr>
          <w:t>www.stooq.pl</w:t>
        </w:r>
      </w:hyperlink>
      <w:r w:rsidRPr="00834F76">
        <w:rPr>
          <w:rFonts w:cs="Times New Roman"/>
          <w:sz w:val="20"/>
          <w:szCs w:val="20"/>
          <w:lang w:val="es-ES_tradnl"/>
        </w:rPr>
        <w:t xml:space="preserve">; </w:t>
      </w:r>
      <w:r w:rsidRPr="00834F76">
        <w:rPr>
          <w:rFonts w:eastAsia="Times New Roman" w:cs="Times New Roman"/>
          <w:sz w:val="20"/>
          <w:szCs w:val="20"/>
          <w:lang w:val="es-ES_tradnl" w:eastAsia="pl-PL"/>
        </w:rPr>
        <w:t>www.global-rates.com/interest-rates/libor (data odsłon y 7.05.2018 r.).</w:t>
      </w:r>
    </w:p>
  </w:footnote>
  <w:footnote w:id="23">
    <w:p w14:paraId="0E6EEAA0" w14:textId="68EB2F65" w:rsidR="00562AA2" w:rsidRPr="005B42C2" w:rsidRDefault="00562AA2">
      <w:pPr>
        <w:pStyle w:val="Tekstprzypisudolnego"/>
        <w:rPr>
          <w:rFonts w:cs="Times New Roman"/>
        </w:rPr>
      </w:pPr>
      <w:r w:rsidRPr="005B42C2">
        <w:rPr>
          <w:rStyle w:val="Odwoanieprzypisudolnego"/>
          <w:rFonts w:cs="Times New Roman"/>
        </w:rPr>
        <w:footnoteRef/>
      </w:r>
      <w:r w:rsidRPr="005B42C2">
        <w:rPr>
          <w:rFonts w:cs="Times New Roman"/>
        </w:rPr>
        <w:t xml:space="preserve"> www.nbp.pl/home.aspx?f=/ku</w:t>
      </w:r>
      <w:r>
        <w:rPr>
          <w:rFonts w:cs="Times New Roman"/>
        </w:rPr>
        <w:t>rsy/arch_a.html (data odsłony 7.05</w:t>
      </w:r>
      <w:r w:rsidRPr="005B42C2">
        <w:rPr>
          <w:rFonts w:cs="Times New Roman"/>
        </w:rPr>
        <w:t>.2018 r.).</w:t>
      </w:r>
    </w:p>
  </w:footnote>
  <w:footnote w:id="24">
    <w:p w14:paraId="19C28C6F" w14:textId="70DE524D" w:rsidR="00562AA2" w:rsidRDefault="00562AA2">
      <w:pPr>
        <w:pStyle w:val="Tekstprzypisudolnego"/>
      </w:pPr>
      <w:r w:rsidRPr="005B42C2">
        <w:rPr>
          <w:rStyle w:val="Odwoanieprzypisudolnego"/>
          <w:rFonts w:cs="Times New Roman"/>
        </w:rPr>
        <w:footnoteRef/>
      </w:r>
      <w:r w:rsidRPr="005B42C2">
        <w:rPr>
          <w:rFonts w:cs="Times New Roman"/>
        </w:rPr>
        <w:t xml:space="preserve"> media.bik.pl/informacje-prasowe/333117/walutowe-kredyty-mieszkaniowe-w-latach-2005-2016 (data odsłony 25.02.2018 r.).</w:t>
      </w:r>
    </w:p>
  </w:footnote>
  <w:footnote w:id="25">
    <w:p w14:paraId="4D7BEE1D" w14:textId="630F8638" w:rsidR="00562AA2" w:rsidRPr="005B42C2" w:rsidRDefault="00562AA2">
      <w:pPr>
        <w:pStyle w:val="Tekstprzypisudolnego"/>
        <w:rPr>
          <w:rFonts w:cs="Times New Roman"/>
        </w:rPr>
      </w:pPr>
      <w:r w:rsidRPr="005B42C2">
        <w:rPr>
          <w:rStyle w:val="Odwoanieprzypisudolnego"/>
          <w:rFonts w:cs="Times New Roman"/>
        </w:rPr>
        <w:footnoteRef/>
      </w:r>
      <w:r w:rsidRPr="005B42C2">
        <w:rPr>
          <w:rFonts w:cs="Times New Roman"/>
        </w:rPr>
        <w:t xml:space="preserve"> Rekomendacje S i T zostaną omówione przez autora szerzej w kolejnych rozdziałach pracy. </w:t>
      </w:r>
    </w:p>
  </w:footnote>
  <w:footnote w:id="26">
    <w:p w14:paraId="1F23FFE9" w14:textId="1C083A2D" w:rsidR="00562AA2" w:rsidRPr="004E5ED1" w:rsidRDefault="00562AA2">
      <w:pPr>
        <w:pStyle w:val="Tekstprzypisudolnego"/>
      </w:pPr>
      <w:r w:rsidRPr="005B42C2">
        <w:rPr>
          <w:rStyle w:val="Odwoanieprzypisudolnego"/>
          <w:rFonts w:cs="Times New Roman"/>
        </w:rPr>
        <w:footnoteRef/>
      </w:r>
      <w:r w:rsidRPr="005B42C2">
        <w:rPr>
          <w:rFonts w:cs="Times New Roman"/>
        </w:rPr>
        <w:t xml:space="preserve"> www.ergokantor.pl/kredyty-walutowe---czy-wciaz--sa-dostepne.html (data odsłony 25.02.2018 r.).</w:t>
      </w:r>
      <w:r>
        <w:t xml:space="preserve"> </w:t>
      </w:r>
    </w:p>
  </w:footnote>
  <w:footnote w:id="27">
    <w:p w14:paraId="125E0203" w14:textId="21EE2CD5" w:rsidR="00562AA2" w:rsidRPr="005B42C2" w:rsidRDefault="00562AA2">
      <w:pPr>
        <w:pStyle w:val="Tekstprzypisudolnego"/>
        <w:rPr>
          <w:rFonts w:cs="Times New Roman"/>
        </w:rPr>
      </w:pPr>
      <w:r w:rsidRPr="005B42C2">
        <w:rPr>
          <w:rStyle w:val="Odwoanieprzypisudolnego"/>
          <w:rFonts w:cs="Times New Roman"/>
        </w:rPr>
        <w:footnoteRef/>
      </w:r>
      <w:r w:rsidRPr="005B42C2">
        <w:rPr>
          <w:rFonts w:cs="Times New Roman"/>
        </w:rPr>
        <w:t xml:space="preserve"> media.bik.pl/informacje-prasowe…, op.cit (data odsłony 25.02.2018 r.).</w:t>
      </w:r>
    </w:p>
  </w:footnote>
  <w:footnote w:id="28">
    <w:p w14:paraId="1D7C2EB8" w14:textId="482FEDB7" w:rsidR="00562AA2" w:rsidRDefault="00562AA2">
      <w:pPr>
        <w:pStyle w:val="Tekstprzypisudolnego"/>
      </w:pPr>
      <w:r w:rsidRPr="005B42C2">
        <w:rPr>
          <w:rStyle w:val="Odwoanieprzypisudolnego"/>
          <w:rFonts w:cs="Times New Roman"/>
        </w:rPr>
        <w:footnoteRef/>
      </w:r>
      <w:r w:rsidRPr="005B42C2">
        <w:rPr>
          <w:rFonts w:cs="Times New Roman"/>
        </w:rPr>
        <w:t xml:space="preserve"> Wykres 3.</w:t>
      </w:r>
    </w:p>
  </w:footnote>
  <w:footnote w:id="29">
    <w:p w14:paraId="3801B939" w14:textId="6E3E5A78" w:rsidR="00562AA2" w:rsidRPr="005B42C2" w:rsidRDefault="00562AA2">
      <w:pPr>
        <w:pStyle w:val="Tekstprzypisudolnego"/>
        <w:rPr>
          <w:rFonts w:cs="Times New Roman"/>
        </w:rPr>
      </w:pPr>
      <w:r w:rsidRPr="005B42C2">
        <w:rPr>
          <w:rStyle w:val="Odwoanieprzypisudolnego"/>
          <w:rFonts w:cs="Times New Roman"/>
        </w:rPr>
        <w:footnoteRef/>
      </w:r>
      <w:r w:rsidRPr="005B42C2">
        <w:rPr>
          <w:rFonts w:cs="Times New Roman"/>
        </w:rPr>
        <w:t xml:space="preserve"> www.nbp.pl/home.aspx?f=/statystyka/pieniezna_i_bankowa/naleznosci.html (data odsłony 4.05.2018 r.)</w:t>
      </w:r>
      <w:r>
        <w:rPr>
          <w:rFonts w:cs="Times New Roman"/>
        </w:rPr>
        <w:t>.</w:t>
      </w:r>
    </w:p>
  </w:footnote>
  <w:footnote w:id="30">
    <w:p w14:paraId="6A6DE958" w14:textId="71E542A4" w:rsidR="00562AA2" w:rsidRDefault="00562AA2">
      <w:pPr>
        <w:pStyle w:val="Tekstprzypisudolnego"/>
      </w:pPr>
      <w:r w:rsidRPr="005B42C2">
        <w:rPr>
          <w:rStyle w:val="Odwoanieprzypisudolnego"/>
          <w:rFonts w:cs="Times New Roman"/>
        </w:rPr>
        <w:footnoteRef/>
      </w:r>
      <w:r w:rsidRPr="005B42C2">
        <w:rPr>
          <w:rFonts w:cs="Times New Roman"/>
        </w:rPr>
        <w:t xml:space="preserve"> Komisja Nadzoru Finansowego, </w:t>
      </w:r>
      <w:r w:rsidRPr="005B42C2">
        <w:rPr>
          <w:rFonts w:cs="Times New Roman"/>
          <w:i/>
        </w:rPr>
        <w:t>Ocena wpływu na sytuację sektora bankowego i polskiej gospodarki propozycji przewalutowania kredytów mieszkaniowych udzielonych w CHF na PLN według kursu z dnia udzielenia kredytu</w:t>
      </w:r>
      <w:r w:rsidRPr="005B42C2">
        <w:rPr>
          <w:rFonts w:cs="Times New Roman"/>
        </w:rPr>
        <w:t>, Warszawa 2013 r. s.6.</w:t>
      </w:r>
    </w:p>
  </w:footnote>
  <w:footnote w:id="31">
    <w:p w14:paraId="609F8E5A" w14:textId="2F6DF900" w:rsidR="00562AA2" w:rsidRPr="005B42C2" w:rsidRDefault="00562AA2">
      <w:pPr>
        <w:pStyle w:val="Tekstprzypisudolnego"/>
        <w:rPr>
          <w:rFonts w:cs="Times New Roman"/>
        </w:rPr>
      </w:pPr>
      <w:r w:rsidRPr="005B42C2">
        <w:rPr>
          <w:rStyle w:val="Odwoanieprzypisudolnego"/>
          <w:rFonts w:cs="Times New Roman"/>
        </w:rPr>
        <w:footnoteRef/>
      </w:r>
      <w:r w:rsidRPr="005B42C2">
        <w:rPr>
          <w:rFonts w:cs="Times New Roman"/>
        </w:rPr>
        <w:t xml:space="preserve"> Biuro Informacji Kredytowej, </w:t>
      </w:r>
      <w:r w:rsidRPr="005B42C2">
        <w:rPr>
          <w:rFonts w:cs="Times New Roman"/>
          <w:i/>
        </w:rPr>
        <w:t>Raport półroczny Kredyt Trendy</w:t>
      </w:r>
      <w:r w:rsidRPr="005B42C2">
        <w:rPr>
          <w:rFonts w:cs="Times New Roman"/>
        </w:rPr>
        <w:t>, 2017</w:t>
      </w:r>
      <w:r>
        <w:rPr>
          <w:rFonts w:cs="Times New Roman"/>
        </w:rPr>
        <w:t xml:space="preserve"> r.</w:t>
      </w:r>
      <w:r w:rsidRPr="005B42C2">
        <w:rPr>
          <w:rFonts w:cs="Times New Roman"/>
        </w:rPr>
        <w:t xml:space="preserve"> s.23.</w:t>
      </w:r>
    </w:p>
  </w:footnote>
  <w:footnote w:id="32">
    <w:p w14:paraId="7FBE717D" w14:textId="2F8DBFE8" w:rsidR="00562AA2" w:rsidRPr="005B42C2" w:rsidRDefault="00562AA2" w:rsidP="00C702D6">
      <w:pPr>
        <w:pStyle w:val="Tekstprzypisudolnego"/>
        <w:rPr>
          <w:rFonts w:cs="Times New Roman"/>
        </w:rPr>
      </w:pPr>
      <w:r w:rsidRPr="005B42C2">
        <w:rPr>
          <w:rStyle w:val="Odwoanieprzypisudolnego"/>
          <w:rFonts w:cs="Times New Roman"/>
        </w:rPr>
        <w:footnoteRef/>
      </w:r>
      <w:r w:rsidRPr="005B42C2">
        <w:rPr>
          <w:rFonts w:cs="Times New Roman"/>
        </w:rPr>
        <w:t xml:space="preserve"> www.nbp.pl/home.aspx?f=/statystyka/pieniezna_i_bankowa</w:t>
      </w:r>
      <w:r>
        <w:rPr>
          <w:rFonts w:cs="Times New Roman"/>
        </w:rPr>
        <w:t>/naleznosci.html (data odsłony 7</w:t>
      </w:r>
      <w:r w:rsidRPr="005B42C2">
        <w:rPr>
          <w:rFonts w:cs="Times New Roman"/>
        </w:rPr>
        <w:t>.05.2018 r.)</w:t>
      </w:r>
      <w:r>
        <w:rPr>
          <w:rFonts w:cs="Times New Roman"/>
        </w:rPr>
        <w:t>.</w:t>
      </w:r>
    </w:p>
  </w:footnote>
  <w:footnote w:id="33">
    <w:p w14:paraId="7CA04A55" w14:textId="297058B2" w:rsidR="00562AA2" w:rsidRPr="005B42C2" w:rsidRDefault="00562AA2">
      <w:pPr>
        <w:pStyle w:val="Tekstprzypisudolnego"/>
        <w:rPr>
          <w:rFonts w:cs="Times New Roman"/>
        </w:rPr>
      </w:pPr>
      <w:r w:rsidRPr="005B42C2">
        <w:rPr>
          <w:rStyle w:val="Odwoanieprzypisudolnego"/>
          <w:rFonts w:cs="Times New Roman"/>
        </w:rPr>
        <w:footnoteRef/>
      </w:r>
      <w:r w:rsidRPr="005B42C2">
        <w:rPr>
          <w:rFonts w:cs="Times New Roman"/>
        </w:rPr>
        <w:t xml:space="preserve"> M. Iwanicz-Drozdowska, </w:t>
      </w:r>
      <w:r w:rsidRPr="005B42C2">
        <w:rPr>
          <w:rFonts w:cs="Times New Roman"/>
          <w:i/>
        </w:rPr>
        <w:t>Zarządzanie…</w:t>
      </w:r>
      <w:r w:rsidRPr="005B42C2">
        <w:rPr>
          <w:rFonts w:cs="Times New Roman"/>
        </w:rPr>
        <w:t xml:space="preserve"> s. 11; M. Zaleska, </w:t>
      </w:r>
      <w:r w:rsidRPr="005B42C2">
        <w:rPr>
          <w:rFonts w:cs="Times New Roman"/>
          <w:i/>
        </w:rPr>
        <w:t>Bankowość</w:t>
      </w:r>
      <w:r w:rsidRPr="005B42C2">
        <w:rPr>
          <w:rFonts w:cs="Times New Roman"/>
        </w:rPr>
        <w:t xml:space="preserve">,… s. 80,81; J. Grzywacz, </w:t>
      </w:r>
      <w:r w:rsidRPr="005B42C2">
        <w:rPr>
          <w:rFonts w:cs="Times New Roman"/>
          <w:i/>
        </w:rPr>
        <w:t xml:space="preserve">Podstawy…, </w:t>
      </w:r>
      <w:r w:rsidRPr="005B42C2">
        <w:rPr>
          <w:rFonts w:cs="Times New Roman"/>
        </w:rPr>
        <w:t xml:space="preserve">s. 243; T. Czerwińska, K. Jajuga, </w:t>
      </w:r>
      <w:r w:rsidRPr="005B42C2">
        <w:rPr>
          <w:rFonts w:cs="Times New Roman"/>
          <w:i/>
        </w:rPr>
        <w:t>Ryzyk</w:t>
      </w:r>
      <w:r>
        <w:rPr>
          <w:rFonts w:cs="Times New Roman"/>
          <w:i/>
        </w:rPr>
        <w:t>o…</w:t>
      </w:r>
      <w:r w:rsidRPr="005B42C2">
        <w:rPr>
          <w:rFonts w:cs="Times New Roman"/>
        </w:rPr>
        <w:t>, s. 460.</w:t>
      </w:r>
    </w:p>
  </w:footnote>
  <w:footnote w:id="34">
    <w:p w14:paraId="278F6D7B" w14:textId="0C293FB7" w:rsidR="00562AA2" w:rsidRDefault="00562AA2">
      <w:pPr>
        <w:pStyle w:val="Tekstprzypisudolnego"/>
      </w:pPr>
      <w:r w:rsidRPr="005B42C2">
        <w:rPr>
          <w:rStyle w:val="Odwoanieprzypisudolnego"/>
          <w:rFonts w:cs="Times New Roman"/>
        </w:rPr>
        <w:footnoteRef/>
      </w:r>
      <w:r w:rsidRPr="005B42C2">
        <w:rPr>
          <w:rFonts w:cs="Times New Roman"/>
        </w:rPr>
        <w:t xml:space="preserve"> www.nbportal.pl/wiedza/artykuly/finanse/frankowe-kredyty-walutowe (data odsłony 26.02.2018</w:t>
      </w:r>
      <w:r>
        <w:rPr>
          <w:rFonts w:cs="Times New Roman"/>
        </w:rPr>
        <w:t xml:space="preserve"> </w:t>
      </w:r>
      <w:r w:rsidRPr="005B42C2">
        <w:rPr>
          <w:rFonts w:cs="Times New Roman"/>
        </w:rPr>
        <w:t>r.).</w:t>
      </w:r>
    </w:p>
  </w:footnote>
  <w:footnote w:id="35">
    <w:p w14:paraId="6D5150B0" w14:textId="70046ECF" w:rsidR="00562AA2" w:rsidRPr="005B42C2" w:rsidRDefault="00562AA2">
      <w:pPr>
        <w:pStyle w:val="Tekstprzypisudolnego"/>
        <w:rPr>
          <w:rFonts w:cs="Times New Roman"/>
        </w:rPr>
      </w:pPr>
      <w:r w:rsidRPr="005B42C2">
        <w:rPr>
          <w:rStyle w:val="Odwoanieprzypisudolnego"/>
          <w:rFonts w:cs="Times New Roman"/>
        </w:rPr>
        <w:footnoteRef/>
      </w:r>
      <w:r w:rsidRPr="005B42C2">
        <w:rPr>
          <w:rFonts w:cs="Times New Roman"/>
        </w:rPr>
        <w:t xml:space="preserve"> Banki w Polsce udzielające kredytów walutowych są w znacznej mierze finansowane w tym zakresie przez zagraniczne banki, które są ich udziałowcami lub właścicielami. To powoduje rosnące uzależnienie całej gospodarki od przepływów pieniężnych z zagranicy. </w:t>
      </w:r>
    </w:p>
  </w:footnote>
  <w:footnote w:id="36">
    <w:p w14:paraId="2E50485A" w14:textId="6874203C" w:rsidR="00562AA2" w:rsidRPr="005B42C2" w:rsidRDefault="00562AA2">
      <w:pPr>
        <w:pStyle w:val="Tekstprzypisudolnego"/>
        <w:rPr>
          <w:rFonts w:cs="Times New Roman"/>
        </w:rPr>
      </w:pPr>
      <w:r w:rsidRPr="005B42C2">
        <w:rPr>
          <w:rStyle w:val="Odwoanieprzypisudolnego"/>
          <w:rFonts w:cs="Times New Roman"/>
        </w:rPr>
        <w:footnoteRef/>
      </w:r>
      <w:r w:rsidRPr="00834F76">
        <w:rPr>
          <w:rFonts w:cs="Times New Roman"/>
        </w:rPr>
        <w:t xml:space="preserve"> www.nbportal.pl/wiedza..., op. cit. </w:t>
      </w:r>
      <w:r w:rsidRPr="005B42C2">
        <w:rPr>
          <w:rFonts w:cs="Times New Roman"/>
        </w:rPr>
        <w:t xml:space="preserve">(data odsłony 26.02.2018r.). </w:t>
      </w:r>
    </w:p>
  </w:footnote>
  <w:footnote w:id="37">
    <w:p w14:paraId="64E9A777" w14:textId="26B609FA" w:rsidR="00562AA2" w:rsidRPr="002E5B47" w:rsidRDefault="00562AA2" w:rsidP="007D4DEC">
      <w:pPr>
        <w:pStyle w:val="Tekstprzypisudolnego"/>
      </w:pPr>
      <w:r w:rsidRPr="005B42C2">
        <w:rPr>
          <w:rStyle w:val="Odwoanieprzypisudolnego"/>
          <w:rFonts w:cs="Times New Roman"/>
        </w:rPr>
        <w:footnoteRef/>
      </w:r>
      <w:r w:rsidRPr="005B42C2">
        <w:rPr>
          <w:rFonts w:cs="Times New Roman"/>
        </w:rPr>
        <w:t xml:space="preserve"> www.obserwatorfinansowy.pl/tematyka/bankowosc/kredyty-walutowe-pod-krajowym-nadzorem (data odsłony 25.02.2018</w:t>
      </w:r>
      <w:r>
        <w:rPr>
          <w:rFonts w:cs="Times New Roman"/>
        </w:rPr>
        <w:t xml:space="preserve"> </w:t>
      </w:r>
      <w:r w:rsidRPr="005B42C2">
        <w:rPr>
          <w:rFonts w:cs="Times New Roman"/>
        </w:rPr>
        <w:t>r.).</w:t>
      </w:r>
    </w:p>
  </w:footnote>
  <w:footnote w:id="38">
    <w:p w14:paraId="274C35BE" w14:textId="7835FAAA" w:rsidR="00562AA2" w:rsidRPr="005B42C2" w:rsidRDefault="00562AA2">
      <w:pPr>
        <w:pStyle w:val="Tekstprzypisudolnego"/>
        <w:rPr>
          <w:rFonts w:cs="Times New Roman"/>
        </w:rPr>
      </w:pPr>
      <w:r w:rsidRPr="005B42C2">
        <w:rPr>
          <w:rStyle w:val="Odwoanieprzypisudolnego"/>
          <w:rFonts w:cs="Times New Roman"/>
        </w:rPr>
        <w:footnoteRef/>
      </w:r>
      <w:r w:rsidRPr="005B42C2">
        <w:rPr>
          <w:rFonts w:cs="Times New Roman"/>
        </w:rPr>
        <w:t xml:space="preserve"> Związek Banków Polskich, </w:t>
      </w:r>
      <w:r w:rsidRPr="005B42C2">
        <w:rPr>
          <w:rFonts w:cs="Times New Roman"/>
          <w:i/>
        </w:rPr>
        <w:t>Biała księga…</w:t>
      </w:r>
      <w:r>
        <w:rPr>
          <w:rFonts w:cs="Times New Roman"/>
          <w:i/>
        </w:rPr>
        <w:t xml:space="preserve"> </w:t>
      </w:r>
      <w:r w:rsidRPr="005B42C2">
        <w:rPr>
          <w:rFonts w:cs="Times New Roman"/>
        </w:rPr>
        <w:t>op.cit (data odsłony 15.03.2018 r.)</w:t>
      </w:r>
      <w:r w:rsidRPr="005B42C2">
        <w:rPr>
          <w:rFonts w:cs="Times New Roman"/>
          <w:i/>
        </w:rPr>
        <w:t>.</w:t>
      </w:r>
    </w:p>
  </w:footnote>
  <w:footnote w:id="39">
    <w:p w14:paraId="32938333" w14:textId="308DF97C" w:rsidR="00562AA2" w:rsidRPr="005B42C2" w:rsidRDefault="00562AA2">
      <w:pPr>
        <w:pStyle w:val="Tekstprzypisudolnego"/>
        <w:rPr>
          <w:rFonts w:cs="Times New Roman"/>
        </w:rPr>
      </w:pPr>
      <w:r w:rsidRPr="005B42C2">
        <w:rPr>
          <w:rStyle w:val="Odwoanieprzypisudolnego"/>
          <w:rFonts w:cs="Times New Roman"/>
        </w:rPr>
        <w:footnoteRef/>
      </w:r>
      <w:r w:rsidRPr="005B42C2">
        <w:rPr>
          <w:rFonts w:cs="Times New Roman"/>
        </w:rPr>
        <w:t xml:space="preserve"> Komisja Nadzoru Bankowego, </w:t>
      </w:r>
      <w:r w:rsidRPr="005B42C2">
        <w:rPr>
          <w:rFonts w:cs="Times New Roman"/>
          <w:i/>
        </w:rPr>
        <w:t>Rekomendacja S dotycząca dobrych praktyk w zakresie ekspozycji kredytowych zabezpieczonych hipotecznie</w:t>
      </w:r>
      <w:r w:rsidRPr="005B42C2">
        <w:rPr>
          <w:rFonts w:cs="Times New Roman"/>
        </w:rPr>
        <w:t>, Warszawa, 2006 r. s. 19, 26</w:t>
      </w:r>
      <w:r>
        <w:rPr>
          <w:rFonts w:cs="Times New Roman"/>
        </w:rPr>
        <w:t>-</w:t>
      </w:r>
      <w:r w:rsidRPr="005B42C2">
        <w:rPr>
          <w:rFonts w:cs="Times New Roman"/>
        </w:rPr>
        <w:t>27.</w:t>
      </w:r>
    </w:p>
  </w:footnote>
  <w:footnote w:id="40">
    <w:p w14:paraId="254DB02F" w14:textId="42024959" w:rsidR="00562AA2" w:rsidRPr="005B42C2" w:rsidRDefault="00562AA2" w:rsidP="000F0720">
      <w:pPr>
        <w:pStyle w:val="Tekstprzypisudolnego"/>
        <w:rPr>
          <w:rFonts w:cs="Times New Roman"/>
        </w:rPr>
      </w:pPr>
      <w:r w:rsidRPr="005B42C2">
        <w:rPr>
          <w:rStyle w:val="Odwoanieprzypisudolnego"/>
          <w:rFonts w:cs="Times New Roman"/>
        </w:rPr>
        <w:footnoteRef/>
      </w:r>
      <w:r w:rsidRPr="005B42C2">
        <w:rPr>
          <w:rFonts w:cs="Times New Roman"/>
        </w:rPr>
        <w:t xml:space="preserve"> Komisja Nadzoru Finansowego, </w:t>
      </w:r>
      <w:r w:rsidRPr="005B42C2">
        <w:rPr>
          <w:rFonts w:cs="Times New Roman"/>
          <w:i/>
        </w:rPr>
        <w:t xml:space="preserve">Rekomendacja S (II) dotycząca dobrych praktyk w zakresie ekspozycji kredytowych zabezpieczonych hipoteczni, </w:t>
      </w:r>
      <w:r w:rsidRPr="005B42C2">
        <w:rPr>
          <w:rFonts w:cs="Times New Roman"/>
        </w:rPr>
        <w:t>Warszawa, 2008 r. s.</w:t>
      </w:r>
      <w:r>
        <w:rPr>
          <w:rFonts w:cs="Times New Roman"/>
        </w:rPr>
        <w:t xml:space="preserve"> 2,</w:t>
      </w:r>
      <w:r w:rsidRPr="005B42C2">
        <w:rPr>
          <w:rFonts w:cs="Times New Roman"/>
        </w:rPr>
        <w:t xml:space="preserve"> 26</w:t>
      </w:r>
      <w:r>
        <w:rPr>
          <w:rFonts w:cs="Times New Roman"/>
        </w:rPr>
        <w:t>-</w:t>
      </w:r>
      <w:r w:rsidRPr="005B42C2">
        <w:rPr>
          <w:rFonts w:cs="Times New Roman"/>
        </w:rPr>
        <w:t xml:space="preserve">27. </w:t>
      </w:r>
    </w:p>
  </w:footnote>
  <w:footnote w:id="41">
    <w:p w14:paraId="546B8B5A" w14:textId="12455D04" w:rsidR="00562AA2" w:rsidRPr="005B42C2" w:rsidRDefault="00562AA2">
      <w:pPr>
        <w:pStyle w:val="Tekstprzypisudolnego"/>
        <w:rPr>
          <w:rFonts w:cs="Times New Roman"/>
        </w:rPr>
      </w:pPr>
      <w:r w:rsidRPr="005B42C2">
        <w:rPr>
          <w:rStyle w:val="Odwoanieprzypisudolnego"/>
          <w:rFonts w:cs="Times New Roman"/>
        </w:rPr>
        <w:footnoteRef/>
      </w:r>
      <w:r w:rsidRPr="005B42C2">
        <w:rPr>
          <w:rFonts w:cs="Times New Roman"/>
        </w:rPr>
        <w:t xml:space="preserve"> Współczynnik Debt to Income (DTI) określa maksymalny możliwy poziom proporcji kosztów obsługi zobowiązania kredytowego do dochodów netto otrzymywanych przez kredytobiorcę. Do kwoty rat kredytu dolicza się również koszty spłaty pozostałych z tytułu innych kredytów i zobowiązań pożyczkowych.</w:t>
      </w:r>
    </w:p>
  </w:footnote>
  <w:footnote w:id="42">
    <w:p w14:paraId="438A8F15" w14:textId="3E918064" w:rsidR="00562AA2" w:rsidRPr="005B42C2" w:rsidRDefault="00562AA2">
      <w:pPr>
        <w:pStyle w:val="Tekstprzypisudolnego"/>
        <w:rPr>
          <w:rFonts w:cs="Times New Roman"/>
        </w:rPr>
      </w:pPr>
      <w:r w:rsidRPr="005B42C2">
        <w:rPr>
          <w:rStyle w:val="Odwoanieprzypisudolnego"/>
          <w:rFonts w:cs="Times New Roman"/>
        </w:rPr>
        <w:footnoteRef/>
      </w:r>
      <w:r w:rsidRPr="005B42C2">
        <w:rPr>
          <w:rFonts w:cs="Times New Roman"/>
        </w:rPr>
        <w:t xml:space="preserve"> Komisja Nadzoru Finansowego,</w:t>
      </w:r>
      <w:r w:rsidRPr="005B42C2">
        <w:rPr>
          <w:rFonts w:cs="Times New Roman"/>
          <w:i/>
        </w:rPr>
        <w:t xml:space="preserve"> Rekomendacja T dotycząca dobrych praktyk w zakresie zarządzania ryzykiem detalicznych ekspozycji kredytowych, </w:t>
      </w:r>
      <w:r w:rsidRPr="005B42C2">
        <w:rPr>
          <w:rFonts w:cs="Times New Roman"/>
        </w:rPr>
        <w:t>Warszawa, 2010 r. s. 22</w:t>
      </w:r>
      <w:r>
        <w:rPr>
          <w:rFonts w:cs="Times New Roman"/>
        </w:rPr>
        <w:t>-</w:t>
      </w:r>
      <w:r w:rsidRPr="005B42C2">
        <w:rPr>
          <w:rFonts w:cs="Times New Roman"/>
        </w:rPr>
        <w:t>23, 25, 32, 38.</w:t>
      </w:r>
    </w:p>
  </w:footnote>
  <w:footnote w:id="43">
    <w:p w14:paraId="719AC4A7" w14:textId="1E6B956E" w:rsidR="00562AA2" w:rsidRPr="007C50B6" w:rsidRDefault="00562AA2">
      <w:pPr>
        <w:pStyle w:val="Tekstprzypisudolnego"/>
      </w:pPr>
      <w:r w:rsidRPr="005B42C2">
        <w:rPr>
          <w:rStyle w:val="Odwoanieprzypisudolnego"/>
          <w:rFonts w:cs="Times New Roman"/>
        </w:rPr>
        <w:footnoteRef/>
      </w:r>
      <w:r w:rsidRPr="005B42C2">
        <w:rPr>
          <w:rFonts w:cs="Times New Roman"/>
        </w:rPr>
        <w:t xml:space="preserve"> Komisja Nadzoru Finansowego, </w:t>
      </w:r>
      <w:r w:rsidRPr="005B42C2">
        <w:rPr>
          <w:rFonts w:cs="Times New Roman"/>
          <w:i/>
        </w:rPr>
        <w:t>Rekomendacja S (III) dotycząca dobrych praktyk w zakresie zarządzania ekspozycjami kredytowymi finansującymi nieruchomości oraz zabezpieczonymi hipoteczni</w:t>
      </w:r>
      <w:r w:rsidRPr="005B42C2">
        <w:rPr>
          <w:rFonts w:cs="Times New Roman"/>
        </w:rPr>
        <w:t>, Warszawa, 2011 r. s. 22, 25.</w:t>
      </w:r>
    </w:p>
  </w:footnote>
  <w:footnote w:id="44">
    <w:p w14:paraId="6BA11869" w14:textId="0BC5A4FD" w:rsidR="00562AA2" w:rsidRPr="00F72B58" w:rsidRDefault="00562AA2">
      <w:pPr>
        <w:pStyle w:val="Tekstprzypisudolnego"/>
        <w:rPr>
          <w:rFonts w:cs="Times New Roman"/>
        </w:rPr>
      </w:pPr>
      <w:r w:rsidRPr="00F72B58">
        <w:rPr>
          <w:rStyle w:val="Odwoanieprzypisudolnego"/>
          <w:rFonts w:cs="Times New Roman"/>
        </w:rPr>
        <w:footnoteRef/>
      </w:r>
      <w:r w:rsidRPr="00F72B58">
        <w:rPr>
          <w:rFonts w:cs="Times New Roman"/>
        </w:rPr>
        <w:t xml:space="preserve"> Komisja Nadzoru Finansowego, </w:t>
      </w:r>
      <w:r w:rsidRPr="00F72B58">
        <w:rPr>
          <w:rFonts w:cs="Times New Roman"/>
          <w:i/>
        </w:rPr>
        <w:t>Rekomendacja S dotycząca dobrych praktyk w zakresie zarządzania ekspozycjami kredytowymi zabezpieczonymi hipotecznie</w:t>
      </w:r>
      <w:r w:rsidRPr="00F72B58">
        <w:rPr>
          <w:rFonts w:cs="Times New Roman"/>
        </w:rPr>
        <w:t>, Warszawa, 2013 r. s. 10, 20, 42.</w:t>
      </w:r>
    </w:p>
  </w:footnote>
  <w:footnote w:id="45">
    <w:p w14:paraId="7C8043C1" w14:textId="0DBCFFA3" w:rsidR="00562AA2" w:rsidRPr="00242A51" w:rsidRDefault="00562AA2">
      <w:pPr>
        <w:pStyle w:val="Tekstprzypisudolnego"/>
      </w:pPr>
      <w:r w:rsidRPr="00F72B58">
        <w:rPr>
          <w:rStyle w:val="Odwoanieprzypisudolnego"/>
          <w:rFonts w:cs="Times New Roman"/>
        </w:rPr>
        <w:footnoteRef/>
      </w:r>
      <w:r w:rsidRPr="00F72B58">
        <w:rPr>
          <w:rFonts w:cs="Times New Roman"/>
        </w:rPr>
        <w:t xml:space="preserve"> www.nbp.pl/home.aspx?f=/systemfinansowy/esrb.html (data odsłony 16.03.2018 r.).</w:t>
      </w:r>
    </w:p>
  </w:footnote>
  <w:footnote w:id="46">
    <w:p w14:paraId="7B358ECC" w14:textId="5F20A5A2" w:rsidR="00562AA2" w:rsidRPr="00F72B58" w:rsidRDefault="00562AA2">
      <w:pPr>
        <w:pStyle w:val="Tekstprzypisudolnego"/>
        <w:rPr>
          <w:rFonts w:cs="Times New Roman"/>
          <w:i/>
        </w:rPr>
      </w:pPr>
      <w:r w:rsidRPr="00F72B58">
        <w:rPr>
          <w:rStyle w:val="Odwoanieprzypisudolnego"/>
          <w:rFonts w:cs="Times New Roman"/>
        </w:rPr>
        <w:footnoteRef/>
      </w:r>
      <w:r w:rsidRPr="00F72B58">
        <w:rPr>
          <w:rFonts w:cs="Times New Roman"/>
        </w:rPr>
        <w:t xml:space="preserve"> Europejska Rada ds. Ryzyka Systemowego, </w:t>
      </w:r>
      <w:r w:rsidRPr="00F72B58">
        <w:rPr>
          <w:rFonts w:cs="Times New Roman"/>
          <w:i/>
        </w:rPr>
        <w:t>Zalecenie z dnia 21 września 2011 r. dotyczące kredytów w walutach obcych</w:t>
      </w:r>
      <w:r w:rsidRPr="00097231">
        <w:rPr>
          <w:rFonts w:cs="Times New Roman"/>
        </w:rPr>
        <w:t>, 2011 r. s. 2-3.</w:t>
      </w:r>
    </w:p>
  </w:footnote>
  <w:footnote w:id="47">
    <w:p w14:paraId="3FAE0BE0" w14:textId="6D39CBE9" w:rsidR="00562AA2" w:rsidRPr="00F72B58" w:rsidRDefault="00562AA2">
      <w:pPr>
        <w:pStyle w:val="Tekstprzypisudolnego"/>
        <w:rPr>
          <w:rFonts w:cs="Times New Roman"/>
        </w:rPr>
      </w:pPr>
      <w:r w:rsidRPr="00F72B58">
        <w:rPr>
          <w:rStyle w:val="Odwoanieprzypisudolnego"/>
          <w:rFonts w:cs="Times New Roman"/>
        </w:rPr>
        <w:footnoteRef/>
      </w:r>
      <w:r w:rsidRPr="00F72B58">
        <w:rPr>
          <w:rFonts w:cs="Times New Roman"/>
        </w:rPr>
        <w:t xml:space="preserve"> </w:t>
      </w:r>
      <w:r w:rsidRPr="00302223">
        <w:rPr>
          <w:rFonts w:cs="Times New Roman"/>
          <w:i/>
        </w:rPr>
        <w:t>Ustawa o wsparciu kredytobiorców znajdujących się w trudnej sytuacji finansowej, którzy zaciągnęli kredyt mieszkaniowy z dn</w:t>
      </w:r>
      <w:r>
        <w:rPr>
          <w:rFonts w:cs="Times New Roman"/>
          <w:i/>
        </w:rPr>
        <w:t>.</w:t>
      </w:r>
      <w:r w:rsidRPr="00302223">
        <w:rPr>
          <w:rFonts w:cs="Times New Roman"/>
          <w:i/>
        </w:rPr>
        <w:t xml:space="preserve"> 9 października 2015 r</w:t>
      </w:r>
      <w:r>
        <w:rPr>
          <w:rFonts w:cs="Times New Roman"/>
        </w:rPr>
        <w:t xml:space="preserve">. art. 3-8, 14-20, Dz.U. 2015 poz. 1925 </w:t>
      </w:r>
      <w:r w:rsidRPr="00573F19">
        <w:rPr>
          <w:rFonts w:cs="Times New Roman"/>
        </w:rPr>
        <w:t>z późn. zm.</w:t>
      </w:r>
      <w:r>
        <w:rPr>
          <w:rFonts w:cs="Times New Roman"/>
        </w:rPr>
        <w:t xml:space="preserve"> dalej jako u.o.w.</w:t>
      </w:r>
    </w:p>
  </w:footnote>
  <w:footnote w:id="48">
    <w:p w14:paraId="6C0CE7D9" w14:textId="5619510D" w:rsidR="00562AA2" w:rsidRPr="00F72B58" w:rsidRDefault="00562AA2">
      <w:pPr>
        <w:pStyle w:val="Tekstprzypisudolnego"/>
        <w:rPr>
          <w:rFonts w:cs="Times New Roman"/>
        </w:rPr>
      </w:pPr>
      <w:r w:rsidRPr="00F72B58">
        <w:rPr>
          <w:rStyle w:val="Odwoanieprzypisudolnego"/>
          <w:rFonts w:cs="Times New Roman"/>
        </w:rPr>
        <w:footnoteRef/>
      </w:r>
      <w:r w:rsidRPr="00F72B58">
        <w:rPr>
          <w:rFonts w:cs="Times New Roman"/>
        </w:rPr>
        <w:t xml:space="preserve"> www.prezydent.pl/prawo/ustawy/zgloszone/art,15,prezydent-andrzej-duda-proponuje-kolejne-regulacje-korzystne-dla-kredytobiorcow.html (data odsłony 22.03.2018 r.).</w:t>
      </w:r>
    </w:p>
  </w:footnote>
  <w:footnote w:id="49">
    <w:p w14:paraId="62B8005C" w14:textId="0B56E8C2" w:rsidR="00562AA2" w:rsidRDefault="00562AA2">
      <w:pPr>
        <w:pStyle w:val="Tekstprzypisudolnego"/>
      </w:pPr>
      <w:r w:rsidRPr="00F72B58">
        <w:rPr>
          <w:rStyle w:val="Odwoanieprzypisudolnego"/>
          <w:rFonts w:cs="Times New Roman"/>
        </w:rPr>
        <w:footnoteRef/>
      </w:r>
      <w:r w:rsidRPr="00F72B58">
        <w:rPr>
          <w:rFonts w:cs="Times New Roman"/>
        </w:rPr>
        <w:t xml:space="preserve"> www.parkiet.com/Kredyty-i-pozyczki/308029917-Prezydencki-projekt-ustawy-ws-frankowiczow-juz-w-Sejmie.html (data odsłony 22.03.2018 r.).</w:t>
      </w:r>
    </w:p>
  </w:footnote>
  <w:footnote w:id="50">
    <w:p w14:paraId="2C5C71AF" w14:textId="03ABBE61" w:rsidR="00562AA2" w:rsidRPr="00F72B58" w:rsidRDefault="00562AA2">
      <w:pPr>
        <w:pStyle w:val="Tekstprzypisudolnego"/>
        <w:rPr>
          <w:rFonts w:cs="Times New Roman"/>
        </w:rPr>
      </w:pPr>
      <w:r w:rsidRPr="00F72B58">
        <w:rPr>
          <w:rStyle w:val="Odwoanieprzypisudolnego"/>
          <w:rFonts w:cs="Times New Roman"/>
        </w:rPr>
        <w:footnoteRef/>
      </w:r>
      <w:r w:rsidRPr="00F72B58">
        <w:rPr>
          <w:rFonts w:cs="Times New Roman"/>
        </w:rPr>
        <w:t xml:space="preserve"> www.c.europa.eu/eurostat/statistics-explained/index.php/Housing_statistics/pl (data odsłony 20.04.2018 r.)</w:t>
      </w:r>
      <w:r>
        <w:rPr>
          <w:rFonts w:cs="Times New Roman"/>
        </w:rPr>
        <w:t>.</w:t>
      </w:r>
    </w:p>
  </w:footnote>
  <w:footnote w:id="51">
    <w:p w14:paraId="7FEA66DF" w14:textId="3C62ACF8" w:rsidR="00562AA2" w:rsidRPr="00FE5784" w:rsidRDefault="00562AA2">
      <w:pPr>
        <w:pStyle w:val="Tekstprzypisudolnego"/>
        <w:rPr>
          <w:lang w:val="en-US"/>
        </w:rPr>
      </w:pPr>
      <w:r w:rsidRPr="00F72B58">
        <w:rPr>
          <w:rStyle w:val="Odwoanieprzypisudolnego"/>
          <w:rFonts w:cs="Times New Roman"/>
        </w:rPr>
        <w:footnoteRef/>
      </w:r>
      <w:r w:rsidRPr="00F72B58">
        <w:rPr>
          <w:rFonts w:cs="Times New Roman"/>
          <w:lang w:val="en-US"/>
        </w:rPr>
        <w:t xml:space="preserve"> European Mortgage Federation, </w:t>
      </w:r>
      <w:r w:rsidRPr="00F72B58">
        <w:rPr>
          <w:rFonts w:cs="Times New Roman"/>
          <w:i/>
          <w:lang w:val="en-US"/>
        </w:rPr>
        <w:t>A review of Europe</w:t>
      </w:r>
      <w:r>
        <w:rPr>
          <w:rFonts w:cs="Times New Roman"/>
          <w:i/>
          <w:lang w:val="en-US"/>
        </w:rPr>
        <w:t>’s mortgage and housing markets</w:t>
      </w:r>
      <w:r w:rsidRPr="00F72B58">
        <w:rPr>
          <w:rFonts w:cs="Times New Roman"/>
          <w:lang w:val="en-US"/>
        </w:rPr>
        <w:t>, 2017</w:t>
      </w:r>
      <w:r>
        <w:rPr>
          <w:rFonts w:cs="Times New Roman"/>
          <w:lang w:val="en-US"/>
        </w:rPr>
        <w:t xml:space="preserve"> r.</w:t>
      </w:r>
      <w:r w:rsidRPr="00F72B58">
        <w:rPr>
          <w:rFonts w:cs="Times New Roman"/>
          <w:lang w:val="en-US"/>
        </w:rPr>
        <w:t xml:space="preserve"> s. 99-101</w:t>
      </w:r>
      <w:r>
        <w:rPr>
          <w:rFonts w:cs="Times New Roman"/>
          <w:lang w:val="en-US"/>
        </w:rPr>
        <w:t>.</w:t>
      </w:r>
    </w:p>
  </w:footnote>
  <w:footnote w:id="52">
    <w:p w14:paraId="493B4C74" w14:textId="3A1AE464" w:rsidR="00562AA2" w:rsidRPr="00F72B58" w:rsidRDefault="00562AA2" w:rsidP="00482109">
      <w:pPr>
        <w:pStyle w:val="Tekstprzypisudolnego"/>
        <w:rPr>
          <w:rFonts w:cs="Times New Roman"/>
          <w:lang w:val="en-GB"/>
        </w:rPr>
      </w:pPr>
      <w:r w:rsidRPr="00F72B58">
        <w:rPr>
          <w:rStyle w:val="Odwoanieprzypisudolnego"/>
          <w:rFonts w:cs="Times New Roman"/>
        </w:rPr>
        <w:footnoteRef/>
      </w:r>
      <w:r w:rsidRPr="00F72B58">
        <w:rPr>
          <w:rFonts w:cs="Times New Roman"/>
          <w:lang w:val="en-GB"/>
        </w:rPr>
        <w:t xml:space="preserve"> European Parliament, </w:t>
      </w:r>
      <w:r w:rsidRPr="00F72B58">
        <w:rPr>
          <w:rFonts w:cs="Times New Roman"/>
          <w:i/>
          <w:lang w:val="en-GB"/>
        </w:rPr>
        <w:t>Statement on Foreign Currency Loans</w:t>
      </w:r>
      <w:r w:rsidRPr="00F72B58">
        <w:rPr>
          <w:rFonts w:cs="Times New Roman"/>
          <w:lang w:val="en-GB"/>
        </w:rPr>
        <w:t>, 2016 r.</w:t>
      </w:r>
    </w:p>
  </w:footnote>
  <w:footnote w:id="53">
    <w:p w14:paraId="1BB5C085" w14:textId="77777777" w:rsidR="00C046DB" w:rsidRDefault="00C046DB" w:rsidP="00C046DB">
      <w:pPr>
        <w:pStyle w:val="Tekstprzypisudolnego"/>
      </w:pPr>
      <w:r>
        <w:rPr>
          <w:rStyle w:val="Odwoanieprzypisudolnego"/>
        </w:rPr>
        <w:footnoteRef/>
      </w:r>
      <w:r>
        <w:t xml:space="preserve"> </w:t>
      </w:r>
      <w:r w:rsidRPr="00F72B58">
        <w:rPr>
          <w:rFonts w:cs="Times New Roman"/>
        </w:rPr>
        <w:t>Wartość zadłużenia dla Węgier została podana przed ustawowym przewalutowaniem kredytów hipotecznych w CHF na HUF w listopadzie 2014 r.</w:t>
      </w:r>
    </w:p>
  </w:footnote>
  <w:footnote w:id="54">
    <w:p w14:paraId="0C428BDA" w14:textId="17BF2161" w:rsidR="00562AA2" w:rsidRPr="00DD39BA" w:rsidRDefault="00562AA2">
      <w:pPr>
        <w:pStyle w:val="Tekstprzypisudolnego"/>
      </w:pPr>
      <w:r w:rsidRPr="00F72B58">
        <w:rPr>
          <w:rStyle w:val="Odwoanieprzypisudolnego"/>
          <w:rFonts w:cs="Times New Roman"/>
        </w:rPr>
        <w:footnoteRef/>
      </w:r>
      <w:r w:rsidRPr="00F72B58">
        <w:rPr>
          <w:rFonts w:cs="Times New Roman"/>
        </w:rPr>
        <w:t xml:space="preserve"> www.bankier.pl/wiadomosc/Jak-w-innych-krajach-wyglada-problem-frankowy-7480757.html (data odsłony 24.04.2018 r.)</w:t>
      </w:r>
      <w:r>
        <w:rPr>
          <w:rFonts w:cs="Times New Roman"/>
        </w:rPr>
        <w:t>.</w:t>
      </w:r>
    </w:p>
  </w:footnote>
  <w:footnote w:id="55">
    <w:p w14:paraId="0C09035A" w14:textId="1A704AF3" w:rsidR="00562AA2" w:rsidRPr="00F72B58" w:rsidRDefault="00562AA2">
      <w:pPr>
        <w:pStyle w:val="Tekstprzypisudolnego"/>
        <w:rPr>
          <w:rFonts w:cs="Times New Roman"/>
        </w:rPr>
      </w:pPr>
      <w:r w:rsidRPr="00F72B58">
        <w:rPr>
          <w:rStyle w:val="Odwoanieprzypisudolnego"/>
          <w:rFonts w:cs="Times New Roman"/>
        </w:rPr>
        <w:footnoteRef/>
      </w:r>
      <w:r w:rsidRPr="00F72B58">
        <w:rPr>
          <w:rFonts w:cs="Times New Roman"/>
        </w:rPr>
        <w:t xml:space="preserve"> www.wgospodarce.pl/informacje/30831-kredyty-walutowe-jak-to-wyglada-w-hiszpanii (data odsłony 24.04.2018 r.)</w:t>
      </w:r>
      <w:r>
        <w:rPr>
          <w:rFonts w:cs="Times New Roman"/>
        </w:rPr>
        <w:t>.</w:t>
      </w:r>
    </w:p>
  </w:footnote>
  <w:footnote w:id="56">
    <w:p w14:paraId="1F62D6DF" w14:textId="1942B7C8" w:rsidR="00562AA2" w:rsidRPr="00544E90" w:rsidRDefault="00562AA2">
      <w:pPr>
        <w:pStyle w:val="Tekstprzypisudolnego"/>
        <w:rPr>
          <w:rFonts w:cs="Times New Roman"/>
        </w:rPr>
      </w:pPr>
      <w:r w:rsidRPr="00544E90">
        <w:rPr>
          <w:rStyle w:val="Odwoanieprzypisudolnego"/>
          <w:rFonts w:cs="Times New Roman"/>
        </w:rPr>
        <w:footnoteRef/>
      </w:r>
      <w:r w:rsidRPr="00544E90">
        <w:rPr>
          <w:rFonts w:cs="Times New Roman"/>
        </w:rPr>
        <w:t xml:space="preserve"> www.wyborcza.biz/biznes/7,147582,22658253,kredyty-walutowe-sad-najwyzszy-w-hiszpanii-wydal-wyrok-korzystny.html?disableRedirects=true (data odsłony 25.04.2018 r.)</w:t>
      </w:r>
      <w:r>
        <w:rPr>
          <w:rFonts w:cs="Times New Roman"/>
        </w:rPr>
        <w:t>.</w:t>
      </w:r>
    </w:p>
  </w:footnote>
  <w:footnote w:id="57">
    <w:p w14:paraId="48D7AF96" w14:textId="54353BC4" w:rsidR="00562AA2" w:rsidRPr="00544E90" w:rsidRDefault="00562AA2">
      <w:pPr>
        <w:pStyle w:val="Tekstprzypisudolnego"/>
        <w:rPr>
          <w:rFonts w:cs="Times New Roman"/>
        </w:rPr>
      </w:pPr>
      <w:r w:rsidRPr="00544E90">
        <w:rPr>
          <w:rStyle w:val="Odwoanieprzypisudolnego"/>
          <w:rFonts w:cs="Times New Roman"/>
        </w:rPr>
        <w:footnoteRef/>
      </w:r>
      <w:r w:rsidRPr="00544E90">
        <w:rPr>
          <w:rFonts w:cs="Times New Roman"/>
        </w:rPr>
        <w:t xml:space="preserve"> www.statista.com/statistics/453410/unemployment-rate-in-spain/ (data odsłony 25.04.2018 r.)</w:t>
      </w:r>
      <w:r>
        <w:rPr>
          <w:rFonts w:cs="Times New Roman"/>
        </w:rPr>
        <w:t>.</w:t>
      </w:r>
    </w:p>
  </w:footnote>
  <w:footnote w:id="58">
    <w:p w14:paraId="31114574" w14:textId="7A1CCF99" w:rsidR="00562AA2" w:rsidRPr="00544E90" w:rsidRDefault="00562AA2">
      <w:pPr>
        <w:pStyle w:val="Tekstprzypisudolnego"/>
        <w:rPr>
          <w:rFonts w:cs="Times New Roman"/>
        </w:rPr>
      </w:pPr>
      <w:r w:rsidRPr="00544E90">
        <w:rPr>
          <w:rStyle w:val="Odwoanieprzypisudolnego"/>
          <w:rFonts w:cs="Times New Roman"/>
        </w:rPr>
        <w:footnoteRef/>
      </w:r>
      <w:r w:rsidRPr="00544E90">
        <w:rPr>
          <w:rFonts w:cs="Times New Roman"/>
        </w:rPr>
        <w:t xml:space="preserve"> Wyrok Trybunału Sprawiedliwości Unii Europejskiej z dnia 20.09.2017 r. w sprawie C-186/16. </w:t>
      </w:r>
    </w:p>
  </w:footnote>
  <w:footnote w:id="59">
    <w:p w14:paraId="1C13DBD0" w14:textId="2F912483" w:rsidR="00562AA2" w:rsidRDefault="00562AA2">
      <w:pPr>
        <w:pStyle w:val="Tekstprzypisudolnego"/>
      </w:pPr>
      <w:r w:rsidRPr="00544E90">
        <w:rPr>
          <w:rStyle w:val="Odwoanieprzypisudolnego"/>
          <w:rFonts w:cs="Times New Roman"/>
        </w:rPr>
        <w:footnoteRef/>
      </w:r>
      <w:r w:rsidRPr="00544E90">
        <w:rPr>
          <w:rFonts w:cs="Times New Roman"/>
        </w:rPr>
        <w:t xml:space="preserve"> www.gbabogados.co.uk/multi-currency-mortgage-declared-illegal-spanish-supreme-court/ (data odsłony 25.04.2018 r.)</w:t>
      </w:r>
      <w:r>
        <w:rPr>
          <w:rFonts w:cs="Times New Roman"/>
        </w:rPr>
        <w:t>.</w:t>
      </w:r>
    </w:p>
  </w:footnote>
  <w:footnote w:id="60">
    <w:p w14:paraId="4C81E04B" w14:textId="51CFFF12" w:rsidR="00562AA2" w:rsidRPr="00544E90" w:rsidRDefault="00562AA2" w:rsidP="007342AE">
      <w:pPr>
        <w:pStyle w:val="Tekstprzypisudolnego"/>
        <w:rPr>
          <w:rFonts w:cs="Times New Roman"/>
        </w:rPr>
      </w:pPr>
      <w:r w:rsidRPr="00544E90">
        <w:rPr>
          <w:rStyle w:val="Odwoanieprzypisudolnego"/>
          <w:rFonts w:cs="Times New Roman"/>
        </w:rPr>
        <w:footnoteRef/>
      </w:r>
      <w:r w:rsidRPr="00544E90">
        <w:rPr>
          <w:rFonts w:cs="Times New Roman"/>
        </w:rPr>
        <w:t>www.country.eiu.com/article.aspx?articleid=128440197&amp;Country=Croatia&amp;topic=Economy&amp;subtopic=Current+policy&amp;subsubtopic=Economic+policy:+State+offers+mortgage+support+to+Swiss+franc+borrowers (data odsłony 25.04.2018 r.) ;</w:t>
      </w:r>
    </w:p>
    <w:p w14:paraId="14447AA2" w14:textId="7A85BAD1" w:rsidR="00562AA2" w:rsidRPr="00544E90" w:rsidRDefault="00562AA2" w:rsidP="007342AE">
      <w:pPr>
        <w:pStyle w:val="Tekstprzypisudolnego"/>
        <w:rPr>
          <w:rFonts w:cs="Times New Roman"/>
          <w:lang w:val="en-US"/>
        </w:rPr>
      </w:pPr>
      <w:r w:rsidRPr="00544E90">
        <w:rPr>
          <w:rFonts w:cs="Times New Roman"/>
          <w:lang w:val="en-US"/>
        </w:rPr>
        <w:t xml:space="preserve">Petra Rodrik, </w:t>
      </w:r>
      <w:r w:rsidRPr="00544E90">
        <w:rPr>
          <w:rFonts w:cs="Times New Roman"/>
          <w:i/>
          <w:lang w:val="en-US"/>
        </w:rPr>
        <w:t>The Impact of the Swiss Franc Loans Crisis on Croatian Households</w:t>
      </w:r>
      <w:r w:rsidRPr="00544E90">
        <w:rPr>
          <w:rFonts w:cs="Times New Roman"/>
          <w:lang w:val="en-US"/>
        </w:rPr>
        <w:t>, Zagreb 2015, s. 60</w:t>
      </w:r>
      <w:r>
        <w:rPr>
          <w:rFonts w:cs="Times New Roman"/>
          <w:lang w:val="en-US"/>
        </w:rPr>
        <w:t>-</w:t>
      </w:r>
      <w:r w:rsidRPr="00544E90">
        <w:rPr>
          <w:rFonts w:cs="Times New Roman"/>
          <w:lang w:val="en-US"/>
        </w:rPr>
        <w:t xml:space="preserve">61. </w:t>
      </w:r>
    </w:p>
    <w:p w14:paraId="671FE162" w14:textId="77777777" w:rsidR="00562AA2" w:rsidRPr="007342AE" w:rsidRDefault="00562AA2" w:rsidP="007342AE">
      <w:pPr>
        <w:pStyle w:val="Tekstprzypisudolnego"/>
        <w:rPr>
          <w:lang w:val="en-US"/>
        </w:rPr>
      </w:pPr>
    </w:p>
    <w:p w14:paraId="16E20C0B" w14:textId="633282F7" w:rsidR="00562AA2" w:rsidRPr="007342AE" w:rsidRDefault="00562AA2">
      <w:pPr>
        <w:pStyle w:val="Tekstprzypisudolnego"/>
        <w:rPr>
          <w:lang w:val="en-US"/>
        </w:rPr>
      </w:pPr>
    </w:p>
  </w:footnote>
  <w:footnote w:id="61">
    <w:p w14:paraId="6D14BBD0" w14:textId="5810D195" w:rsidR="00562AA2" w:rsidRPr="00595D51" w:rsidRDefault="00562AA2">
      <w:pPr>
        <w:pStyle w:val="Tekstprzypisudolnego"/>
        <w:rPr>
          <w:rFonts w:cs="Times New Roman"/>
        </w:rPr>
      </w:pPr>
      <w:r w:rsidRPr="00595D51">
        <w:rPr>
          <w:rStyle w:val="Odwoanieprzypisudolnego"/>
          <w:rFonts w:cs="Times New Roman"/>
        </w:rPr>
        <w:footnoteRef/>
      </w:r>
      <w:r w:rsidRPr="00595D51">
        <w:rPr>
          <w:rFonts w:cs="Times New Roman"/>
        </w:rPr>
        <w:t xml:space="preserve"> 8 banków prowadzących działalność w Chorwacji nie zaakceptowało wyroku. Banki złożyły wniosek do Trybunału Konstytucyjnego o unieważnienie wyroku twierdząc, że podział kosztów przewalutowania kredytów jest niesprawiedliwy dla banków</w:t>
      </w:r>
      <w:r>
        <w:rPr>
          <w:rFonts w:cs="Times New Roman"/>
        </w:rPr>
        <w:t xml:space="preserve"> </w:t>
      </w:r>
      <w:r w:rsidRPr="00595D51">
        <w:rPr>
          <w:rFonts w:cs="Times New Roman"/>
        </w:rPr>
        <w:t>a treść ustawy jest niezgodna z konstytucją i posiada charakter retroaktywny. Chorwacki Trybunał Konstytucyjny na mocy wyroku z dnia 6.04.2017 r. odrzucił wniosek banków orzekając, że zastosowane rozwiązanie było uzasadnione w celu ochrony klientów przed skutkami aprecjacji CHF.</w:t>
      </w:r>
    </w:p>
  </w:footnote>
  <w:footnote w:id="62">
    <w:p w14:paraId="342507C0" w14:textId="3F7EB78B" w:rsidR="00562AA2" w:rsidRPr="00595D51" w:rsidRDefault="00562AA2">
      <w:pPr>
        <w:pStyle w:val="Tekstprzypisudolnego"/>
        <w:rPr>
          <w:rFonts w:cs="Times New Roman"/>
        </w:rPr>
      </w:pPr>
      <w:r w:rsidRPr="00595D51">
        <w:rPr>
          <w:rStyle w:val="Odwoanieprzypisudolnego"/>
          <w:rFonts w:cs="Times New Roman"/>
        </w:rPr>
        <w:footnoteRef/>
      </w:r>
      <w:r w:rsidRPr="00595D51">
        <w:rPr>
          <w:rFonts w:cs="Times New Roman"/>
        </w:rPr>
        <w:t xml:space="preserve"> www.reuters.com/article/croatia-banks/croatia-hit-with-lawsuit-for-franc-loan-conversion-law-idUSL8N1BR3JD; www.reuters.com/article/us-croatia-court-idUSKBN1491U5; www.bankier.pl/wiadomosc/Jak-w-innych-krajach-wyglada-problem-frankowy-7480757.html (data odsłony 26.04.2018 r.)</w:t>
      </w:r>
      <w:r>
        <w:rPr>
          <w:rFonts w:cs="Times New Roman"/>
        </w:rPr>
        <w:t>.</w:t>
      </w:r>
      <w:r w:rsidRPr="00595D51">
        <w:rPr>
          <w:rFonts w:cs="Times New Roman"/>
        </w:rPr>
        <w:t xml:space="preserve"> </w:t>
      </w:r>
    </w:p>
  </w:footnote>
  <w:footnote w:id="63">
    <w:p w14:paraId="18CF9558" w14:textId="662A40C4" w:rsidR="00562AA2" w:rsidRPr="00595D51" w:rsidRDefault="00562AA2">
      <w:pPr>
        <w:pStyle w:val="Tekstprzypisudolnego"/>
        <w:rPr>
          <w:rFonts w:cs="Times New Roman"/>
        </w:rPr>
      </w:pPr>
      <w:r w:rsidRPr="00595D51">
        <w:rPr>
          <w:rStyle w:val="Odwoanieprzypisudolnego"/>
          <w:rFonts w:cs="Times New Roman"/>
        </w:rPr>
        <w:footnoteRef/>
      </w:r>
      <w:r w:rsidRPr="00595D51">
        <w:rPr>
          <w:rFonts w:cs="Times New Roman"/>
        </w:rPr>
        <w:t xml:space="preserve"> www.uk.reuters.com/article/uk-croatia-court-law/croatia-top-court-says-swiss-franc-conversion-law-necessary-idUKKBN1791I9 (data odsłony 26.04.2018 r.)</w:t>
      </w:r>
      <w:r>
        <w:rPr>
          <w:rFonts w:cs="Times New Roman"/>
        </w:rPr>
        <w:t>.</w:t>
      </w:r>
    </w:p>
  </w:footnote>
  <w:footnote w:id="64">
    <w:p w14:paraId="6B268D57" w14:textId="7B54255C" w:rsidR="00562AA2" w:rsidRPr="00DD39BA" w:rsidRDefault="00562AA2" w:rsidP="00BA668A">
      <w:pPr>
        <w:pStyle w:val="Tekstprzypisudolnego"/>
      </w:pPr>
      <w:r w:rsidRPr="00595D51">
        <w:rPr>
          <w:rStyle w:val="Odwoanieprzypisudolnego"/>
          <w:rFonts w:cs="Times New Roman"/>
        </w:rPr>
        <w:footnoteRef/>
      </w:r>
      <w:r w:rsidRPr="00595D51">
        <w:rPr>
          <w:rFonts w:cs="Times New Roman"/>
        </w:rPr>
        <w:t xml:space="preserve"> www.forsal.pl/artykuly/971211,chorwacki-sposob-na-kredyty-frankowe-potezny-cios-w-banki.html (data odsłony 26.04.2018 r.)</w:t>
      </w:r>
      <w:r>
        <w:rPr>
          <w:rFonts w:cs="Times New Roman"/>
        </w:rPr>
        <w:t>.</w:t>
      </w:r>
    </w:p>
  </w:footnote>
  <w:footnote w:id="65">
    <w:p w14:paraId="299E0B97" w14:textId="39988061" w:rsidR="00562AA2" w:rsidRPr="00595D51" w:rsidRDefault="00562AA2">
      <w:pPr>
        <w:pStyle w:val="Tekstprzypisudolnego"/>
        <w:rPr>
          <w:rFonts w:cs="Times New Roman"/>
        </w:rPr>
      </w:pPr>
      <w:r w:rsidRPr="00595D51">
        <w:rPr>
          <w:rStyle w:val="Odwoanieprzypisudolnego"/>
          <w:rFonts w:cs="Times New Roman"/>
        </w:rPr>
        <w:footnoteRef/>
      </w:r>
      <w:r w:rsidRPr="00595D51">
        <w:rPr>
          <w:rFonts w:cs="Times New Roman"/>
        </w:rPr>
        <w:t xml:space="preserve"> www.forsal.pl/artykuly/1021734,austria-kredyty-we-frankach-chf-austria-najbardziej-ufrankowionym-krajem-w-europie.html (data odsłony 27.04.2018 r.)</w:t>
      </w:r>
      <w:r>
        <w:rPr>
          <w:rFonts w:cs="Times New Roman"/>
        </w:rPr>
        <w:t>.</w:t>
      </w:r>
    </w:p>
  </w:footnote>
  <w:footnote w:id="66">
    <w:p w14:paraId="102F3CF6" w14:textId="00B0E1B9" w:rsidR="00562AA2" w:rsidRPr="00FC397D" w:rsidRDefault="00562AA2">
      <w:pPr>
        <w:pStyle w:val="Tekstprzypisudolnego"/>
        <w:rPr>
          <w:lang w:val="en-GB"/>
        </w:rPr>
      </w:pPr>
      <w:r w:rsidRPr="00595D51">
        <w:rPr>
          <w:rStyle w:val="Odwoanieprzypisudolnego"/>
          <w:rFonts w:cs="Times New Roman"/>
        </w:rPr>
        <w:footnoteRef/>
      </w:r>
      <w:r w:rsidRPr="00595D51">
        <w:rPr>
          <w:rFonts w:cs="Times New Roman"/>
          <w:lang w:val="en-GB"/>
        </w:rPr>
        <w:t xml:space="preserve"> Martin Brown, </w:t>
      </w:r>
      <w:r w:rsidRPr="00595D51">
        <w:rPr>
          <w:rFonts w:cs="Times New Roman"/>
          <w:i/>
          <w:lang w:val="en-GB"/>
        </w:rPr>
        <w:t xml:space="preserve">Swiss Franc lending in Europe, 2009 r. </w:t>
      </w:r>
      <w:r w:rsidRPr="00FC397D">
        <w:rPr>
          <w:rFonts w:cs="Times New Roman"/>
          <w:i/>
          <w:lang w:val="en-GB"/>
        </w:rPr>
        <w:t xml:space="preserve">s. 8; </w:t>
      </w:r>
      <w:r w:rsidRPr="00FC397D">
        <w:rPr>
          <w:rFonts w:cs="Times New Roman"/>
          <w:lang w:val="en-GB"/>
        </w:rPr>
        <w:t>www.reuters.com/article/us-swiss-snb-austria/austrians-rue-starting-fashion-for-swiss-franc-mortgages-idUSKBN0L405V20150131 (data odsłony 27.04.2018 r.).</w:t>
      </w:r>
    </w:p>
  </w:footnote>
  <w:footnote w:id="67">
    <w:p w14:paraId="74353187" w14:textId="190FDA2A" w:rsidR="00562AA2" w:rsidRPr="00595D51" w:rsidRDefault="00562AA2">
      <w:pPr>
        <w:pStyle w:val="Tekstprzypisudolnego"/>
        <w:rPr>
          <w:rFonts w:cs="Times New Roman"/>
        </w:rPr>
      </w:pPr>
      <w:r w:rsidRPr="00595D51">
        <w:rPr>
          <w:rStyle w:val="Odwoanieprzypisudolnego"/>
          <w:rFonts w:cs="Times New Roman"/>
        </w:rPr>
        <w:footnoteRef/>
      </w:r>
      <w:r w:rsidRPr="00595D51">
        <w:rPr>
          <w:rFonts w:cs="Times New Roman"/>
        </w:rPr>
        <w:t xml:space="preserve"> Pieniądze wpłacone przez kredytobiorców na cele inwestycyjne nabywano jednostki uczestnictwa w funduszach inwestycyjnych powiązanych kapitałowo z bankami udzielającymi kredytu.</w:t>
      </w:r>
    </w:p>
  </w:footnote>
  <w:footnote w:id="68">
    <w:p w14:paraId="4E4A311F" w14:textId="680ADBD3" w:rsidR="00562AA2" w:rsidRPr="00595D51" w:rsidRDefault="00562AA2">
      <w:pPr>
        <w:pStyle w:val="Tekstprzypisudolnego"/>
        <w:rPr>
          <w:rFonts w:cs="Times New Roman"/>
          <w:lang w:val="en-GB"/>
        </w:rPr>
      </w:pPr>
      <w:r w:rsidRPr="00595D51">
        <w:rPr>
          <w:rStyle w:val="Odwoanieprzypisudolnego"/>
          <w:rFonts w:cs="Times New Roman"/>
        </w:rPr>
        <w:footnoteRef/>
      </w:r>
      <w:r w:rsidRPr="00595D51">
        <w:rPr>
          <w:rFonts w:cs="Times New Roman"/>
          <w:lang w:val="en-GB"/>
        </w:rPr>
        <w:t xml:space="preserve"> M. Brown, </w:t>
      </w:r>
      <w:r w:rsidRPr="00595D51">
        <w:rPr>
          <w:rFonts w:cs="Times New Roman"/>
          <w:i/>
          <w:lang w:val="en-GB"/>
        </w:rPr>
        <w:t xml:space="preserve">Swiss…, s. 8; </w:t>
      </w:r>
      <w:r w:rsidRPr="00595D51">
        <w:rPr>
          <w:rFonts w:cs="Times New Roman"/>
          <w:lang w:val="en-GB"/>
        </w:rPr>
        <w:t>www.reuters.com/article/austria-mortgages-swiss/swiss-franc-surge-hits-austrian-mortgage-holders-central-bank-idUSL5N0YJ36P20150528 (data odsłony 27.04.2018 r.)</w:t>
      </w:r>
      <w:r>
        <w:rPr>
          <w:rFonts w:cs="Times New Roman"/>
          <w:lang w:val="en-GB"/>
        </w:rPr>
        <w:t>.</w:t>
      </w:r>
    </w:p>
  </w:footnote>
  <w:footnote w:id="69">
    <w:p w14:paraId="19306987" w14:textId="45831EA9" w:rsidR="00562AA2" w:rsidRDefault="00562AA2">
      <w:pPr>
        <w:pStyle w:val="Tekstprzypisudolnego"/>
      </w:pPr>
      <w:r>
        <w:rPr>
          <w:rStyle w:val="Odwoanieprzypisudolnego"/>
        </w:rPr>
        <w:footnoteRef/>
      </w:r>
      <w:r>
        <w:t xml:space="preserve"> </w:t>
      </w:r>
      <w:r w:rsidRPr="005B42C2">
        <w:rPr>
          <w:rFonts w:cs="Times New Roman"/>
        </w:rPr>
        <w:t xml:space="preserve">Związek Banków Polskich, </w:t>
      </w:r>
      <w:r w:rsidRPr="005B42C2">
        <w:rPr>
          <w:rFonts w:cs="Times New Roman"/>
          <w:i/>
        </w:rPr>
        <w:t xml:space="preserve">Biała księga… </w:t>
      </w:r>
      <w:r w:rsidRPr="005B42C2">
        <w:rPr>
          <w:rFonts w:cs="Times New Roman"/>
        </w:rPr>
        <w:t>op.cit</w:t>
      </w:r>
      <w:r>
        <w:rPr>
          <w:rFonts w:cs="Times New Roman"/>
        </w:rPr>
        <w:t>.</w:t>
      </w:r>
    </w:p>
  </w:footnote>
  <w:footnote w:id="70">
    <w:p w14:paraId="54AE4659" w14:textId="7D0064BF" w:rsidR="00562AA2" w:rsidRDefault="00562AA2">
      <w:pPr>
        <w:pStyle w:val="Tekstprzypisudolnego"/>
      </w:pPr>
      <w:r w:rsidRPr="00595D51">
        <w:rPr>
          <w:rStyle w:val="Odwoanieprzypisudolnego"/>
          <w:rFonts w:cs="Times New Roman"/>
        </w:rPr>
        <w:footnoteRef/>
      </w:r>
      <w:r w:rsidRPr="00595D51">
        <w:rPr>
          <w:rFonts w:cs="Times New Roman"/>
        </w:rPr>
        <w:t xml:space="preserve"> Według danych Austriackiego Banku Narodowego wynagrodzenie klientów spłacających kredyty hipoteczne w CHF jest przeciętnie o ok 66% wyższe w porównaniu do klientów spłacających takie kredyty w EUR.</w:t>
      </w:r>
      <w:r>
        <w:t xml:space="preserve"> </w:t>
      </w:r>
    </w:p>
  </w:footnote>
  <w:footnote w:id="71">
    <w:p w14:paraId="1AF6B253" w14:textId="6F5E25C1" w:rsidR="00562AA2" w:rsidRPr="00E85D19" w:rsidRDefault="00562AA2" w:rsidP="008053D5">
      <w:pPr>
        <w:pStyle w:val="Tekstprzypisudolnego"/>
        <w:rPr>
          <w:rFonts w:cs="Times New Roman"/>
        </w:rPr>
      </w:pPr>
      <w:r w:rsidRPr="00E85D19">
        <w:rPr>
          <w:rStyle w:val="Odwoanieprzypisudolnego"/>
          <w:rFonts w:cs="Times New Roman"/>
        </w:rPr>
        <w:footnoteRef/>
      </w:r>
      <w:r w:rsidRPr="00E85D19">
        <w:rPr>
          <w:rFonts w:cs="Times New Roman"/>
        </w:rPr>
        <w:t xml:space="preserve"> www.pb.pl/kraje-o-najwiekszej-liczbie-kredytow-frankowych-ranking-780752 (data odsłony 29.04.2018 r.)</w:t>
      </w:r>
      <w:r>
        <w:rPr>
          <w:rFonts w:cs="Times New Roman"/>
        </w:rPr>
        <w:t>.</w:t>
      </w:r>
    </w:p>
  </w:footnote>
  <w:footnote w:id="72">
    <w:p w14:paraId="4EEB9CE2" w14:textId="4EF385BB" w:rsidR="00562AA2" w:rsidRPr="00E85D19" w:rsidRDefault="00562AA2" w:rsidP="004236D3">
      <w:pPr>
        <w:pStyle w:val="Tekstprzypisudolnego"/>
        <w:rPr>
          <w:rFonts w:cs="Times New Roman"/>
          <w:lang w:val="en-GB"/>
        </w:rPr>
      </w:pPr>
      <w:r w:rsidRPr="00E85D19">
        <w:rPr>
          <w:rStyle w:val="Odwoanieprzypisudolnego"/>
          <w:rFonts w:cs="Times New Roman"/>
        </w:rPr>
        <w:footnoteRef/>
      </w:r>
      <w:r w:rsidRPr="00E85D19">
        <w:rPr>
          <w:rFonts w:cs="Times New Roman"/>
          <w:lang w:val="en-GB"/>
        </w:rPr>
        <w:t xml:space="preserve"> Michał Buszko, Dorota Krupa, </w:t>
      </w:r>
      <w:r w:rsidRPr="00E85D19">
        <w:rPr>
          <w:rFonts w:cs="Times New Roman"/>
          <w:i/>
          <w:lang w:val="en-GB"/>
        </w:rPr>
        <w:t>Foreign currency loans in Poland and Hungary – a comparative analysis</w:t>
      </w:r>
      <w:r w:rsidRPr="00E85D19">
        <w:rPr>
          <w:rFonts w:cs="Times New Roman"/>
          <w:lang w:val="en-GB"/>
        </w:rPr>
        <w:t>, 2015 r. s. 5</w:t>
      </w:r>
      <w:r>
        <w:rPr>
          <w:rFonts w:cs="Times New Roman"/>
          <w:lang w:val="en-GB"/>
        </w:rPr>
        <w:t>.</w:t>
      </w:r>
    </w:p>
  </w:footnote>
  <w:footnote w:id="73">
    <w:p w14:paraId="652B7995" w14:textId="75473C3F" w:rsidR="00562AA2" w:rsidRPr="00834F76" w:rsidRDefault="00562AA2">
      <w:pPr>
        <w:pStyle w:val="Tekstprzypisudolnego"/>
      </w:pPr>
      <w:r w:rsidRPr="00E85D19">
        <w:rPr>
          <w:rStyle w:val="Odwoanieprzypisudolnego"/>
          <w:rFonts w:cs="Times New Roman"/>
        </w:rPr>
        <w:footnoteRef/>
      </w:r>
      <w:r w:rsidRPr="00834F76">
        <w:rPr>
          <w:rFonts w:cs="Times New Roman"/>
        </w:rPr>
        <w:t xml:space="preserve"> Wykres </w:t>
      </w:r>
      <w:r w:rsidR="00D006FD">
        <w:rPr>
          <w:rFonts w:cs="Times New Roman"/>
        </w:rPr>
        <w:t>8.</w:t>
      </w:r>
    </w:p>
  </w:footnote>
  <w:footnote w:id="74">
    <w:p w14:paraId="30FD29C8" w14:textId="2338C2E0" w:rsidR="00562AA2" w:rsidRPr="00834F76" w:rsidRDefault="00562AA2" w:rsidP="00861C16">
      <w:pPr>
        <w:pStyle w:val="Tekstprzypisudolnego"/>
        <w:rPr>
          <w:rFonts w:cs="Times New Roman"/>
        </w:rPr>
      </w:pPr>
      <w:r w:rsidRPr="00E85D19">
        <w:rPr>
          <w:rStyle w:val="Odwoanieprzypisudolnego"/>
          <w:rFonts w:cs="Times New Roman"/>
        </w:rPr>
        <w:footnoteRef/>
      </w:r>
      <w:r w:rsidRPr="00834F76">
        <w:rPr>
          <w:rFonts w:cs="Times New Roman"/>
        </w:rPr>
        <w:t xml:space="preserve"> M. Buszko, D. Krupa, </w:t>
      </w:r>
      <w:r w:rsidRPr="00834F76">
        <w:rPr>
          <w:rFonts w:cs="Times New Roman"/>
          <w:i/>
        </w:rPr>
        <w:t>Foreign…</w:t>
      </w:r>
      <w:r w:rsidRPr="00834F76">
        <w:rPr>
          <w:rFonts w:cs="Times New Roman"/>
        </w:rPr>
        <w:t>, s. 13.</w:t>
      </w:r>
    </w:p>
  </w:footnote>
  <w:footnote w:id="75">
    <w:p w14:paraId="00814709" w14:textId="45067163" w:rsidR="00562AA2" w:rsidRPr="00E85D19" w:rsidRDefault="00562AA2">
      <w:pPr>
        <w:pStyle w:val="Tekstprzypisudolnego"/>
        <w:rPr>
          <w:rFonts w:cs="Times New Roman"/>
          <w:lang w:val="en-GB"/>
        </w:rPr>
      </w:pPr>
      <w:r w:rsidRPr="00E85D19">
        <w:rPr>
          <w:rStyle w:val="Odwoanieprzypisudolnego"/>
          <w:rFonts w:cs="Times New Roman"/>
        </w:rPr>
        <w:footnoteRef/>
      </w:r>
      <w:r w:rsidRPr="00E85D19">
        <w:rPr>
          <w:rFonts w:cs="Times New Roman"/>
          <w:lang w:val="en-GB"/>
        </w:rPr>
        <w:t xml:space="preserve"> Pál Péter Kolozsi, Ádám Banai, Balázs Vonnák, </w:t>
      </w:r>
      <w:r w:rsidRPr="00E85D19">
        <w:rPr>
          <w:rFonts w:cs="Times New Roman"/>
          <w:i/>
          <w:lang w:val="en-GB"/>
        </w:rPr>
        <w:t>Phasing out household foreign currency loans: schedule and framework</w:t>
      </w:r>
      <w:r w:rsidRPr="00E85D19">
        <w:rPr>
          <w:rFonts w:cs="Times New Roman"/>
          <w:lang w:val="en-GB"/>
        </w:rPr>
        <w:t xml:space="preserve">, </w:t>
      </w:r>
      <w:r w:rsidRPr="00E85D19">
        <w:rPr>
          <w:rFonts w:cs="Times New Roman"/>
          <w:i/>
          <w:lang w:val="en-GB"/>
        </w:rPr>
        <w:t xml:space="preserve">2015 r. </w:t>
      </w:r>
      <w:r w:rsidRPr="00E85D19">
        <w:rPr>
          <w:rFonts w:cs="Times New Roman"/>
          <w:lang w:val="en-GB"/>
        </w:rPr>
        <w:t>s. 10.</w:t>
      </w:r>
    </w:p>
  </w:footnote>
  <w:footnote w:id="76">
    <w:p w14:paraId="2F34FA88" w14:textId="2554CA7A" w:rsidR="00562AA2" w:rsidRPr="008A485F" w:rsidRDefault="00562AA2">
      <w:pPr>
        <w:pStyle w:val="Tekstprzypisudolnego"/>
        <w:rPr>
          <w:lang w:val="en-GB"/>
        </w:rPr>
      </w:pPr>
      <w:r w:rsidRPr="00E85D19">
        <w:rPr>
          <w:rStyle w:val="Odwoanieprzypisudolnego"/>
          <w:rFonts w:cs="Times New Roman"/>
        </w:rPr>
        <w:footnoteRef/>
      </w:r>
      <w:r w:rsidRPr="00E85D19">
        <w:rPr>
          <w:rFonts w:cs="Times New Roman"/>
          <w:lang w:val="en-GB"/>
        </w:rPr>
        <w:t xml:space="preserve"> P.P. Kolozsi, Á. Banai, B. Vonnák, </w:t>
      </w:r>
      <w:r w:rsidRPr="00E85D19">
        <w:rPr>
          <w:rFonts w:cs="Times New Roman"/>
          <w:i/>
          <w:lang w:val="en-GB"/>
        </w:rPr>
        <w:t xml:space="preserve">Phasing out.., </w:t>
      </w:r>
      <w:r w:rsidRPr="00E85D19">
        <w:rPr>
          <w:rFonts w:cs="Times New Roman"/>
          <w:lang w:val="en-GB"/>
        </w:rPr>
        <w:t>s. 16-17.</w:t>
      </w:r>
    </w:p>
  </w:footnote>
  <w:footnote w:id="77">
    <w:p w14:paraId="1B9FD41D" w14:textId="462FEE6B" w:rsidR="00562AA2" w:rsidRPr="00F66555" w:rsidRDefault="00562AA2">
      <w:pPr>
        <w:pStyle w:val="Tekstprzypisudolnego"/>
        <w:rPr>
          <w:rFonts w:cs="Times New Roman"/>
          <w:b/>
        </w:rPr>
      </w:pPr>
      <w:r w:rsidRPr="00F66555">
        <w:rPr>
          <w:rStyle w:val="Odwoanieprzypisudolnego"/>
          <w:rFonts w:cs="Times New Roman"/>
        </w:rPr>
        <w:footnoteRef/>
      </w:r>
      <w:r w:rsidRPr="00F66555">
        <w:rPr>
          <w:rFonts w:cs="Times New Roman"/>
        </w:rPr>
        <w:t xml:space="preserve"> Duża część węgierskich kredytów hipotecznych dewizowych jest spłacana na podstawie stałej stopy procentowej, która była podnoszona przez banki w nieuzasadniony sposób.</w:t>
      </w:r>
    </w:p>
  </w:footnote>
  <w:footnote w:id="78">
    <w:p w14:paraId="692DEDD3" w14:textId="134DD251" w:rsidR="00562AA2" w:rsidRPr="00F66555" w:rsidRDefault="00562AA2">
      <w:pPr>
        <w:pStyle w:val="Tekstprzypisudolnego"/>
        <w:rPr>
          <w:rFonts w:cs="Times New Roman"/>
          <w:lang w:val="en-GB"/>
        </w:rPr>
      </w:pPr>
      <w:r w:rsidRPr="00F66555">
        <w:rPr>
          <w:rStyle w:val="Odwoanieprzypisudolnego"/>
          <w:rFonts w:cs="Times New Roman"/>
        </w:rPr>
        <w:footnoteRef/>
      </w:r>
      <w:r w:rsidRPr="00F66555">
        <w:rPr>
          <w:rFonts w:cs="Times New Roman"/>
          <w:lang w:val="en-GB"/>
        </w:rPr>
        <w:t xml:space="preserve"> M. Brown, </w:t>
      </w:r>
      <w:r w:rsidRPr="00F66555">
        <w:rPr>
          <w:rFonts w:cs="Times New Roman"/>
          <w:i/>
          <w:lang w:val="en-GB"/>
        </w:rPr>
        <w:t>Swiss…</w:t>
      </w:r>
      <w:r w:rsidRPr="00F66555">
        <w:rPr>
          <w:rFonts w:cs="Times New Roman"/>
          <w:lang w:val="en-GB"/>
        </w:rPr>
        <w:t xml:space="preserve">, s.10-13. </w:t>
      </w:r>
    </w:p>
  </w:footnote>
  <w:footnote w:id="79">
    <w:p w14:paraId="1CAE1AD1" w14:textId="684E69A5" w:rsidR="00562AA2" w:rsidRPr="00F100FD" w:rsidRDefault="00562AA2">
      <w:pPr>
        <w:pStyle w:val="Tekstprzypisudolnego"/>
        <w:rPr>
          <w:lang w:val="en-US"/>
        </w:rPr>
      </w:pPr>
      <w:r w:rsidRPr="00F66555">
        <w:rPr>
          <w:rStyle w:val="Odwoanieprzypisudolnego"/>
          <w:rFonts w:cs="Times New Roman"/>
        </w:rPr>
        <w:footnoteRef/>
      </w:r>
      <w:r w:rsidRPr="00F100FD">
        <w:rPr>
          <w:rFonts w:cs="Times New Roman"/>
          <w:lang w:val="en-US"/>
        </w:rPr>
        <w:t xml:space="preserve"> www.bankier.pl/wiadomosc/Kredyty-walutowe-dotknely-niemal-kazdego-Wegra-7285928.html (data odsłony 29.04.2018 r.).</w:t>
      </w:r>
    </w:p>
  </w:footnote>
  <w:footnote w:id="80">
    <w:p w14:paraId="17C2BC57" w14:textId="45AD3AAA" w:rsidR="00562AA2" w:rsidRPr="00DC7B48" w:rsidRDefault="00562AA2" w:rsidP="0080658A">
      <w:pPr>
        <w:pStyle w:val="Tekstprzypisudolnego"/>
        <w:rPr>
          <w:rFonts w:cs="Times New Roman"/>
          <w:lang w:val="en-GB"/>
        </w:rPr>
      </w:pPr>
      <w:r w:rsidRPr="00DC7B48">
        <w:rPr>
          <w:rStyle w:val="Odwoanieprzypisudolnego"/>
          <w:rFonts w:cs="Times New Roman"/>
        </w:rPr>
        <w:footnoteRef/>
      </w:r>
      <w:r w:rsidRPr="00DC7B48">
        <w:rPr>
          <w:rFonts w:cs="Times New Roman"/>
          <w:lang w:val="en-GB"/>
        </w:rPr>
        <w:t xml:space="preserve"> International Monetary Fund, </w:t>
      </w:r>
      <w:r w:rsidRPr="00DC7B48">
        <w:rPr>
          <w:rFonts w:cs="Times New Roman"/>
          <w:i/>
          <w:lang w:val="en-GB"/>
        </w:rPr>
        <w:t>Hungary: Country Report No. 15/92</w:t>
      </w:r>
      <w:r w:rsidRPr="00DC7B48">
        <w:rPr>
          <w:rFonts w:cs="Times New Roman"/>
          <w:lang w:val="en-GB"/>
        </w:rPr>
        <w:t xml:space="preserve">, 2015 r. s. 4-7. </w:t>
      </w:r>
    </w:p>
  </w:footnote>
  <w:footnote w:id="81">
    <w:p w14:paraId="728DDB08" w14:textId="60207290" w:rsidR="00562AA2" w:rsidRPr="0032736D" w:rsidRDefault="00562AA2" w:rsidP="00A24377">
      <w:pPr>
        <w:pStyle w:val="Tekstprzypisudolnego"/>
        <w:rPr>
          <w:rFonts w:cs="Times New Roman"/>
        </w:rPr>
      </w:pPr>
      <w:r w:rsidRPr="0032736D">
        <w:rPr>
          <w:rStyle w:val="Odwoanieprzypisudolnego"/>
          <w:rFonts w:cs="Times New Roman"/>
        </w:rPr>
        <w:footnoteRef/>
      </w:r>
      <w:r w:rsidRPr="0032736D">
        <w:rPr>
          <w:rFonts w:cs="Times New Roman"/>
        </w:rPr>
        <w:t xml:space="preserve"> www.kredytywalutowe.com/ustawa-o-restrukturyzacji-kredytow-walutowych-uchwalona-przez-sejm (data odsłony 1.05.2018 r.)</w:t>
      </w:r>
      <w:r>
        <w:rPr>
          <w:rFonts w:cs="Times New Roman"/>
        </w:rPr>
        <w:t>.</w:t>
      </w:r>
    </w:p>
  </w:footnote>
  <w:footnote w:id="82">
    <w:p w14:paraId="4718BBF7" w14:textId="07D34136" w:rsidR="00562AA2" w:rsidRPr="0032736D" w:rsidRDefault="00562AA2" w:rsidP="00A24377">
      <w:pPr>
        <w:pStyle w:val="Tekstprzypisudolnego"/>
        <w:rPr>
          <w:rFonts w:cs="Times New Roman"/>
        </w:rPr>
      </w:pPr>
      <w:r w:rsidRPr="0032736D">
        <w:rPr>
          <w:rStyle w:val="Odwoanieprzypisudolnego"/>
          <w:rFonts w:cs="Times New Roman"/>
        </w:rPr>
        <w:footnoteRef/>
      </w:r>
      <w:r w:rsidRPr="0032736D">
        <w:rPr>
          <w:rFonts w:cs="Times New Roman"/>
        </w:rPr>
        <w:t xml:space="preserve"> </w:t>
      </w:r>
      <w:r w:rsidRPr="0032736D">
        <w:rPr>
          <w:rFonts w:cs="Times New Roman"/>
          <w:i/>
        </w:rPr>
        <w:t>Ustawa o szczególnych zasadach restrukturyzacji walutowych kredytów mieszkaniowych w związku ze zmianą kursu walut obcych do waluty polskiej, z dn 5.08.2015 r</w:t>
      </w:r>
      <w:r w:rsidRPr="00EB772F">
        <w:rPr>
          <w:rFonts w:cs="Times New Roman"/>
          <w:i/>
        </w:rPr>
        <w:t>.</w:t>
      </w:r>
      <w:r w:rsidRPr="00EB772F">
        <w:rPr>
          <w:rFonts w:cs="Times New Roman"/>
        </w:rPr>
        <w:t>,</w:t>
      </w:r>
      <w:r w:rsidRPr="0032736D">
        <w:rPr>
          <w:rFonts w:cs="Times New Roman"/>
        </w:rPr>
        <w:t xml:space="preserve"> art. 2-5. </w:t>
      </w:r>
      <w:r>
        <w:rPr>
          <w:rFonts w:cs="Times New Roman"/>
        </w:rPr>
        <w:t>z późń. zm. dalej jako u.o.s.</w:t>
      </w:r>
    </w:p>
  </w:footnote>
  <w:footnote w:id="83">
    <w:p w14:paraId="1AEFC887" w14:textId="26AE9CA8" w:rsidR="00562AA2" w:rsidRPr="00CC3BED" w:rsidRDefault="00562AA2" w:rsidP="00A24377">
      <w:pPr>
        <w:pStyle w:val="Tekstprzypisudolnego"/>
      </w:pPr>
      <w:r w:rsidRPr="0032736D">
        <w:rPr>
          <w:rStyle w:val="Odwoanieprzypisudolnego"/>
          <w:rFonts w:cs="Times New Roman"/>
        </w:rPr>
        <w:footnoteRef/>
      </w:r>
      <w:r w:rsidRPr="0032736D">
        <w:rPr>
          <w:rFonts w:cs="Times New Roman"/>
        </w:rPr>
        <w:t xml:space="preserve"> Komisja Nadzoru Finansowego, </w:t>
      </w:r>
      <w:r w:rsidRPr="0032736D">
        <w:rPr>
          <w:rFonts w:cs="Times New Roman"/>
          <w:i/>
        </w:rPr>
        <w:t>Analiza skutków wprowadzenia przewalutowania kredytów walutowych zgodnie z ustawą o szczególnych zasadach restrukturyzacji walutowych kredytów mieszkaniowych w związku ze zmianą kursu walut obcych do waluty polskiej, z dn 5.08.2015 r.</w:t>
      </w:r>
      <w:r w:rsidRPr="00EB772F">
        <w:rPr>
          <w:rFonts w:cs="Times New Roman"/>
          <w:i/>
        </w:rPr>
        <w:t>,</w:t>
      </w:r>
      <w:r w:rsidRPr="0032736D">
        <w:rPr>
          <w:rFonts w:cs="Times New Roman"/>
        </w:rPr>
        <w:t xml:space="preserve"> Warszawa 2015 r. s. 3-8.</w:t>
      </w:r>
      <w:r>
        <w:t xml:space="preserve"> </w:t>
      </w:r>
    </w:p>
  </w:footnote>
  <w:footnote w:id="84">
    <w:p w14:paraId="7BEC95B1" w14:textId="7CA2FF27" w:rsidR="00562AA2" w:rsidRPr="0032736D" w:rsidRDefault="00562AA2" w:rsidP="00A24377">
      <w:pPr>
        <w:pStyle w:val="Tekstprzypisudolnego"/>
        <w:rPr>
          <w:rFonts w:cs="Times New Roman"/>
          <w:i/>
        </w:rPr>
      </w:pPr>
      <w:r w:rsidRPr="0032736D">
        <w:rPr>
          <w:rStyle w:val="Odwoanieprzypisudolnego"/>
          <w:rFonts w:cs="Times New Roman"/>
        </w:rPr>
        <w:footnoteRef/>
      </w:r>
      <w:r w:rsidRPr="0032736D">
        <w:rPr>
          <w:rFonts w:cs="Times New Roman"/>
        </w:rPr>
        <w:t xml:space="preserve"> </w:t>
      </w:r>
      <w:r w:rsidRPr="00B055B9">
        <w:rPr>
          <w:rFonts w:cs="Times New Roman"/>
        </w:rPr>
        <w:t>https://www.bankier.pl/wiadomosc/NBP-straty-bankow-po-umorzeniu-kredytow-walutowych-wynioslyby-ok-21-mld-zl-3395552.html</w:t>
      </w:r>
      <w:r>
        <w:rPr>
          <w:rFonts w:cs="Times New Roman"/>
        </w:rPr>
        <w:t xml:space="preserve"> (data odsłony 2.05.2018 r.).</w:t>
      </w:r>
    </w:p>
  </w:footnote>
  <w:footnote w:id="85">
    <w:p w14:paraId="3E379F69" w14:textId="290D8525" w:rsidR="00562AA2" w:rsidRPr="0032736D" w:rsidRDefault="00562AA2" w:rsidP="00A24377">
      <w:pPr>
        <w:pStyle w:val="Tekstprzypisudolnego"/>
        <w:rPr>
          <w:rFonts w:cs="Times New Roman"/>
        </w:rPr>
      </w:pPr>
      <w:r w:rsidRPr="0032736D">
        <w:rPr>
          <w:rStyle w:val="Odwoanieprzypisudolnego"/>
          <w:rFonts w:cs="Times New Roman"/>
        </w:rPr>
        <w:footnoteRef/>
      </w:r>
      <w:r w:rsidRPr="0032736D">
        <w:rPr>
          <w:rFonts w:cs="Times New Roman"/>
        </w:rPr>
        <w:t xml:space="preserve"> www.bankier.pl/wiadomosc/KNF-Banki-zaplaca-22-mld-zl-za-frankowcow-7274517.html (data odsłony 2.05.2018 r.)</w:t>
      </w:r>
      <w:r>
        <w:rPr>
          <w:rFonts w:cs="Times New Roman"/>
        </w:rPr>
        <w:t>.</w:t>
      </w:r>
    </w:p>
  </w:footnote>
  <w:footnote w:id="86">
    <w:p w14:paraId="76EB5F93" w14:textId="06B9A919" w:rsidR="00562AA2" w:rsidRDefault="00562AA2" w:rsidP="00A24377">
      <w:pPr>
        <w:pStyle w:val="Tekstprzypisudolnego"/>
      </w:pPr>
      <w:r w:rsidRPr="0032736D">
        <w:rPr>
          <w:rStyle w:val="Odwoanieprzypisudolnego"/>
          <w:rFonts w:cs="Times New Roman"/>
        </w:rPr>
        <w:footnoteRef/>
      </w:r>
      <w:r w:rsidRPr="0032736D">
        <w:rPr>
          <w:rFonts w:cs="Times New Roman"/>
        </w:rPr>
        <w:t xml:space="preserve"> www.bankier.pl/wiadomosc/Przewalutowanie-po-kursie-z-dnia-umowy-jak-wplynie-na-raty-frankowca-7277984.html (data odsłony 2.05.2018 r.)</w:t>
      </w:r>
      <w:r>
        <w:rPr>
          <w:rFonts w:cs="Times New Roman"/>
        </w:rPr>
        <w:t>.</w:t>
      </w:r>
    </w:p>
  </w:footnote>
  <w:footnote w:id="87">
    <w:p w14:paraId="3EBE81D7" w14:textId="77777777" w:rsidR="00562AA2" w:rsidRPr="0032736D" w:rsidRDefault="00562AA2" w:rsidP="00A24377">
      <w:pPr>
        <w:pStyle w:val="Tekstprzypisudolnego"/>
        <w:rPr>
          <w:rFonts w:cs="Times New Roman"/>
        </w:rPr>
      </w:pPr>
      <w:r w:rsidRPr="0032736D">
        <w:rPr>
          <w:rStyle w:val="Odwoanieprzypisudolnego"/>
          <w:rFonts w:cs="Times New Roman"/>
        </w:rPr>
        <w:footnoteRef/>
      </w:r>
      <w:r w:rsidRPr="0032736D">
        <w:rPr>
          <w:rFonts w:cs="Times New Roman"/>
        </w:rPr>
        <w:t xml:space="preserve"> </w:t>
      </w:r>
      <w:r w:rsidRPr="0032736D">
        <w:rPr>
          <w:rFonts w:cs="Times New Roman"/>
          <w:i/>
        </w:rPr>
        <w:t>Uchwała Senatu Rzeczpospolitej Polskiej z dnia 4 września 2015 r. w sprawie ustawy o szczególnych zasadach restrukturyzacji walutowych kredytów mieszkaniowych w związku ze zmianą kursu walut obcych do waluty polskiej</w:t>
      </w:r>
      <w:r w:rsidRPr="0032736D">
        <w:rPr>
          <w:rFonts w:cs="Times New Roman"/>
        </w:rPr>
        <w:t xml:space="preserve">, s. 2-6. </w:t>
      </w:r>
    </w:p>
  </w:footnote>
  <w:footnote w:id="88">
    <w:p w14:paraId="2D87DD1D" w14:textId="1079E59F" w:rsidR="00562AA2" w:rsidRPr="0032736D" w:rsidRDefault="00562AA2" w:rsidP="00A24377">
      <w:pPr>
        <w:pStyle w:val="Tekstprzypisudolnego"/>
        <w:rPr>
          <w:rFonts w:cs="Times New Roman"/>
        </w:rPr>
      </w:pPr>
      <w:r w:rsidRPr="0032736D">
        <w:rPr>
          <w:rStyle w:val="Odwoanieprzypisudolnego"/>
          <w:rFonts w:cs="Times New Roman"/>
        </w:rPr>
        <w:footnoteRef/>
      </w:r>
      <w:r w:rsidRPr="0032736D">
        <w:rPr>
          <w:rFonts w:cs="Times New Roman"/>
        </w:rPr>
        <w:t xml:space="preserve"> Komunikat ZBP, </w:t>
      </w:r>
      <w:r w:rsidRPr="0032736D">
        <w:rPr>
          <w:rFonts w:cs="Times New Roman"/>
          <w:i/>
        </w:rPr>
        <w:t>Stanowisko Związku Banków Polskich z dnia 14.08.2015 r. na temat Ustawy o szczególnych zasadach restrukturyzacji walutowych kredytów mieszkaniowych w związku ze zmianą kursu walut obcych do waluty polskiej, z dn 5.08.2015 r.</w:t>
      </w:r>
      <w:r w:rsidRPr="0032736D">
        <w:rPr>
          <w:rFonts w:cs="Times New Roman"/>
        </w:rPr>
        <w:t xml:space="preserve"> s.1-3. </w:t>
      </w:r>
    </w:p>
  </w:footnote>
  <w:footnote w:id="89">
    <w:p w14:paraId="503A6A5D" w14:textId="77777777" w:rsidR="00562AA2" w:rsidRPr="00E463A0" w:rsidRDefault="00562AA2" w:rsidP="00A24377">
      <w:pPr>
        <w:pStyle w:val="Tekstprzypisudolnego"/>
      </w:pPr>
      <w:r w:rsidRPr="0032736D">
        <w:rPr>
          <w:rStyle w:val="Odwoanieprzypisudolnego"/>
          <w:rFonts w:cs="Times New Roman"/>
        </w:rPr>
        <w:footnoteRef/>
      </w:r>
      <w:r w:rsidRPr="0032736D">
        <w:rPr>
          <w:rFonts w:cs="Times New Roman"/>
        </w:rPr>
        <w:t xml:space="preserve"> Komunikat ZBP, </w:t>
      </w:r>
      <w:r w:rsidRPr="0032736D">
        <w:rPr>
          <w:rFonts w:cs="Times New Roman"/>
          <w:i/>
        </w:rPr>
        <w:t>Stanowisko…</w:t>
      </w:r>
      <w:r w:rsidRPr="0032736D">
        <w:rPr>
          <w:rFonts w:cs="Times New Roman"/>
        </w:rPr>
        <w:t>, s. 2-3.</w:t>
      </w:r>
      <w:r>
        <w:t xml:space="preserve"> </w:t>
      </w:r>
    </w:p>
  </w:footnote>
  <w:footnote w:id="90">
    <w:p w14:paraId="6C0F60E7" w14:textId="6240BDE6" w:rsidR="00562AA2" w:rsidRPr="0032736D" w:rsidRDefault="00562AA2" w:rsidP="00A24377">
      <w:pPr>
        <w:pStyle w:val="Tekstprzypisudolnego"/>
        <w:rPr>
          <w:rFonts w:cs="Times New Roman"/>
        </w:rPr>
      </w:pPr>
      <w:r w:rsidRPr="0032736D">
        <w:rPr>
          <w:rStyle w:val="Odwoanieprzypisudolnego"/>
          <w:rFonts w:cs="Times New Roman"/>
        </w:rPr>
        <w:footnoteRef/>
      </w:r>
      <w:r w:rsidRPr="0032736D">
        <w:rPr>
          <w:rFonts w:cs="Times New Roman"/>
        </w:rPr>
        <w:t xml:space="preserve"> </w:t>
      </w:r>
      <w:r>
        <w:rPr>
          <w:rFonts w:cs="Times New Roman"/>
        </w:rPr>
        <w:t xml:space="preserve">Komisja Nadzoru Finansowego, </w:t>
      </w:r>
      <w:r w:rsidRPr="0032736D">
        <w:rPr>
          <w:rFonts w:cs="Times New Roman"/>
          <w:i/>
        </w:rPr>
        <w:t>Propozycja Przewodniczącego KNF dotycząca restrukturyzacji kredytów udzielonych w CHF, przedstawiona na posiedzeniu Komisji Finansów Publicznych w dniu 3 lutego 2015</w:t>
      </w:r>
      <w:r>
        <w:rPr>
          <w:rFonts w:cs="Times New Roman"/>
          <w:i/>
        </w:rPr>
        <w:t>r</w:t>
      </w:r>
      <w:r w:rsidRPr="00EB6F6C">
        <w:rPr>
          <w:rFonts w:cs="Times New Roman"/>
        </w:rPr>
        <w:t>., s. 1-2.</w:t>
      </w:r>
    </w:p>
  </w:footnote>
  <w:footnote w:id="91">
    <w:p w14:paraId="25056612" w14:textId="77C71C92" w:rsidR="00562AA2" w:rsidRDefault="00562AA2" w:rsidP="00A24377">
      <w:pPr>
        <w:pStyle w:val="Tekstprzypisudolnego"/>
      </w:pPr>
      <w:r w:rsidRPr="0032736D">
        <w:rPr>
          <w:rStyle w:val="Odwoanieprzypisudolnego"/>
          <w:rFonts w:cs="Times New Roman"/>
        </w:rPr>
        <w:footnoteRef/>
      </w:r>
      <w:r w:rsidRPr="0032736D">
        <w:rPr>
          <w:rFonts w:cs="Times New Roman"/>
        </w:rPr>
        <w:t xml:space="preserve"> www.tvn24bis.pl/wiadomosci-walutowe,77/propozycja-knf-dla-frankowiczow-przewalutowanie-kredytu,511902.html (data odsłony 2.05.2018 r.)</w:t>
      </w:r>
      <w:r>
        <w:rPr>
          <w:rFonts w:cs="Times New Roman"/>
        </w:rPr>
        <w:t>.</w:t>
      </w:r>
    </w:p>
  </w:footnote>
  <w:footnote w:id="92">
    <w:p w14:paraId="5B298672" w14:textId="4526A401" w:rsidR="00562AA2" w:rsidRPr="0032736D" w:rsidRDefault="00562AA2" w:rsidP="00A24377">
      <w:pPr>
        <w:pStyle w:val="Tekstprzypisudolnego"/>
        <w:rPr>
          <w:rFonts w:cs="Times New Roman"/>
        </w:rPr>
      </w:pPr>
      <w:r w:rsidRPr="0032736D">
        <w:rPr>
          <w:rStyle w:val="Odwoanieprzypisudolnego"/>
          <w:rFonts w:cs="Times New Roman"/>
        </w:rPr>
        <w:footnoteRef/>
      </w:r>
      <w:r w:rsidRPr="0032736D">
        <w:rPr>
          <w:rFonts w:cs="Times New Roman"/>
        </w:rPr>
        <w:t xml:space="preserve"> Komunikat ZBP, </w:t>
      </w:r>
      <w:r w:rsidRPr="0032736D">
        <w:rPr>
          <w:rFonts w:cs="Times New Roman"/>
          <w:i/>
        </w:rPr>
        <w:t>Stanowisko Zarządu Związku Banków Polskich w sprawie działań ograniczających skutki skokowego wzrostu kursu CHF.</w:t>
      </w:r>
      <w:r w:rsidRPr="0032736D">
        <w:rPr>
          <w:rFonts w:cs="Times New Roman"/>
        </w:rPr>
        <w:t xml:space="preserve"> </w:t>
      </w:r>
      <w:r w:rsidRPr="0032736D">
        <w:rPr>
          <w:rFonts w:cs="Times New Roman"/>
          <w:i/>
        </w:rPr>
        <w:t>z dn. 23.01.2015 r.</w:t>
      </w:r>
      <w:r w:rsidRPr="0032736D">
        <w:rPr>
          <w:rFonts w:cs="Times New Roman"/>
        </w:rPr>
        <w:t xml:space="preserve"> s.</w:t>
      </w:r>
      <w:r>
        <w:rPr>
          <w:rFonts w:cs="Times New Roman"/>
        </w:rPr>
        <w:t xml:space="preserve"> </w:t>
      </w:r>
      <w:r w:rsidRPr="0032736D">
        <w:rPr>
          <w:rFonts w:cs="Times New Roman"/>
        </w:rPr>
        <w:t>1</w:t>
      </w:r>
      <w:r>
        <w:rPr>
          <w:rFonts w:cs="Times New Roman"/>
        </w:rPr>
        <w:t>.</w:t>
      </w:r>
    </w:p>
  </w:footnote>
  <w:footnote w:id="93">
    <w:p w14:paraId="6317AF4F" w14:textId="4E94D3E0" w:rsidR="00562AA2" w:rsidRPr="00EC7F28" w:rsidRDefault="00562AA2" w:rsidP="00A24377">
      <w:pPr>
        <w:pStyle w:val="Tekstprzypisudolnego"/>
        <w:rPr>
          <w:rFonts w:cs="Times New Roman"/>
        </w:rPr>
      </w:pPr>
      <w:r w:rsidRPr="00EC7F28">
        <w:rPr>
          <w:rStyle w:val="Odwoanieprzypisudolnego"/>
          <w:rFonts w:cs="Times New Roman"/>
        </w:rPr>
        <w:footnoteRef/>
      </w:r>
      <w:r w:rsidRPr="00EC7F28">
        <w:rPr>
          <w:rFonts w:cs="Times New Roman"/>
        </w:rPr>
        <w:t xml:space="preserve"> www.zbp.pl/wydarzenia/archiwum/wydarzenia/2015/styczen/stanowisko-zarzadu-zbp-ws-chf (data odsłony 3.05.2018 r.)</w:t>
      </w:r>
      <w:r>
        <w:rPr>
          <w:rFonts w:cs="Times New Roman"/>
        </w:rPr>
        <w:t>.</w:t>
      </w:r>
    </w:p>
  </w:footnote>
  <w:footnote w:id="94">
    <w:p w14:paraId="1EAD591F" w14:textId="6176F6FE" w:rsidR="00562AA2" w:rsidRPr="00EC7F28" w:rsidRDefault="00562AA2" w:rsidP="00A24377">
      <w:pPr>
        <w:pStyle w:val="Tekstprzypisudolnego"/>
        <w:rPr>
          <w:rFonts w:cs="Times New Roman"/>
          <w:i/>
        </w:rPr>
      </w:pPr>
      <w:r w:rsidRPr="00EC7F28">
        <w:rPr>
          <w:rStyle w:val="Odwoanieprzypisudolnego"/>
          <w:rFonts w:cs="Times New Roman"/>
        </w:rPr>
        <w:footnoteRef/>
      </w:r>
      <w:r w:rsidRPr="00EC7F28">
        <w:rPr>
          <w:rFonts w:cs="Times New Roman"/>
        </w:rPr>
        <w:t xml:space="preserve"> Związek Banków Polskich, </w:t>
      </w:r>
      <w:r w:rsidRPr="00EC7F28">
        <w:rPr>
          <w:rFonts w:cs="Times New Roman"/>
          <w:i/>
        </w:rPr>
        <w:t>Kredyt w CHF na polskim rynku. Skutki propozycji ZBP po wzroście kursu CHF po 15.01.2015</w:t>
      </w:r>
      <w:r>
        <w:rPr>
          <w:rFonts w:cs="Times New Roman"/>
          <w:i/>
        </w:rPr>
        <w:t xml:space="preserve"> r.</w:t>
      </w:r>
    </w:p>
  </w:footnote>
  <w:footnote w:id="95">
    <w:p w14:paraId="7B40B18E" w14:textId="26DB43BA" w:rsidR="00562AA2" w:rsidRPr="00E0565E" w:rsidRDefault="00562AA2" w:rsidP="00A24377">
      <w:pPr>
        <w:pStyle w:val="Tekstprzypisudolnego"/>
      </w:pPr>
      <w:r w:rsidRPr="00EC7F28">
        <w:rPr>
          <w:rStyle w:val="Odwoanieprzypisudolnego"/>
          <w:rFonts w:cs="Times New Roman"/>
        </w:rPr>
        <w:footnoteRef/>
      </w:r>
      <w:r w:rsidRPr="00EC7F28">
        <w:rPr>
          <w:rFonts w:cs="Times New Roman"/>
        </w:rPr>
        <w:t xml:space="preserve"> Związek Banków Polskich, </w:t>
      </w:r>
      <w:r w:rsidRPr="00EC7F28">
        <w:rPr>
          <w:rFonts w:cs="Times New Roman"/>
          <w:i/>
        </w:rPr>
        <w:t>Propozycja rozwiązania kwestii kredytów w CHF dla rodzin najsłabszych ekonomicznie</w:t>
      </w:r>
      <w:r w:rsidRPr="00EC7F28">
        <w:rPr>
          <w:rFonts w:cs="Times New Roman"/>
        </w:rPr>
        <w:t>, Warszawa 2016 r. s. 1-2.</w:t>
      </w:r>
      <w:r>
        <w:t xml:space="preserve"> </w:t>
      </w:r>
    </w:p>
  </w:footnote>
  <w:footnote w:id="96">
    <w:p w14:paraId="7BE896BC" w14:textId="2BEE4FC2" w:rsidR="00562AA2" w:rsidRPr="00EC7F28" w:rsidRDefault="00562AA2" w:rsidP="00A24377">
      <w:pPr>
        <w:pStyle w:val="Tekstprzypisudolnego"/>
        <w:rPr>
          <w:rFonts w:cs="Times New Roman"/>
        </w:rPr>
      </w:pPr>
      <w:r w:rsidRPr="00EC7F28">
        <w:rPr>
          <w:rStyle w:val="Odwoanieprzypisudolnego"/>
          <w:rFonts w:cs="Times New Roman"/>
        </w:rPr>
        <w:footnoteRef/>
      </w:r>
      <w:r w:rsidRPr="00EC7F28">
        <w:rPr>
          <w:rFonts w:cs="Times New Roman"/>
        </w:rPr>
        <w:t xml:space="preserve"> www.zbp.pl/dla-prasy/informacje-prasowe/banki-zaakceptowaly-propozycje-zbp-konferencja-prasowa (data odsłony 3.05.2018 r.)</w:t>
      </w:r>
      <w:r>
        <w:rPr>
          <w:rFonts w:cs="Times New Roman"/>
        </w:rPr>
        <w:t>.</w:t>
      </w:r>
    </w:p>
  </w:footnote>
  <w:footnote w:id="97">
    <w:p w14:paraId="24EB97C5" w14:textId="28B4005A" w:rsidR="00562AA2" w:rsidRPr="00291B53" w:rsidRDefault="00562AA2" w:rsidP="00A24377">
      <w:pPr>
        <w:pStyle w:val="Tekstprzypisudolnego"/>
      </w:pPr>
      <w:r w:rsidRPr="00EC7F28">
        <w:rPr>
          <w:rStyle w:val="Odwoanieprzypisudolnego"/>
          <w:rFonts w:cs="Times New Roman"/>
        </w:rPr>
        <w:footnoteRef/>
      </w:r>
      <w:r w:rsidRPr="00EC7F28">
        <w:rPr>
          <w:rFonts w:cs="Times New Roman"/>
        </w:rPr>
        <w:t xml:space="preserve"> www.zbp.pl/wydarzenia/archiwum/wydarzenia/2015/maj/ponad-800-mln-zl-na-pomoc-kredytobiorcom-mieszkaniowym (data odsłony 3.05.2018 r.)</w:t>
      </w:r>
      <w:r>
        <w:rPr>
          <w:rFonts w:cs="Times New Roman"/>
        </w:rPr>
        <w:t>.</w:t>
      </w:r>
    </w:p>
  </w:footnote>
  <w:footnote w:id="98">
    <w:p w14:paraId="7D2A2293" w14:textId="77777777" w:rsidR="00562AA2" w:rsidRPr="007C5DA5" w:rsidRDefault="00562AA2" w:rsidP="00A24377">
      <w:pPr>
        <w:pStyle w:val="Tekstprzypisudolnego"/>
        <w:rPr>
          <w:rFonts w:cs="Times New Roman"/>
        </w:rPr>
      </w:pPr>
      <w:r w:rsidRPr="007C5DA5">
        <w:rPr>
          <w:rStyle w:val="Odwoanieprzypisudolnego"/>
          <w:rFonts w:cs="Times New Roman"/>
        </w:rPr>
        <w:footnoteRef/>
      </w:r>
      <w:r w:rsidRPr="007C5DA5">
        <w:rPr>
          <w:rFonts w:cs="Times New Roman"/>
        </w:rPr>
        <w:t xml:space="preserve"> Ministerstwo Gospodarki na mocy rozporządzenia Rady Ministrów z dnia 7.12.2015 r. zostało zniesione, a jego komórki organizacyjne zostały włączone do nowopowstałego Ministerstwa Rozwoju.</w:t>
      </w:r>
    </w:p>
  </w:footnote>
  <w:footnote w:id="99">
    <w:p w14:paraId="547D6294" w14:textId="2A6BC673" w:rsidR="00562AA2" w:rsidRPr="00974591" w:rsidRDefault="00562AA2" w:rsidP="00A24377">
      <w:pPr>
        <w:pStyle w:val="Tekstprzypisudolnego"/>
      </w:pPr>
      <w:r w:rsidRPr="007C5DA5">
        <w:rPr>
          <w:rStyle w:val="Odwoanieprzypisudolnego"/>
          <w:rFonts w:cs="Times New Roman"/>
        </w:rPr>
        <w:footnoteRef/>
      </w:r>
      <w:r w:rsidRPr="007C5DA5">
        <w:rPr>
          <w:rFonts w:cs="Times New Roman"/>
        </w:rPr>
        <w:t xml:space="preserve"> Ministerstwo Gospodarki, </w:t>
      </w:r>
      <w:r w:rsidRPr="007C5DA5">
        <w:rPr>
          <w:rFonts w:cs="Times New Roman"/>
          <w:i/>
        </w:rPr>
        <w:t>Propozycje rozwiązań Ministerstwa Gospodarki wobec problemów ze spłatą kredytów hipotecznych denominowanych we franku szwajcarskim CHF</w:t>
      </w:r>
      <w:r w:rsidRPr="007C5DA5">
        <w:rPr>
          <w:rFonts w:cs="Times New Roman"/>
        </w:rPr>
        <w:t xml:space="preserve">, Warszawa 2015 r. </w:t>
      </w:r>
      <w:r w:rsidRPr="00CC60BA">
        <w:rPr>
          <w:rFonts w:cs="Times New Roman"/>
        </w:rPr>
        <w:t>s. 2-4.</w:t>
      </w:r>
      <w:r>
        <w:t xml:space="preserve"> </w:t>
      </w:r>
    </w:p>
  </w:footnote>
  <w:footnote w:id="100">
    <w:p w14:paraId="693BA74C" w14:textId="77777777" w:rsidR="00562AA2" w:rsidRPr="00FE08D1" w:rsidRDefault="00562AA2" w:rsidP="00A24377">
      <w:pPr>
        <w:pStyle w:val="Tekstprzypisudolnego"/>
      </w:pPr>
      <w:r>
        <w:rPr>
          <w:rStyle w:val="Odwoanieprzypisudolnego"/>
        </w:rPr>
        <w:footnoteRef/>
      </w:r>
      <w:r>
        <w:t xml:space="preserve"> </w:t>
      </w:r>
      <w:r w:rsidRPr="0096126B">
        <w:rPr>
          <w:rFonts w:cs="Times New Roman"/>
        </w:rPr>
        <w:t xml:space="preserve">Ministerstwo Gospodarki, </w:t>
      </w:r>
      <w:r w:rsidRPr="0096126B">
        <w:rPr>
          <w:rFonts w:cs="Times New Roman"/>
          <w:i/>
        </w:rPr>
        <w:t>Propozycje…</w:t>
      </w:r>
      <w:r w:rsidRPr="0096126B">
        <w:rPr>
          <w:rFonts w:cs="Times New Roman"/>
        </w:rPr>
        <w:t>, s. 4-5.</w:t>
      </w:r>
      <w:r>
        <w:t xml:space="preserve"> </w:t>
      </w:r>
    </w:p>
  </w:footnote>
  <w:footnote w:id="101">
    <w:p w14:paraId="1E6F3591" w14:textId="3762FB85" w:rsidR="00562AA2" w:rsidRDefault="00562AA2">
      <w:pPr>
        <w:pStyle w:val="Tekstprzypisudolnego"/>
      </w:pPr>
      <w:r>
        <w:rPr>
          <w:rStyle w:val="Odwoanieprzypisudolnego"/>
        </w:rPr>
        <w:footnoteRef/>
      </w:r>
      <w:r>
        <w:t xml:space="preserve"> </w:t>
      </w:r>
      <w:r w:rsidRPr="00C71439">
        <w:rPr>
          <w:i/>
        </w:rPr>
        <w:t>Projekt ustawy o zasadach zwrotu niektórych należności wynikających z umów kredytu i pożyczki z dn. 1.08.2016 r.</w:t>
      </w:r>
      <w:r>
        <w:t xml:space="preserve"> s. 1-11. </w:t>
      </w:r>
    </w:p>
  </w:footnote>
  <w:footnote w:id="102">
    <w:p w14:paraId="288E2942" w14:textId="67C0EDB1" w:rsidR="00562AA2" w:rsidRDefault="00562AA2">
      <w:pPr>
        <w:pStyle w:val="Tekstprzypisudolnego"/>
      </w:pPr>
      <w:r>
        <w:rPr>
          <w:rStyle w:val="Odwoanieprzypisudolnego"/>
        </w:rPr>
        <w:footnoteRef/>
      </w:r>
      <w:r>
        <w:t xml:space="preserve"> </w:t>
      </w:r>
      <w:r w:rsidRPr="00277892">
        <w:rPr>
          <w:i/>
        </w:rPr>
        <w:t>Uzasadnienie Projektu ustawy o zasadach zwrotu niektórych należności wynikających z umów kredytu i pożyczki z dn. 1.08.2016 r.</w:t>
      </w:r>
    </w:p>
  </w:footnote>
  <w:footnote w:id="103">
    <w:p w14:paraId="2E0C6AF8" w14:textId="06982D72" w:rsidR="00562AA2" w:rsidRPr="00D527B5" w:rsidRDefault="00562AA2">
      <w:pPr>
        <w:pStyle w:val="Tekstprzypisudolnego"/>
      </w:pPr>
      <w:r>
        <w:rPr>
          <w:rStyle w:val="Odwoanieprzypisudolnego"/>
        </w:rPr>
        <w:footnoteRef/>
      </w:r>
      <w:r>
        <w:t xml:space="preserve"> Kancelaria Chmaj i Wspólnicy, </w:t>
      </w:r>
      <w:r w:rsidRPr="00512B3E">
        <w:rPr>
          <w:i/>
        </w:rPr>
        <w:t>Opinia prawna w przedmiocie oceny zgodności z konstytucją</w:t>
      </w:r>
      <w:r>
        <w:rPr>
          <w:i/>
        </w:rPr>
        <w:t xml:space="preserve"> </w:t>
      </w:r>
      <w:r w:rsidRPr="00512B3E">
        <w:rPr>
          <w:i/>
        </w:rPr>
        <w:t>prezydenckiego projektu ustawy o zasadach zwrotu niektórych należności wynikających z umów kredytu i pożyczki (w wersji przedstawionej dnia 2.08.2016 r.)</w:t>
      </w:r>
      <w:r>
        <w:t xml:space="preserve">, Warszawa 2016 r. </w:t>
      </w:r>
    </w:p>
  </w:footnote>
  <w:footnote w:id="104">
    <w:p w14:paraId="5FF7420F" w14:textId="14FA15F9" w:rsidR="00562AA2" w:rsidRPr="00F44F93" w:rsidRDefault="00562AA2">
      <w:pPr>
        <w:pStyle w:val="Tekstprzypisudolnego"/>
      </w:pPr>
      <w:r>
        <w:rPr>
          <w:rStyle w:val="Odwoanieprzypisudolnego"/>
        </w:rPr>
        <w:footnoteRef/>
      </w:r>
      <w:r>
        <w:t xml:space="preserve"> Kancelaria Chmaj i Wspólnicy,</w:t>
      </w:r>
      <w:r w:rsidRPr="00F44F93">
        <w:t xml:space="preserve"> </w:t>
      </w:r>
      <w:r w:rsidRPr="00F44F93">
        <w:rPr>
          <w:i/>
        </w:rPr>
        <w:t>Analiza skutków ekonomicznych wprowadzenia w życie prezydenckiego projektu ustawy o zasadach zwrotu niektórych należności wynikających z umów kredytu i pożyczki</w:t>
      </w:r>
      <w:r>
        <w:t>, Warszawa 2016 r.</w:t>
      </w:r>
    </w:p>
  </w:footnote>
  <w:footnote w:id="105">
    <w:p w14:paraId="09586D21" w14:textId="760E04D9" w:rsidR="00562AA2" w:rsidRPr="00CB21F3" w:rsidRDefault="00562AA2">
      <w:pPr>
        <w:pStyle w:val="Tekstprzypisudolnego"/>
        <w:rPr>
          <w:lang w:val="en-GB"/>
        </w:rPr>
      </w:pPr>
      <w:r>
        <w:rPr>
          <w:rStyle w:val="Odwoanieprzypisudolnego"/>
        </w:rPr>
        <w:footnoteRef/>
      </w:r>
      <w:r w:rsidRPr="00CB21F3">
        <w:rPr>
          <w:lang w:val="en-GB"/>
        </w:rPr>
        <w:t xml:space="preserve"> </w:t>
      </w:r>
      <w:r w:rsidRPr="00DC7B48">
        <w:rPr>
          <w:rFonts w:cs="Times New Roman"/>
          <w:lang w:val="en-GB"/>
        </w:rPr>
        <w:t xml:space="preserve">International Monetary Fund, </w:t>
      </w:r>
      <w:r w:rsidRPr="00DC7B48">
        <w:rPr>
          <w:rFonts w:cs="Times New Roman"/>
          <w:i/>
          <w:lang w:val="en-GB"/>
        </w:rPr>
        <w:t>Hungary</w:t>
      </w:r>
      <w:r w:rsidR="00BC25BC">
        <w:rPr>
          <w:rFonts w:cs="Times New Roman"/>
          <w:i/>
          <w:lang w:val="en-GB"/>
        </w:rPr>
        <w:t>..</w:t>
      </w:r>
      <w:r>
        <w:rPr>
          <w:rFonts w:cs="Times New Roman"/>
          <w:i/>
          <w:lang w:val="en-GB"/>
        </w:rPr>
        <w:t>.</w:t>
      </w:r>
    </w:p>
  </w:footnote>
  <w:footnote w:id="106">
    <w:p w14:paraId="41D44181" w14:textId="77777777" w:rsidR="00BB0930" w:rsidRPr="008B576E" w:rsidRDefault="00BB0930" w:rsidP="00BB0930">
      <w:pPr>
        <w:pStyle w:val="Tekstprzypisudolnego"/>
        <w:rPr>
          <w:lang w:val="en-GB"/>
        </w:rPr>
      </w:pPr>
      <w:r>
        <w:rPr>
          <w:rStyle w:val="Odwoanieprzypisudolnego"/>
        </w:rPr>
        <w:footnoteRef/>
      </w:r>
      <w:r w:rsidRPr="008B576E">
        <w:rPr>
          <w:lang w:val="en-GB"/>
        </w:rPr>
        <w:t xml:space="preserve"> Wykres 5. </w:t>
      </w:r>
    </w:p>
  </w:footnote>
  <w:footnote w:id="107">
    <w:p w14:paraId="05C5DF99" w14:textId="6F9AAECD" w:rsidR="00612AEA" w:rsidRDefault="00612AEA">
      <w:pPr>
        <w:pStyle w:val="Tekstprzypisudolnego"/>
      </w:pPr>
      <w:r>
        <w:rPr>
          <w:rStyle w:val="Odwoanieprzypisudolnego"/>
        </w:rPr>
        <w:footnoteRef/>
      </w:r>
      <w:r>
        <w:t xml:space="preserve"> Wykres 7.</w:t>
      </w:r>
    </w:p>
  </w:footnote>
  <w:footnote w:id="108">
    <w:p w14:paraId="29A57708" w14:textId="713BF9A5" w:rsidR="00562AA2" w:rsidRDefault="00562AA2">
      <w:pPr>
        <w:pStyle w:val="Tekstprzypisudolnego"/>
      </w:pPr>
      <w:r>
        <w:rPr>
          <w:rStyle w:val="Odwoanieprzypisudolnego"/>
        </w:rPr>
        <w:footnoteRef/>
      </w:r>
      <w:r>
        <w:t xml:space="preserve"> Wykres 1</w:t>
      </w:r>
      <w:r w:rsidR="008743C3">
        <w:t>;</w:t>
      </w:r>
      <w:r>
        <w:t xml:space="preserve"> Wykres 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AD6BE08"/>
    <w:lvl w:ilvl="0">
      <w:start w:val="1"/>
      <w:numFmt w:val="bullet"/>
      <w:pStyle w:val="Listapunktowana"/>
      <w:lvlText w:val=""/>
      <w:lvlJc w:val="left"/>
      <w:pPr>
        <w:tabs>
          <w:tab w:val="num" w:pos="360"/>
        </w:tabs>
        <w:ind w:left="360" w:hanging="360"/>
      </w:pPr>
      <w:rPr>
        <w:rFonts w:ascii="Symbol" w:hAnsi="Symbol" w:hint="default"/>
      </w:rPr>
    </w:lvl>
  </w:abstractNum>
  <w:abstractNum w:abstractNumId="1" w15:restartNumberingAfterBreak="0">
    <w:nsid w:val="09374371"/>
    <w:multiLevelType w:val="hybridMultilevel"/>
    <w:tmpl w:val="FDC05B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66D1341"/>
    <w:multiLevelType w:val="hybridMultilevel"/>
    <w:tmpl w:val="07A80998"/>
    <w:lvl w:ilvl="0" w:tplc="68DC38F2">
      <w:start w:val="1"/>
      <w:numFmt w:val="decimal"/>
      <w:lvlText w:val="%1."/>
      <w:lvlJc w:val="left"/>
      <w:pPr>
        <w:ind w:left="720" w:hanging="360"/>
      </w:pPr>
      <w:rPr>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8454639"/>
    <w:multiLevelType w:val="hybridMultilevel"/>
    <w:tmpl w:val="94F85CE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CF5226C"/>
    <w:multiLevelType w:val="hybridMultilevel"/>
    <w:tmpl w:val="675209F0"/>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5" w15:restartNumberingAfterBreak="0">
    <w:nsid w:val="1D6575B9"/>
    <w:multiLevelType w:val="hybridMultilevel"/>
    <w:tmpl w:val="46326B78"/>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5F15977"/>
    <w:multiLevelType w:val="hybridMultilevel"/>
    <w:tmpl w:val="F2DA5CC2"/>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A1102EC"/>
    <w:multiLevelType w:val="hybridMultilevel"/>
    <w:tmpl w:val="A856957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459E11F2"/>
    <w:multiLevelType w:val="hybridMultilevel"/>
    <w:tmpl w:val="5784EE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5BEC2CFC"/>
    <w:multiLevelType w:val="hybridMultilevel"/>
    <w:tmpl w:val="1932DE2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618A2C60"/>
    <w:multiLevelType w:val="hybridMultilevel"/>
    <w:tmpl w:val="46326B78"/>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63917600"/>
    <w:multiLevelType w:val="hybridMultilevel"/>
    <w:tmpl w:val="961E8EA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6CA2609C"/>
    <w:multiLevelType w:val="hybridMultilevel"/>
    <w:tmpl w:val="FF26153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6CE44474"/>
    <w:multiLevelType w:val="hybridMultilevel"/>
    <w:tmpl w:val="6AD8449E"/>
    <w:lvl w:ilvl="0" w:tplc="7B784D36">
      <w:start w:val="1"/>
      <w:numFmt w:val="upperLetter"/>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4" w15:restartNumberingAfterBreak="0">
    <w:nsid w:val="7F484220"/>
    <w:multiLevelType w:val="hybridMultilevel"/>
    <w:tmpl w:val="0BB696AA"/>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8"/>
  </w:num>
  <w:num w:numId="2">
    <w:abstractNumId w:val="10"/>
  </w:num>
  <w:num w:numId="3">
    <w:abstractNumId w:val="0"/>
  </w:num>
  <w:num w:numId="4">
    <w:abstractNumId w:val="11"/>
  </w:num>
  <w:num w:numId="5">
    <w:abstractNumId w:val="13"/>
  </w:num>
  <w:num w:numId="6">
    <w:abstractNumId w:val="6"/>
  </w:num>
  <w:num w:numId="7">
    <w:abstractNumId w:val="14"/>
  </w:num>
  <w:num w:numId="8">
    <w:abstractNumId w:val="12"/>
  </w:num>
  <w:num w:numId="9">
    <w:abstractNumId w:val="4"/>
  </w:num>
  <w:num w:numId="10">
    <w:abstractNumId w:val="2"/>
  </w:num>
  <w:num w:numId="11">
    <w:abstractNumId w:val="7"/>
  </w:num>
  <w:num w:numId="12">
    <w:abstractNumId w:val="3"/>
  </w:num>
  <w:num w:numId="13">
    <w:abstractNumId w:val="1"/>
  </w:num>
  <w:num w:numId="14">
    <w:abstractNumId w:val="9"/>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757C"/>
    <w:rsid w:val="00000B49"/>
    <w:rsid w:val="000010C1"/>
    <w:rsid w:val="00001EED"/>
    <w:rsid w:val="0000261A"/>
    <w:rsid w:val="000031BD"/>
    <w:rsid w:val="00004496"/>
    <w:rsid w:val="00004A38"/>
    <w:rsid w:val="000053A5"/>
    <w:rsid w:val="00007E1C"/>
    <w:rsid w:val="0001030E"/>
    <w:rsid w:val="00010724"/>
    <w:rsid w:val="000123C5"/>
    <w:rsid w:val="00012525"/>
    <w:rsid w:val="00013900"/>
    <w:rsid w:val="00013F47"/>
    <w:rsid w:val="00014F40"/>
    <w:rsid w:val="0001531F"/>
    <w:rsid w:val="00015BDE"/>
    <w:rsid w:val="00015EC6"/>
    <w:rsid w:val="000178AB"/>
    <w:rsid w:val="0002003A"/>
    <w:rsid w:val="0002193C"/>
    <w:rsid w:val="00022073"/>
    <w:rsid w:val="00026687"/>
    <w:rsid w:val="00027287"/>
    <w:rsid w:val="0003156E"/>
    <w:rsid w:val="00032670"/>
    <w:rsid w:val="000331D0"/>
    <w:rsid w:val="00033955"/>
    <w:rsid w:val="00034AE3"/>
    <w:rsid w:val="00035B97"/>
    <w:rsid w:val="00036638"/>
    <w:rsid w:val="000366BA"/>
    <w:rsid w:val="000401E0"/>
    <w:rsid w:val="000420A8"/>
    <w:rsid w:val="0004278E"/>
    <w:rsid w:val="00043E9D"/>
    <w:rsid w:val="00043F2A"/>
    <w:rsid w:val="0004554E"/>
    <w:rsid w:val="00046162"/>
    <w:rsid w:val="000464B5"/>
    <w:rsid w:val="00051714"/>
    <w:rsid w:val="00053DB7"/>
    <w:rsid w:val="000549BE"/>
    <w:rsid w:val="00055203"/>
    <w:rsid w:val="0006093D"/>
    <w:rsid w:val="00060DDA"/>
    <w:rsid w:val="000616D3"/>
    <w:rsid w:val="000639E3"/>
    <w:rsid w:val="00063B7B"/>
    <w:rsid w:val="00064C69"/>
    <w:rsid w:val="000656B8"/>
    <w:rsid w:val="00066853"/>
    <w:rsid w:val="0007008D"/>
    <w:rsid w:val="00070DC5"/>
    <w:rsid w:val="00071CD8"/>
    <w:rsid w:val="00072355"/>
    <w:rsid w:val="00074BDB"/>
    <w:rsid w:val="0007566B"/>
    <w:rsid w:val="0007632F"/>
    <w:rsid w:val="00076E54"/>
    <w:rsid w:val="000771F4"/>
    <w:rsid w:val="00080F89"/>
    <w:rsid w:val="000813F5"/>
    <w:rsid w:val="00081620"/>
    <w:rsid w:val="000816F3"/>
    <w:rsid w:val="00081BC4"/>
    <w:rsid w:val="00082097"/>
    <w:rsid w:val="000828AE"/>
    <w:rsid w:val="00083EE3"/>
    <w:rsid w:val="00084464"/>
    <w:rsid w:val="00085105"/>
    <w:rsid w:val="00085643"/>
    <w:rsid w:val="000859F5"/>
    <w:rsid w:val="00085C65"/>
    <w:rsid w:val="00090C0E"/>
    <w:rsid w:val="0009162D"/>
    <w:rsid w:val="000927E8"/>
    <w:rsid w:val="0009280F"/>
    <w:rsid w:val="0009311F"/>
    <w:rsid w:val="00093FD7"/>
    <w:rsid w:val="000965CE"/>
    <w:rsid w:val="0009708B"/>
    <w:rsid w:val="00097231"/>
    <w:rsid w:val="000A0CDE"/>
    <w:rsid w:val="000A1187"/>
    <w:rsid w:val="000A2EDF"/>
    <w:rsid w:val="000A2FFD"/>
    <w:rsid w:val="000A4D00"/>
    <w:rsid w:val="000A5AB0"/>
    <w:rsid w:val="000A5C6B"/>
    <w:rsid w:val="000A62CE"/>
    <w:rsid w:val="000B00F3"/>
    <w:rsid w:val="000B2D55"/>
    <w:rsid w:val="000B2E6F"/>
    <w:rsid w:val="000B3DE8"/>
    <w:rsid w:val="000B467C"/>
    <w:rsid w:val="000C17BB"/>
    <w:rsid w:val="000C2985"/>
    <w:rsid w:val="000C2FC7"/>
    <w:rsid w:val="000C37FB"/>
    <w:rsid w:val="000C4D1A"/>
    <w:rsid w:val="000C57F4"/>
    <w:rsid w:val="000C584C"/>
    <w:rsid w:val="000C59CF"/>
    <w:rsid w:val="000C65BF"/>
    <w:rsid w:val="000D1C12"/>
    <w:rsid w:val="000D3049"/>
    <w:rsid w:val="000D3065"/>
    <w:rsid w:val="000D471B"/>
    <w:rsid w:val="000D53EB"/>
    <w:rsid w:val="000D71E1"/>
    <w:rsid w:val="000E0DFF"/>
    <w:rsid w:val="000E16ED"/>
    <w:rsid w:val="000E1AD4"/>
    <w:rsid w:val="000E258D"/>
    <w:rsid w:val="000E2679"/>
    <w:rsid w:val="000E372E"/>
    <w:rsid w:val="000E374D"/>
    <w:rsid w:val="000E3759"/>
    <w:rsid w:val="000E3EF4"/>
    <w:rsid w:val="000E44E5"/>
    <w:rsid w:val="000E47E7"/>
    <w:rsid w:val="000E4817"/>
    <w:rsid w:val="000E66D2"/>
    <w:rsid w:val="000E6E2F"/>
    <w:rsid w:val="000F06B9"/>
    <w:rsid w:val="000F06BA"/>
    <w:rsid w:val="000F071D"/>
    <w:rsid w:val="000F0720"/>
    <w:rsid w:val="000F0B75"/>
    <w:rsid w:val="000F0D65"/>
    <w:rsid w:val="000F11A8"/>
    <w:rsid w:val="000F2969"/>
    <w:rsid w:val="000F2C71"/>
    <w:rsid w:val="000F2E3B"/>
    <w:rsid w:val="000F60B3"/>
    <w:rsid w:val="000F7065"/>
    <w:rsid w:val="000F7388"/>
    <w:rsid w:val="00100D1F"/>
    <w:rsid w:val="00101955"/>
    <w:rsid w:val="00101B28"/>
    <w:rsid w:val="00101C18"/>
    <w:rsid w:val="00101F62"/>
    <w:rsid w:val="001033B6"/>
    <w:rsid w:val="00103E44"/>
    <w:rsid w:val="001049C9"/>
    <w:rsid w:val="0010531B"/>
    <w:rsid w:val="001056AC"/>
    <w:rsid w:val="0010704A"/>
    <w:rsid w:val="001101C8"/>
    <w:rsid w:val="001104FA"/>
    <w:rsid w:val="001108F4"/>
    <w:rsid w:val="00110F80"/>
    <w:rsid w:val="001112FF"/>
    <w:rsid w:val="00111D7B"/>
    <w:rsid w:val="00111DEF"/>
    <w:rsid w:val="0011238D"/>
    <w:rsid w:val="001131E9"/>
    <w:rsid w:val="001136E3"/>
    <w:rsid w:val="00113A6E"/>
    <w:rsid w:val="00113C41"/>
    <w:rsid w:val="00114817"/>
    <w:rsid w:val="00115DB5"/>
    <w:rsid w:val="0011611D"/>
    <w:rsid w:val="001170A4"/>
    <w:rsid w:val="0011793E"/>
    <w:rsid w:val="00123054"/>
    <w:rsid w:val="00123707"/>
    <w:rsid w:val="001250D1"/>
    <w:rsid w:val="00125B18"/>
    <w:rsid w:val="00125F62"/>
    <w:rsid w:val="0012744F"/>
    <w:rsid w:val="00127B23"/>
    <w:rsid w:val="00127F10"/>
    <w:rsid w:val="00131265"/>
    <w:rsid w:val="00131325"/>
    <w:rsid w:val="00132406"/>
    <w:rsid w:val="00132E92"/>
    <w:rsid w:val="00135DEC"/>
    <w:rsid w:val="001367A3"/>
    <w:rsid w:val="00141C30"/>
    <w:rsid w:val="00142306"/>
    <w:rsid w:val="00143028"/>
    <w:rsid w:val="0014320B"/>
    <w:rsid w:val="00143629"/>
    <w:rsid w:val="00144CF8"/>
    <w:rsid w:val="00145634"/>
    <w:rsid w:val="00145CA1"/>
    <w:rsid w:val="001461A5"/>
    <w:rsid w:val="0014674E"/>
    <w:rsid w:val="0014722C"/>
    <w:rsid w:val="00147FFC"/>
    <w:rsid w:val="0015074A"/>
    <w:rsid w:val="001513B1"/>
    <w:rsid w:val="00151C1E"/>
    <w:rsid w:val="0015264A"/>
    <w:rsid w:val="00152C7D"/>
    <w:rsid w:val="00153F70"/>
    <w:rsid w:val="00154B93"/>
    <w:rsid w:val="00155263"/>
    <w:rsid w:val="001557EE"/>
    <w:rsid w:val="001564DE"/>
    <w:rsid w:val="001569E6"/>
    <w:rsid w:val="00157264"/>
    <w:rsid w:val="00157392"/>
    <w:rsid w:val="00157C7D"/>
    <w:rsid w:val="001618EB"/>
    <w:rsid w:val="00161F9D"/>
    <w:rsid w:val="001629ED"/>
    <w:rsid w:val="001641F1"/>
    <w:rsid w:val="001658FE"/>
    <w:rsid w:val="001668FF"/>
    <w:rsid w:val="00166B04"/>
    <w:rsid w:val="00167374"/>
    <w:rsid w:val="00171CFB"/>
    <w:rsid w:val="0017213A"/>
    <w:rsid w:val="0017227A"/>
    <w:rsid w:val="00172D05"/>
    <w:rsid w:val="00172FBA"/>
    <w:rsid w:val="00173D4E"/>
    <w:rsid w:val="00173EF9"/>
    <w:rsid w:val="00174B5B"/>
    <w:rsid w:val="001803A4"/>
    <w:rsid w:val="00181E3B"/>
    <w:rsid w:val="00182603"/>
    <w:rsid w:val="00182836"/>
    <w:rsid w:val="00182DFC"/>
    <w:rsid w:val="00182F2A"/>
    <w:rsid w:val="00183AA3"/>
    <w:rsid w:val="001840B2"/>
    <w:rsid w:val="00184815"/>
    <w:rsid w:val="00184909"/>
    <w:rsid w:val="00184C4A"/>
    <w:rsid w:val="00185BCF"/>
    <w:rsid w:val="00187D59"/>
    <w:rsid w:val="0019072E"/>
    <w:rsid w:val="00192476"/>
    <w:rsid w:val="00192B9D"/>
    <w:rsid w:val="00193815"/>
    <w:rsid w:val="001938F1"/>
    <w:rsid w:val="00193FC9"/>
    <w:rsid w:val="001959DF"/>
    <w:rsid w:val="001973BA"/>
    <w:rsid w:val="00197886"/>
    <w:rsid w:val="001A0651"/>
    <w:rsid w:val="001A1EF4"/>
    <w:rsid w:val="001A1F4D"/>
    <w:rsid w:val="001A36CA"/>
    <w:rsid w:val="001A4089"/>
    <w:rsid w:val="001A445E"/>
    <w:rsid w:val="001A5A18"/>
    <w:rsid w:val="001A6617"/>
    <w:rsid w:val="001A67DA"/>
    <w:rsid w:val="001A6F07"/>
    <w:rsid w:val="001A7B6D"/>
    <w:rsid w:val="001B19AF"/>
    <w:rsid w:val="001B520F"/>
    <w:rsid w:val="001B55B3"/>
    <w:rsid w:val="001B59F2"/>
    <w:rsid w:val="001B69BC"/>
    <w:rsid w:val="001B7187"/>
    <w:rsid w:val="001B7935"/>
    <w:rsid w:val="001C0155"/>
    <w:rsid w:val="001C06FB"/>
    <w:rsid w:val="001C0B05"/>
    <w:rsid w:val="001C2284"/>
    <w:rsid w:val="001C2BFF"/>
    <w:rsid w:val="001C40F5"/>
    <w:rsid w:val="001C4C5A"/>
    <w:rsid w:val="001C4D2D"/>
    <w:rsid w:val="001C540A"/>
    <w:rsid w:val="001C6DE4"/>
    <w:rsid w:val="001C6EA7"/>
    <w:rsid w:val="001C7672"/>
    <w:rsid w:val="001D0007"/>
    <w:rsid w:val="001D0316"/>
    <w:rsid w:val="001D1248"/>
    <w:rsid w:val="001D15E6"/>
    <w:rsid w:val="001D262A"/>
    <w:rsid w:val="001D2AEB"/>
    <w:rsid w:val="001D412D"/>
    <w:rsid w:val="001D5D81"/>
    <w:rsid w:val="001D70F2"/>
    <w:rsid w:val="001D75E8"/>
    <w:rsid w:val="001D7C64"/>
    <w:rsid w:val="001E03B3"/>
    <w:rsid w:val="001E05F0"/>
    <w:rsid w:val="001E175A"/>
    <w:rsid w:val="001E1D97"/>
    <w:rsid w:val="001E42BB"/>
    <w:rsid w:val="001E5958"/>
    <w:rsid w:val="001E685B"/>
    <w:rsid w:val="001E6E06"/>
    <w:rsid w:val="001F085D"/>
    <w:rsid w:val="001F25D8"/>
    <w:rsid w:val="001F36FE"/>
    <w:rsid w:val="001F3CD2"/>
    <w:rsid w:val="001F4EAF"/>
    <w:rsid w:val="001F55B9"/>
    <w:rsid w:val="001F7CF2"/>
    <w:rsid w:val="0020009F"/>
    <w:rsid w:val="00200ACC"/>
    <w:rsid w:val="00200D66"/>
    <w:rsid w:val="0020137C"/>
    <w:rsid w:val="00201C5B"/>
    <w:rsid w:val="00204F71"/>
    <w:rsid w:val="002062EA"/>
    <w:rsid w:val="00206FE4"/>
    <w:rsid w:val="0020732B"/>
    <w:rsid w:val="00207FDD"/>
    <w:rsid w:val="002107CA"/>
    <w:rsid w:val="00210AF5"/>
    <w:rsid w:val="0021121F"/>
    <w:rsid w:val="00214D4C"/>
    <w:rsid w:val="0021567E"/>
    <w:rsid w:val="00216BA1"/>
    <w:rsid w:val="00220DA2"/>
    <w:rsid w:val="00225ED2"/>
    <w:rsid w:val="00227E97"/>
    <w:rsid w:val="0023004B"/>
    <w:rsid w:val="00231651"/>
    <w:rsid w:val="00232765"/>
    <w:rsid w:val="0023291B"/>
    <w:rsid w:val="00233A0F"/>
    <w:rsid w:val="00234358"/>
    <w:rsid w:val="00235C64"/>
    <w:rsid w:val="002369C4"/>
    <w:rsid w:val="0023782A"/>
    <w:rsid w:val="00237BDE"/>
    <w:rsid w:val="002400DF"/>
    <w:rsid w:val="00240179"/>
    <w:rsid w:val="00242A51"/>
    <w:rsid w:val="0024428D"/>
    <w:rsid w:val="00244E4A"/>
    <w:rsid w:val="00245F6C"/>
    <w:rsid w:val="0024782C"/>
    <w:rsid w:val="002502AA"/>
    <w:rsid w:val="00250367"/>
    <w:rsid w:val="0025043D"/>
    <w:rsid w:val="00251FC4"/>
    <w:rsid w:val="00253076"/>
    <w:rsid w:val="00255EFB"/>
    <w:rsid w:val="00260FAD"/>
    <w:rsid w:val="00261249"/>
    <w:rsid w:val="00262FC0"/>
    <w:rsid w:val="00263953"/>
    <w:rsid w:val="00264470"/>
    <w:rsid w:val="00264C52"/>
    <w:rsid w:val="0026533E"/>
    <w:rsid w:val="00267809"/>
    <w:rsid w:val="00272B9E"/>
    <w:rsid w:val="0027328E"/>
    <w:rsid w:val="002739CC"/>
    <w:rsid w:val="00274D38"/>
    <w:rsid w:val="00275D15"/>
    <w:rsid w:val="002771AB"/>
    <w:rsid w:val="00277892"/>
    <w:rsid w:val="002802C5"/>
    <w:rsid w:val="00281A8B"/>
    <w:rsid w:val="0028226E"/>
    <w:rsid w:val="00282F73"/>
    <w:rsid w:val="0028337F"/>
    <w:rsid w:val="00283940"/>
    <w:rsid w:val="00283D9E"/>
    <w:rsid w:val="00284C85"/>
    <w:rsid w:val="0028532D"/>
    <w:rsid w:val="002902F8"/>
    <w:rsid w:val="00290E8C"/>
    <w:rsid w:val="00292C6C"/>
    <w:rsid w:val="00292EC7"/>
    <w:rsid w:val="002935F6"/>
    <w:rsid w:val="002937DF"/>
    <w:rsid w:val="0029518D"/>
    <w:rsid w:val="00295F6F"/>
    <w:rsid w:val="00295FCA"/>
    <w:rsid w:val="00296448"/>
    <w:rsid w:val="00296BDA"/>
    <w:rsid w:val="00296C32"/>
    <w:rsid w:val="00297B40"/>
    <w:rsid w:val="002A0C1E"/>
    <w:rsid w:val="002A1B27"/>
    <w:rsid w:val="002A249D"/>
    <w:rsid w:val="002A3F88"/>
    <w:rsid w:val="002A5D6F"/>
    <w:rsid w:val="002A5DE3"/>
    <w:rsid w:val="002A6324"/>
    <w:rsid w:val="002A7717"/>
    <w:rsid w:val="002A7963"/>
    <w:rsid w:val="002A7C22"/>
    <w:rsid w:val="002B0D95"/>
    <w:rsid w:val="002B108E"/>
    <w:rsid w:val="002B1F99"/>
    <w:rsid w:val="002B4F0E"/>
    <w:rsid w:val="002B50F4"/>
    <w:rsid w:val="002B58F6"/>
    <w:rsid w:val="002B5F17"/>
    <w:rsid w:val="002B647B"/>
    <w:rsid w:val="002B66DB"/>
    <w:rsid w:val="002B7A4B"/>
    <w:rsid w:val="002B7C14"/>
    <w:rsid w:val="002C054C"/>
    <w:rsid w:val="002C0684"/>
    <w:rsid w:val="002C1000"/>
    <w:rsid w:val="002C171D"/>
    <w:rsid w:val="002C390D"/>
    <w:rsid w:val="002C4039"/>
    <w:rsid w:val="002C4211"/>
    <w:rsid w:val="002C42FD"/>
    <w:rsid w:val="002C4352"/>
    <w:rsid w:val="002C6935"/>
    <w:rsid w:val="002D3DF9"/>
    <w:rsid w:val="002D4967"/>
    <w:rsid w:val="002D5DAC"/>
    <w:rsid w:val="002D60EC"/>
    <w:rsid w:val="002D69F8"/>
    <w:rsid w:val="002D72CB"/>
    <w:rsid w:val="002D75A0"/>
    <w:rsid w:val="002E1F65"/>
    <w:rsid w:val="002E2245"/>
    <w:rsid w:val="002E46C7"/>
    <w:rsid w:val="002E4B16"/>
    <w:rsid w:val="002E4C0B"/>
    <w:rsid w:val="002E5507"/>
    <w:rsid w:val="002E5B47"/>
    <w:rsid w:val="002E797D"/>
    <w:rsid w:val="002E7DAF"/>
    <w:rsid w:val="002F000D"/>
    <w:rsid w:val="002F1866"/>
    <w:rsid w:val="002F2D8E"/>
    <w:rsid w:val="002F2DE8"/>
    <w:rsid w:val="002F4B37"/>
    <w:rsid w:val="002F4BFA"/>
    <w:rsid w:val="002F596C"/>
    <w:rsid w:val="002F652E"/>
    <w:rsid w:val="002F6CDE"/>
    <w:rsid w:val="002F7299"/>
    <w:rsid w:val="002F7800"/>
    <w:rsid w:val="002F7932"/>
    <w:rsid w:val="00302223"/>
    <w:rsid w:val="00302292"/>
    <w:rsid w:val="00302F98"/>
    <w:rsid w:val="00303B7E"/>
    <w:rsid w:val="00305CB5"/>
    <w:rsid w:val="003062DD"/>
    <w:rsid w:val="003065EA"/>
    <w:rsid w:val="003069CA"/>
    <w:rsid w:val="00306FDD"/>
    <w:rsid w:val="003100EF"/>
    <w:rsid w:val="00311AF4"/>
    <w:rsid w:val="003132A5"/>
    <w:rsid w:val="00313DF5"/>
    <w:rsid w:val="00314DEC"/>
    <w:rsid w:val="00314EF6"/>
    <w:rsid w:val="00315537"/>
    <w:rsid w:val="0032073F"/>
    <w:rsid w:val="003209C0"/>
    <w:rsid w:val="003211B7"/>
    <w:rsid w:val="003218A7"/>
    <w:rsid w:val="003221A9"/>
    <w:rsid w:val="003229DC"/>
    <w:rsid w:val="00323C8A"/>
    <w:rsid w:val="00325125"/>
    <w:rsid w:val="0032736D"/>
    <w:rsid w:val="00330120"/>
    <w:rsid w:val="00332DFC"/>
    <w:rsid w:val="00333110"/>
    <w:rsid w:val="0033486F"/>
    <w:rsid w:val="003352CE"/>
    <w:rsid w:val="00335F73"/>
    <w:rsid w:val="003361B8"/>
    <w:rsid w:val="00336593"/>
    <w:rsid w:val="00337176"/>
    <w:rsid w:val="00340EE5"/>
    <w:rsid w:val="00341939"/>
    <w:rsid w:val="00342047"/>
    <w:rsid w:val="00342EF0"/>
    <w:rsid w:val="00343F73"/>
    <w:rsid w:val="00344491"/>
    <w:rsid w:val="00344F8C"/>
    <w:rsid w:val="00345242"/>
    <w:rsid w:val="003479A9"/>
    <w:rsid w:val="00351BE5"/>
    <w:rsid w:val="0035241D"/>
    <w:rsid w:val="003524CC"/>
    <w:rsid w:val="00352C48"/>
    <w:rsid w:val="0035428B"/>
    <w:rsid w:val="00356118"/>
    <w:rsid w:val="003564FA"/>
    <w:rsid w:val="00356F87"/>
    <w:rsid w:val="00357776"/>
    <w:rsid w:val="00360A2C"/>
    <w:rsid w:val="00360F61"/>
    <w:rsid w:val="003622EB"/>
    <w:rsid w:val="00363B56"/>
    <w:rsid w:val="00364E45"/>
    <w:rsid w:val="003667AC"/>
    <w:rsid w:val="00366976"/>
    <w:rsid w:val="003669C7"/>
    <w:rsid w:val="00370CF3"/>
    <w:rsid w:val="00370D8C"/>
    <w:rsid w:val="00371474"/>
    <w:rsid w:val="003726A4"/>
    <w:rsid w:val="00374587"/>
    <w:rsid w:val="003757F7"/>
    <w:rsid w:val="00375FB0"/>
    <w:rsid w:val="003765F8"/>
    <w:rsid w:val="003770D9"/>
    <w:rsid w:val="0038132F"/>
    <w:rsid w:val="003818F3"/>
    <w:rsid w:val="0038262A"/>
    <w:rsid w:val="003841FD"/>
    <w:rsid w:val="003855DF"/>
    <w:rsid w:val="003856A2"/>
    <w:rsid w:val="0039088F"/>
    <w:rsid w:val="00392BDA"/>
    <w:rsid w:val="0039424E"/>
    <w:rsid w:val="00394A8E"/>
    <w:rsid w:val="0039600C"/>
    <w:rsid w:val="00396FAC"/>
    <w:rsid w:val="003971D9"/>
    <w:rsid w:val="00397E2F"/>
    <w:rsid w:val="00397F1F"/>
    <w:rsid w:val="003A077D"/>
    <w:rsid w:val="003A14C3"/>
    <w:rsid w:val="003A2A5E"/>
    <w:rsid w:val="003A4A16"/>
    <w:rsid w:val="003A4EB6"/>
    <w:rsid w:val="003A58D5"/>
    <w:rsid w:val="003A69F3"/>
    <w:rsid w:val="003A6C17"/>
    <w:rsid w:val="003A6CD7"/>
    <w:rsid w:val="003B0007"/>
    <w:rsid w:val="003B0FF3"/>
    <w:rsid w:val="003B1F7F"/>
    <w:rsid w:val="003B24BA"/>
    <w:rsid w:val="003B26EA"/>
    <w:rsid w:val="003B43A8"/>
    <w:rsid w:val="003B4B70"/>
    <w:rsid w:val="003B5536"/>
    <w:rsid w:val="003B6A0C"/>
    <w:rsid w:val="003C04E3"/>
    <w:rsid w:val="003C0631"/>
    <w:rsid w:val="003C06CE"/>
    <w:rsid w:val="003C2158"/>
    <w:rsid w:val="003C3470"/>
    <w:rsid w:val="003C3D7E"/>
    <w:rsid w:val="003C45B6"/>
    <w:rsid w:val="003C49D7"/>
    <w:rsid w:val="003C54A1"/>
    <w:rsid w:val="003C54E0"/>
    <w:rsid w:val="003C630C"/>
    <w:rsid w:val="003C6335"/>
    <w:rsid w:val="003C6BF8"/>
    <w:rsid w:val="003C6CE1"/>
    <w:rsid w:val="003C7403"/>
    <w:rsid w:val="003C7B2C"/>
    <w:rsid w:val="003D2CE3"/>
    <w:rsid w:val="003D2CF5"/>
    <w:rsid w:val="003D3EE3"/>
    <w:rsid w:val="003D4351"/>
    <w:rsid w:val="003D4DE7"/>
    <w:rsid w:val="003D4E66"/>
    <w:rsid w:val="003D6093"/>
    <w:rsid w:val="003D61F2"/>
    <w:rsid w:val="003D73FB"/>
    <w:rsid w:val="003E14CD"/>
    <w:rsid w:val="003E25EC"/>
    <w:rsid w:val="003E37AD"/>
    <w:rsid w:val="003E3A33"/>
    <w:rsid w:val="003E4D29"/>
    <w:rsid w:val="003E5720"/>
    <w:rsid w:val="003E5CE6"/>
    <w:rsid w:val="003E6690"/>
    <w:rsid w:val="003E70B9"/>
    <w:rsid w:val="003F0917"/>
    <w:rsid w:val="003F15DF"/>
    <w:rsid w:val="003F18CF"/>
    <w:rsid w:val="003F2A5F"/>
    <w:rsid w:val="003F30C2"/>
    <w:rsid w:val="003F3928"/>
    <w:rsid w:val="003F3E40"/>
    <w:rsid w:val="003F47AA"/>
    <w:rsid w:val="00401D55"/>
    <w:rsid w:val="00402019"/>
    <w:rsid w:val="004029A9"/>
    <w:rsid w:val="004030F0"/>
    <w:rsid w:val="0040468D"/>
    <w:rsid w:val="0040556D"/>
    <w:rsid w:val="00405D94"/>
    <w:rsid w:val="0040633A"/>
    <w:rsid w:val="004072BE"/>
    <w:rsid w:val="004076CB"/>
    <w:rsid w:val="00411759"/>
    <w:rsid w:val="00411ADD"/>
    <w:rsid w:val="00413E52"/>
    <w:rsid w:val="0041430E"/>
    <w:rsid w:val="00414604"/>
    <w:rsid w:val="00416702"/>
    <w:rsid w:val="00416FBA"/>
    <w:rsid w:val="004179BE"/>
    <w:rsid w:val="00417F50"/>
    <w:rsid w:val="00417FA0"/>
    <w:rsid w:val="00420A38"/>
    <w:rsid w:val="00420A59"/>
    <w:rsid w:val="004221E8"/>
    <w:rsid w:val="004236D3"/>
    <w:rsid w:val="004239AF"/>
    <w:rsid w:val="00423FE0"/>
    <w:rsid w:val="00424A36"/>
    <w:rsid w:val="00424C2A"/>
    <w:rsid w:val="00427888"/>
    <w:rsid w:val="00427CA9"/>
    <w:rsid w:val="0043250F"/>
    <w:rsid w:val="004335C5"/>
    <w:rsid w:val="00434D83"/>
    <w:rsid w:val="00436153"/>
    <w:rsid w:val="00436339"/>
    <w:rsid w:val="0043640A"/>
    <w:rsid w:val="00436669"/>
    <w:rsid w:val="00437CC2"/>
    <w:rsid w:val="00440483"/>
    <w:rsid w:val="00440C45"/>
    <w:rsid w:val="00441610"/>
    <w:rsid w:val="00441B29"/>
    <w:rsid w:val="00441CBD"/>
    <w:rsid w:val="0044294F"/>
    <w:rsid w:val="00442C37"/>
    <w:rsid w:val="00443312"/>
    <w:rsid w:val="004457E4"/>
    <w:rsid w:val="004501D8"/>
    <w:rsid w:val="00450A8C"/>
    <w:rsid w:val="00452CAB"/>
    <w:rsid w:val="00453409"/>
    <w:rsid w:val="00453600"/>
    <w:rsid w:val="00453C4A"/>
    <w:rsid w:val="00453FB4"/>
    <w:rsid w:val="00454200"/>
    <w:rsid w:val="0045590F"/>
    <w:rsid w:val="004562F9"/>
    <w:rsid w:val="0045786E"/>
    <w:rsid w:val="00462248"/>
    <w:rsid w:val="00462A3A"/>
    <w:rsid w:val="0046546B"/>
    <w:rsid w:val="00465CAD"/>
    <w:rsid w:val="0046690B"/>
    <w:rsid w:val="00466C1E"/>
    <w:rsid w:val="0047138F"/>
    <w:rsid w:val="0047299C"/>
    <w:rsid w:val="00472AF7"/>
    <w:rsid w:val="00473579"/>
    <w:rsid w:val="00474C98"/>
    <w:rsid w:val="00474E6B"/>
    <w:rsid w:val="004757AD"/>
    <w:rsid w:val="004760AE"/>
    <w:rsid w:val="0047744C"/>
    <w:rsid w:val="00481352"/>
    <w:rsid w:val="00481DB0"/>
    <w:rsid w:val="00482109"/>
    <w:rsid w:val="004859F8"/>
    <w:rsid w:val="00486063"/>
    <w:rsid w:val="00487C4A"/>
    <w:rsid w:val="00490219"/>
    <w:rsid w:val="004907F1"/>
    <w:rsid w:val="00490CC5"/>
    <w:rsid w:val="00490D7E"/>
    <w:rsid w:val="0049155A"/>
    <w:rsid w:val="004918F7"/>
    <w:rsid w:val="004919BD"/>
    <w:rsid w:val="00491EEA"/>
    <w:rsid w:val="004932DF"/>
    <w:rsid w:val="00493E50"/>
    <w:rsid w:val="004949B7"/>
    <w:rsid w:val="00496057"/>
    <w:rsid w:val="00496CA4"/>
    <w:rsid w:val="00497B73"/>
    <w:rsid w:val="004A1120"/>
    <w:rsid w:val="004A1570"/>
    <w:rsid w:val="004A1B64"/>
    <w:rsid w:val="004A466C"/>
    <w:rsid w:val="004A50E1"/>
    <w:rsid w:val="004A77A7"/>
    <w:rsid w:val="004B0CC4"/>
    <w:rsid w:val="004B1F6D"/>
    <w:rsid w:val="004B3AC8"/>
    <w:rsid w:val="004B3DC4"/>
    <w:rsid w:val="004B3F11"/>
    <w:rsid w:val="004B408D"/>
    <w:rsid w:val="004B4788"/>
    <w:rsid w:val="004B5558"/>
    <w:rsid w:val="004B5C6C"/>
    <w:rsid w:val="004B723D"/>
    <w:rsid w:val="004B7348"/>
    <w:rsid w:val="004C29B1"/>
    <w:rsid w:val="004C2F3C"/>
    <w:rsid w:val="004C5908"/>
    <w:rsid w:val="004C6135"/>
    <w:rsid w:val="004C7361"/>
    <w:rsid w:val="004C768E"/>
    <w:rsid w:val="004D0274"/>
    <w:rsid w:val="004D07E2"/>
    <w:rsid w:val="004D0D8C"/>
    <w:rsid w:val="004D1FC1"/>
    <w:rsid w:val="004D23BF"/>
    <w:rsid w:val="004D27D9"/>
    <w:rsid w:val="004D3D4D"/>
    <w:rsid w:val="004D4391"/>
    <w:rsid w:val="004D55F6"/>
    <w:rsid w:val="004D6D72"/>
    <w:rsid w:val="004E026F"/>
    <w:rsid w:val="004E186D"/>
    <w:rsid w:val="004E2D8E"/>
    <w:rsid w:val="004E4268"/>
    <w:rsid w:val="004E46C2"/>
    <w:rsid w:val="004E5ED1"/>
    <w:rsid w:val="004E7014"/>
    <w:rsid w:val="004E72D4"/>
    <w:rsid w:val="004F037C"/>
    <w:rsid w:val="004F128D"/>
    <w:rsid w:val="004F15FA"/>
    <w:rsid w:val="004F1DD6"/>
    <w:rsid w:val="004F3E29"/>
    <w:rsid w:val="004F4D84"/>
    <w:rsid w:val="004F68A6"/>
    <w:rsid w:val="0050197A"/>
    <w:rsid w:val="00503C85"/>
    <w:rsid w:val="005040FF"/>
    <w:rsid w:val="0050534B"/>
    <w:rsid w:val="00505471"/>
    <w:rsid w:val="0050676A"/>
    <w:rsid w:val="00507B27"/>
    <w:rsid w:val="00507F4D"/>
    <w:rsid w:val="00510670"/>
    <w:rsid w:val="00511210"/>
    <w:rsid w:val="005112F4"/>
    <w:rsid w:val="0051162C"/>
    <w:rsid w:val="00511711"/>
    <w:rsid w:val="0051177F"/>
    <w:rsid w:val="005128CD"/>
    <w:rsid w:val="005128E7"/>
    <w:rsid w:val="00512B3E"/>
    <w:rsid w:val="00513370"/>
    <w:rsid w:val="00513CA9"/>
    <w:rsid w:val="00514D89"/>
    <w:rsid w:val="00514E29"/>
    <w:rsid w:val="0051513C"/>
    <w:rsid w:val="00516A9D"/>
    <w:rsid w:val="00517723"/>
    <w:rsid w:val="005241DF"/>
    <w:rsid w:val="005245AC"/>
    <w:rsid w:val="00524904"/>
    <w:rsid w:val="00524D7F"/>
    <w:rsid w:val="00524FE3"/>
    <w:rsid w:val="00525E7C"/>
    <w:rsid w:val="00525F5B"/>
    <w:rsid w:val="00526DCF"/>
    <w:rsid w:val="00526F5B"/>
    <w:rsid w:val="00527859"/>
    <w:rsid w:val="005311D6"/>
    <w:rsid w:val="005323E5"/>
    <w:rsid w:val="00533813"/>
    <w:rsid w:val="00536E7D"/>
    <w:rsid w:val="005370D1"/>
    <w:rsid w:val="0054065E"/>
    <w:rsid w:val="00541329"/>
    <w:rsid w:val="005414E2"/>
    <w:rsid w:val="00544E90"/>
    <w:rsid w:val="00545C87"/>
    <w:rsid w:val="00546074"/>
    <w:rsid w:val="005468A6"/>
    <w:rsid w:val="0054729A"/>
    <w:rsid w:val="00551EF6"/>
    <w:rsid w:val="0055225B"/>
    <w:rsid w:val="005523F6"/>
    <w:rsid w:val="005528A4"/>
    <w:rsid w:val="00552BD0"/>
    <w:rsid w:val="00554701"/>
    <w:rsid w:val="00554850"/>
    <w:rsid w:val="00555863"/>
    <w:rsid w:val="00556BFE"/>
    <w:rsid w:val="00557605"/>
    <w:rsid w:val="00561310"/>
    <w:rsid w:val="005613A6"/>
    <w:rsid w:val="00561AE6"/>
    <w:rsid w:val="00562AA2"/>
    <w:rsid w:val="00562DC7"/>
    <w:rsid w:val="00563295"/>
    <w:rsid w:val="00563572"/>
    <w:rsid w:val="005637F7"/>
    <w:rsid w:val="00563AEA"/>
    <w:rsid w:val="00565996"/>
    <w:rsid w:val="00566133"/>
    <w:rsid w:val="00567E9E"/>
    <w:rsid w:val="00567FA6"/>
    <w:rsid w:val="0057101A"/>
    <w:rsid w:val="005726FE"/>
    <w:rsid w:val="0057316C"/>
    <w:rsid w:val="0057324E"/>
    <w:rsid w:val="00573848"/>
    <w:rsid w:val="00573F19"/>
    <w:rsid w:val="0057447D"/>
    <w:rsid w:val="00574D9D"/>
    <w:rsid w:val="00574EE8"/>
    <w:rsid w:val="00576FDF"/>
    <w:rsid w:val="005806B1"/>
    <w:rsid w:val="00580723"/>
    <w:rsid w:val="00582D30"/>
    <w:rsid w:val="0058379B"/>
    <w:rsid w:val="005844F3"/>
    <w:rsid w:val="005845C0"/>
    <w:rsid w:val="0058724A"/>
    <w:rsid w:val="005874F2"/>
    <w:rsid w:val="005907AE"/>
    <w:rsid w:val="00590854"/>
    <w:rsid w:val="00591182"/>
    <w:rsid w:val="00591475"/>
    <w:rsid w:val="00591FB8"/>
    <w:rsid w:val="00593804"/>
    <w:rsid w:val="005948A7"/>
    <w:rsid w:val="00595784"/>
    <w:rsid w:val="00595D51"/>
    <w:rsid w:val="00596A75"/>
    <w:rsid w:val="00596C98"/>
    <w:rsid w:val="005971E9"/>
    <w:rsid w:val="00597FBD"/>
    <w:rsid w:val="005A003B"/>
    <w:rsid w:val="005A0B7E"/>
    <w:rsid w:val="005A0C80"/>
    <w:rsid w:val="005A2579"/>
    <w:rsid w:val="005A35CE"/>
    <w:rsid w:val="005A3F01"/>
    <w:rsid w:val="005A404D"/>
    <w:rsid w:val="005A585D"/>
    <w:rsid w:val="005A62E3"/>
    <w:rsid w:val="005A6D1A"/>
    <w:rsid w:val="005A736F"/>
    <w:rsid w:val="005A7661"/>
    <w:rsid w:val="005A7CE7"/>
    <w:rsid w:val="005B0787"/>
    <w:rsid w:val="005B218F"/>
    <w:rsid w:val="005B3615"/>
    <w:rsid w:val="005B42C2"/>
    <w:rsid w:val="005B77E4"/>
    <w:rsid w:val="005C1787"/>
    <w:rsid w:val="005C1DC0"/>
    <w:rsid w:val="005C294F"/>
    <w:rsid w:val="005C468E"/>
    <w:rsid w:val="005C4D63"/>
    <w:rsid w:val="005C6F6F"/>
    <w:rsid w:val="005C7015"/>
    <w:rsid w:val="005C7CE0"/>
    <w:rsid w:val="005C7E5D"/>
    <w:rsid w:val="005D0B31"/>
    <w:rsid w:val="005D10BA"/>
    <w:rsid w:val="005D2F67"/>
    <w:rsid w:val="005D3E4A"/>
    <w:rsid w:val="005D5906"/>
    <w:rsid w:val="005D6B6B"/>
    <w:rsid w:val="005D6BAE"/>
    <w:rsid w:val="005D6C67"/>
    <w:rsid w:val="005E09AB"/>
    <w:rsid w:val="005E34EA"/>
    <w:rsid w:val="005E5317"/>
    <w:rsid w:val="005E5C94"/>
    <w:rsid w:val="005E659D"/>
    <w:rsid w:val="005E7E72"/>
    <w:rsid w:val="005F045E"/>
    <w:rsid w:val="005F1B36"/>
    <w:rsid w:val="005F52E1"/>
    <w:rsid w:val="005F79BD"/>
    <w:rsid w:val="005F7F03"/>
    <w:rsid w:val="00600340"/>
    <w:rsid w:val="00600AD3"/>
    <w:rsid w:val="00600B08"/>
    <w:rsid w:val="0060331A"/>
    <w:rsid w:val="00603C76"/>
    <w:rsid w:val="006048F7"/>
    <w:rsid w:val="0060574B"/>
    <w:rsid w:val="00606B6B"/>
    <w:rsid w:val="0061271B"/>
    <w:rsid w:val="00612AEA"/>
    <w:rsid w:val="00614BEC"/>
    <w:rsid w:val="00616813"/>
    <w:rsid w:val="00616878"/>
    <w:rsid w:val="006178F8"/>
    <w:rsid w:val="0062089F"/>
    <w:rsid w:val="00622571"/>
    <w:rsid w:val="0062486D"/>
    <w:rsid w:val="00624B55"/>
    <w:rsid w:val="00625DE5"/>
    <w:rsid w:val="006302BA"/>
    <w:rsid w:val="00631C5D"/>
    <w:rsid w:val="00631EBE"/>
    <w:rsid w:val="006331FD"/>
    <w:rsid w:val="006358E4"/>
    <w:rsid w:val="00636144"/>
    <w:rsid w:val="00636243"/>
    <w:rsid w:val="0063644C"/>
    <w:rsid w:val="00637B44"/>
    <w:rsid w:val="00642663"/>
    <w:rsid w:val="00643242"/>
    <w:rsid w:val="006458C6"/>
    <w:rsid w:val="00646447"/>
    <w:rsid w:val="00646AAA"/>
    <w:rsid w:val="00646FA0"/>
    <w:rsid w:val="006470FD"/>
    <w:rsid w:val="00650343"/>
    <w:rsid w:val="006510B8"/>
    <w:rsid w:val="00651469"/>
    <w:rsid w:val="00652E21"/>
    <w:rsid w:val="006551CC"/>
    <w:rsid w:val="006557D5"/>
    <w:rsid w:val="00655F7E"/>
    <w:rsid w:val="006565A5"/>
    <w:rsid w:val="00656EF8"/>
    <w:rsid w:val="00657A5D"/>
    <w:rsid w:val="0066000D"/>
    <w:rsid w:val="00660FFE"/>
    <w:rsid w:val="00662C57"/>
    <w:rsid w:val="0066731B"/>
    <w:rsid w:val="0067011A"/>
    <w:rsid w:val="0067019E"/>
    <w:rsid w:val="00671550"/>
    <w:rsid w:val="006725EE"/>
    <w:rsid w:val="00672906"/>
    <w:rsid w:val="00673243"/>
    <w:rsid w:val="00673886"/>
    <w:rsid w:val="00674258"/>
    <w:rsid w:val="006749A9"/>
    <w:rsid w:val="00677FA5"/>
    <w:rsid w:val="0068034A"/>
    <w:rsid w:val="006811D9"/>
    <w:rsid w:val="006822F3"/>
    <w:rsid w:val="0068398F"/>
    <w:rsid w:val="00683B35"/>
    <w:rsid w:val="00683D0D"/>
    <w:rsid w:val="0068469F"/>
    <w:rsid w:val="00685AF1"/>
    <w:rsid w:val="0068641E"/>
    <w:rsid w:val="00687347"/>
    <w:rsid w:val="006909B0"/>
    <w:rsid w:val="00691C34"/>
    <w:rsid w:val="0069214B"/>
    <w:rsid w:val="00692ADB"/>
    <w:rsid w:val="00693C29"/>
    <w:rsid w:val="0069455C"/>
    <w:rsid w:val="00695B8C"/>
    <w:rsid w:val="006960A5"/>
    <w:rsid w:val="006962EB"/>
    <w:rsid w:val="00696768"/>
    <w:rsid w:val="00696901"/>
    <w:rsid w:val="00696DD7"/>
    <w:rsid w:val="00697954"/>
    <w:rsid w:val="00697F16"/>
    <w:rsid w:val="006A0509"/>
    <w:rsid w:val="006A0CD5"/>
    <w:rsid w:val="006A130D"/>
    <w:rsid w:val="006A438B"/>
    <w:rsid w:val="006A4442"/>
    <w:rsid w:val="006A5C10"/>
    <w:rsid w:val="006A5DE3"/>
    <w:rsid w:val="006B03C5"/>
    <w:rsid w:val="006B0EEB"/>
    <w:rsid w:val="006B3B9E"/>
    <w:rsid w:val="006B5298"/>
    <w:rsid w:val="006B5D9D"/>
    <w:rsid w:val="006B761E"/>
    <w:rsid w:val="006B7678"/>
    <w:rsid w:val="006C01C1"/>
    <w:rsid w:val="006C01FE"/>
    <w:rsid w:val="006C31AA"/>
    <w:rsid w:val="006C3F8C"/>
    <w:rsid w:val="006C4485"/>
    <w:rsid w:val="006C4593"/>
    <w:rsid w:val="006C6C1F"/>
    <w:rsid w:val="006C763C"/>
    <w:rsid w:val="006D04C3"/>
    <w:rsid w:val="006D1A47"/>
    <w:rsid w:val="006D25F6"/>
    <w:rsid w:val="006D3551"/>
    <w:rsid w:val="006D3D94"/>
    <w:rsid w:val="006D4931"/>
    <w:rsid w:val="006D5447"/>
    <w:rsid w:val="006D6241"/>
    <w:rsid w:val="006D65A2"/>
    <w:rsid w:val="006D681B"/>
    <w:rsid w:val="006D6CA9"/>
    <w:rsid w:val="006E05E3"/>
    <w:rsid w:val="006E42CE"/>
    <w:rsid w:val="006E4B03"/>
    <w:rsid w:val="006E5150"/>
    <w:rsid w:val="006E6395"/>
    <w:rsid w:val="006E7EC8"/>
    <w:rsid w:val="006F16A7"/>
    <w:rsid w:val="006F1F88"/>
    <w:rsid w:val="006F227E"/>
    <w:rsid w:val="006F2589"/>
    <w:rsid w:val="006F2791"/>
    <w:rsid w:val="006F2AA0"/>
    <w:rsid w:val="006F3494"/>
    <w:rsid w:val="006F454B"/>
    <w:rsid w:val="006F5E66"/>
    <w:rsid w:val="006F66C4"/>
    <w:rsid w:val="006F6CC7"/>
    <w:rsid w:val="0070040D"/>
    <w:rsid w:val="00700EDC"/>
    <w:rsid w:val="00701126"/>
    <w:rsid w:val="00702C88"/>
    <w:rsid w:val="00710BF7"/>
    <w:rsid w:val="007127DC"/>
    <w:rsid w:val="00713910"/>
    <w:rsid w:val="00714814"/>
    <w:rsid w:val="00720D6E"/>
    <w:rsid w:val="00721139"/>
    <w:rsid w:val="007211E3"/>
    <w:rsid w:val="00721241"/>
    <w:rsid w:val="00721607"/>
    <w:rsid w:val="00725C43"/>
    <w:rsid w:val="00727659"/>
    <w:rsid w:val="00727F32"/>
    <w:rsid w:val="007309F9"/>
    <w:rsid w:val="007319B5"/>
    <w:rsid w:val="007319D2"/>
    <w:rsid w:val="00731B7A"/>
    <w:rsid w:val="00731CDD"/>
    <w:rsid w:val="00731FE5"/>
    <w:rsid w:val="007327FC"/>
    <w:rsid w:val="00734276"/>
    <w:rsid w:val="007342AE"/>
    <w:rsid w:val="007344C0"/>
    <w:rsid w:val="00734A0C"/>
    <w:rsid w:val="0073563D"/>
    <w:rsid w:val="007373CB"/>
    <w:rsid w:val="00740919"/>
    <w:rsid w:val="00741060"/>
    <w:rsid w:val="007414B2"/>
    <w:rsid w:val="007429E0"/>
    <w:rsid w:val="00744B0A"/>
    <w:rsid w:val="007464B7"/>
    <w:rsid w:val="00746B93"/>
    <w:rsid w:val="0074721A"/>
    <w:rsid w:val="00747A8B"/>
    <w:rsid w:val="00752B3F"/>
    <w:rsid w:val="00752F72"/>
    <w:rsid w:val="0075320D"/>
    <w:rsid w:val="00753C41"/>
    <w:rsid w:val="007542A9"/>
    <w:rsid w:val="00754602"/>
    <w:rsid w:val="00754E4E"/>
    <w:rsid w:val="00755D12"/>
    <w:rsid w:val="00756832"/>
    <w:rsid w:val="0075735D"/>
    <w:rsid w:val="007613A7"/>
    <w:rsid w:val="00762991"/>
    <w:rsid w:val="00764ACB"/>
    <w:rsid w:val="007650C9"/>
    <w:rsid w:val="00767A64"/>
    <w:rsid w:val="007727AA"/>
    <w:rsid w:val="0077427C"/>
    <w:rsid w:val="0077492C"/>
    <w:rsid w:val="00774FCB"/>
    <w:rsid w:val="0077523C"/>
    <w:rsid w:val="00775C14"/>
    <w:rsid w:val="00776ACD"/>
    <w:rsid w:val="00776CD3"/>
    <w:rsid w:val="00776E03"/>
    <w:rsid w:val="0077709B"/>
    <w:rsid w:val="007815D4"/>
    <w:rsid w:val="0078287D"/>
    <w:rsid w:val="007829FB"/>
    <w:rsid w:val="00782C7A"/>
    <w:rsid w:val="007840BE"/>
    <w:rsid w:val="00785474"/>
    <w:rsid w:val="00785F5A"/>
    <w:rsid w:val="00786A63"/>
    <w:rsid w:val="00790068"/>
    <w:rsid w:val="0079077E"/>
    <w:rsid w:val="00792A72"/>
    <w:rsid w:val="00793BA7"/>
    <w:rsid w:val="00794C9F"/>
    <w:rsid w:val="00795C28"/>
    <w:rsid w:val="00796BBB"/>
    <w:rsid w:val="007A12E5"/>
    <w:rsid w:val="007A2745"/>
    <w:rsid w:val="007A320A"/>
    <w:rsid w:val="007A46BE"/>
    <w:rsid w:val="007A49B3"/>
    <w:rsid w:val="007A63B2"/>
    <w:rsid w:val="007A7720"/>
    <w:rsid w:val="007A7DF0"/>
    <w:rsid w:val="007B1423"/>
    <w:rsid w:val="007B1537"/>
    <w:rsid w:val="007B1ED6"/>
    <w:rsid w:val="007B23C7"/>
    <w:rsid w:val="007B5233"/>
    <w:rsid w:val="007B60ED"/>
    <w:rsid w:val="007C04D7"/>
    <w:rsid w:val="007C1367"/>
    <w:rsid w:val="007C14AC"/>
    <w:rsid w:val="007C1537"/>
    <w:rsid w:val="007C175D"/>
    <w:rsid w:val="007C21A3"/>
    <w:rsid w:val="007C2824"/>
    <w:rsid w:val="007C378E"/>
    <w:rsid w:val="007C44C1"/>
    <w:rsid w:val="007C50B6"/>
    <w:rsid w:val="007C5526"/>
    <w:rsid w:val="007C5DA5"/>
    <w:rsid w:val="007C7B96"/>
    <w:rsid w:val="007D16D2"/>
    <w:rsid w:val="007D20F6"/>
    <w:rsid w:val="007D4C50"/>
    <w:rsid w:val="007D4DEC"/>
    <w:rsid w:val="007D4F27"/>
    <w:rsid w:val="007D5134"/>
    <w:rsid w:val="007D5EDB"/>
    <w:rsid w:val="007D68CC"/>
    <w:rsid w:val="007D7692"/>
    <w:rsid w:val="007E01F1"/>
    <w:rsid w:val="007E1377"/>
    <w:rsid w:val="007E16EF"/>
    <w:rsid w:val="007E3C3D"/>
    <w:rsid w:val="007E4B91"/>
    <w:rsid w:val="007E7FC2"/>
    <w:rsid w:val="007F0700"/>
    <w:rsid w:val="007F122B"/>
    <w:rsid w:val="007F4011"/>
    <w:rsid w:val="007F4A93"/>
    <w:rsid w:val="007F4C23"/>
    <w:rsid w:val="007F4E92"/>
    <w:rsid w:val="007F5E37"/>
    <w:rsid w:val="007F686A"/>
    <w:rsid w:val="007F7429"/>
    <w:rsid w:val="007F760C"/>
    <w:rsid w:val="007F7E6C"/>
    <w:rsid w:val="008004A8"/>
    <w:rsid w:val="00801B48"/>
    <w:rsid w:val="00803037"/>
    <w:rsid w:val="0080329B"/>
    <w:rsid w:val="0080347A"/>
    <w:rsid w:val="008035F5"/>
    <w:rsid w:val="00803BA0"/>
    <w:rsid w:val="00804429"/>
    <w:rsid w:val="008053D5"/>
    <w:rsid w:val="008060F0"/>
    <w:rsid w:val="00806238"/>
    <w:rsid w:val="0080658A"/>
    <w:rsid w:val="00810018"/>
    <w:rsid w:val="00810243"/>
    <w:rsid w:val="00810648"/>
    <w:rsid w:val="00812FD6"/>
    <w:rsid w:val="00813093"/>
    <w:rsid w:val="00814AC3"/>
    <w:rsid w:val="00815CEC"/>
    <w:rsid w:val="008166BF"/>
    <w:rsid w:val="00816C28"/>
    <w:rsid w:val="008176BB"/>
    <w:rsid w:val="008202C0"/>
    <w:rsid w:val="0082081C"/>
    <w:rsid w:val="00821637"/>
    <w:rsid w:val="008216C7"/>
    <w:rsid w:val="0082295A"/>
    <w:rsid w:val="0082448A"/>
    <w:rsid w:val="00824D80"/>
    <w:rsid w:val="00825B56"/>
    <w:rsid w:val="00825E7C"/>
    <w:rsid w:val="00826AB1"/>
    <w:rsid w:val="00827BD3"/>
    <w:rsid w:val="0083053D"/>
    <w:rsid w:val="00830573"/>
    <w:rsid w:val="00830B06"/>
    <w:rsid w:val="00830B75"/>
    <w:rsid w:val="00831815"/>
    <w:rsid w:val="0083272A"/>
    <w:rsid w:val="00833128"/>
    <w:rsid w:val="008348E8"/>
    <w:rsid w:val="008349EF"/>
    <w:rsid w:val="00834F76"/>
    <w:rsid w:val="00835563"/>
    <w:rsid w:val="00835A22"/>
    <w:rsid w:val="00835E40"/>
    <w:rsid w:val="008361F3"/>
    <w:rsid w:val="00836921"/>
    <w:rsid w:val="0083763C"/>
    <w:rsid w:val="008408A9"/>
    <w:rsid w:val="008412A2"/>
    <w:rsid w:val="0084207B"/>
    <w:rsid w:val="008436DB"/>
    <w:rsid w:val="008446EA"/>
    <w:rsid w:val="00846F44"/>
    <w:rsid w:val="00847823"/>
    <w:rsid w:val="00847AC4"/>
    <w:rsid w:val="008508B0"/>
    <w:rsid w:val="008515C8"/>
    <w:rsid w:val="0085457E"/>
    <w:rsid w:val="00855F89"/>
    <w:rsid w:val="0085739D"/>
    <w:rsid w:val="008575AD"/>
    <w:rsid w:val="0086040A"/>
    <w:rsid w:val="00860792"/>
    <w:rsid w:val="00861022"/>
    <w:rsid w:val="008610FA"/>
    <w:rsid w:val="00861C16"/>
    <w:rsid w:val="00862153"/>
    <w:rsid w:val="00863719"/>
    <w:rsid w:val="00863B81"/>
    <w:rsid w:val="00863E25"/>
    <w:rsid w:val="008654DF"/>
    <w:rsid w:val="00866AF8"/>
    <w:rsid w:val="00866DD6"/>
    <w:rsid w:val="00872B06"/>
    <w:rsid w:val="00873459"/>
    <w:rsid w:val="00873466"/>
    <w:rsid w:val="008743C3"/>
    <w:rsid w:val="00874504"/>
    <w:rsid w:val="008771B7"/>
    <w:rsid w:val="00877524"/>
    <w:rsid w:val="008775FF"/>
    <w:rsid w:val="0088023A"/>
    <w:rsid w:val="00880F8A"/>
    <w:rsid w:val="00883A89"/>
    <w:rsid w:val="00884604"/>
    <w:rsid w:val="00885159"/>
    <w:rsid w:val="00886F6A"/>
    <w:rsid w:val="00887790"/>
    <w:rsid w:val="00887795"/>
    <w:rsid w:val="00887C9F"/>
    <w:rsid w:val="00890312"/>
    <w:rsid w:val="008917CC"/>
    <w:rsid w:val="00891C06"/>
    <w:rsid w:val="0089299B"/>
    <w:rsid w:val="00892DE7"/>
    <w:rsid w:val="008931AD"/>
    <w:rsid w:val="0089493F"/>
    <w:rsid w:val="008959D7"/>
    <w:rsid w:val="00895A64"/>
    <w:rsid w:val="008964C5"/>
    <w:rsid w:val="00896A16"/>
    <w:rsid w:val="008A01F0"/>
    <w:rsid w:val="008A023B"/>
    <w:rsid w:val="008A1106"/>
    <w:rsid w:val="008A1699"/>
    <w:rsid w:val="008A1752"/>
    <w:rsid w:val="008A19FE"/>
    <w:rsid w:val="008A2C2F"/>
    <w:rsid w:val="008A30F1"/>
    <w:rsid w:val="008A3772"/>
    <w:rsid w:val="008A3A1B"/>
    <w:rsid w:val="008A3FFC"/>
    <w:rsid w:val="008A485F"/>
    <w:rsid w:val="008A5274"/>
    <w:rsid w:val="008A6275"/>
    <w:rsid w:val="008A79AC"/>
    <w:rsid w:val="008A7B73"/>
    <w:rsid w:val="008B012A"/>
    <w:rsid w:val="008B0AA4"/>
    <w:rsid w:val="008B1586"/>
    <w:rsid w:val="008B2530"/>
    <w:rsid w:val="008B2C4F"/>
    <w:rsid w:val="008B3634"/>
    <w:rsid w:val="008B4814"/>
    <w:rsid w:val="008B576E"/>
    <w:rsid w:val="008B61CD"/>
    <w:rsid w:val="008B6F00"/>
    <w:rsid w:val="008B7D3A"/>
    <w:rsid w:val="008C03F7"/>
    <w:rsid w:val="008C089A"/>
    <w:rsid w:val="008C2A77"/>
    <w:rsid w:val="008C348B"/>
    <w:rsid w:val="008C3A05"/>
    <w:rsid w:val="008C3C70"/>
    <w:rsid w:val="008C4684"/>
    <w:rsid w:val="008C4AD7"/>
    <w:rsid w:val="008C638D"/>
    <w:rsid w:val="008C68A2"/>
    <w:rsid w:val="008C6A6D"/>
    <w:rsid w:val="008D076B"/>
    <w:rsid w:val="008D2168"/>
    <w:rsid w:val="008D3673"/>
    <w:rsid w:val="008D3979"/>
    <w:rsid w:val="008D406F"/>
    <w:rsid w:val="008D75B1"/>
    <w:rsid w:val="008E18F6"/>
    <w:rsid w:val="008E1E93"/>
    <w:rsid w:val="008E57C6"/>
    <w:rsid w:val="008E57CE"/>
    <w:rsid w:val="008E5940"/>
    <w:rsid w:val="008E5A34"/>
    <w:rsid w:val="008E5B7F"/>
    <w:rsid w:val="008E6269"/>
    <w:rsid w:val="008E641C"/>
    <w:rsid w:val="008E6513"/>
    <w:rsid w:val="008E6535"/>
    <w:rsid w:val="008E65ED"/>
    <w:rsid w:val="008E6BF1"/>
    <w:rsid w:val="008E6D35"/>
    <w:rsid w:val="008F0013"/>
    <w:rsid w:val="008F06FA"/>
    <w:rsid w:val="008F0A47"/>
    <w:rsid w:val="008F158F"/>
    <w:rsid w:val="008F4829"/>
    <w:rsid w:val="008F6177"/>
    <w:rsid w:val="008F61DA"/>
    <w:rsid w:val="008F6D89"/>
    <w:rsid w:val="00900C27"/>
    <w:rsid w:val="00901108"/>
    <w:rsid w:val="009049A5"/>
    <w:rsid w:val="00905447"/>
    <w:rsid w:val="00905968"/>
    <w:rsid w:val="0090688F"/>
    <w:rsid w:val="00906FD8"/>
    <w:rsid w:val="00907D6E"/>
    <w:rsid w:val="009103DD"/>
    <w:rsid w:val="00911B9B"/>
    <w:rsid w:val="00911FEE"/>
    <w:rsid w:val="00913F38"/>
    <w:rsid w:val="0091433A"/>
    <w:rsid w:val="00915745"/>
    <w:rsid w:val="00915A94"/>
    <w:rsid w:val="009164C0"/>
    <w:rsid w:val="00916595"/>
    <w:rsid w:val="009165C3"/>
    <w:rsid w:val="0091698D"/>
    <w:rsid w:val="0091734F"/>
    <w:rsid w:val="00917A37"/>
    <w:rsid w:val="00920561"/>
    <w:rsid w:val="00920949"/>
    <w:rsid w:val="00920BA4"/>
    <w:rsid w:val="0092129E"/>
    <w:rsid w:val="00922517"/>
    <w:rsid w:val="00923981"/>
    <w:rsid w:val="00923B5B"/>
    <w:rsid w:val="00925C4F"/>
    <w:rsid w:val="00926A4E"/>
    <w:rsid w:val="00927763"/>
    <w:rsid w:val="00927AB2"/>
    <w:rsid w:val="0093164E"/>
    <w:rsid w:val="0093183C"/>
    <w:rsid w:val="0093204E"/>
    <w:rsid w:val="00932834"/>
    <w:rsid w:val="00933916"/>
    <w:rsid w:val="00933CB8"/>
    <w:rsid w:val="009356EF"/>
    <w:rsid w:val="00935C4B"/>
    <w:rsid w:val="00935CBF"/>
    <w:rsid w:val="009363DB"/>
    <w:rsid w:val="009367C5"/>
    <w:rsid w:val="00937551"/>
    <w:rsid w:val="00937A86"/>
    <w:rsid w:val="0094071D"/>
    <w:rsid w:val="009428A2"/>
    <w:rsid w:val="00943333"/>
    <w:rsid w:val="00943A13"/>
    <w:rsid w:val="00944B0F"/>
    <w:rsid w:val="009455F3"/>
    <w:rsid w:val="00946AA0"/>
    <w:rsid w:val="009501D0"/>
    <w:rsid w:val="00954C22"/>
    <w:rsid w:val="00954CA1"/>
    <w:rsid w:val="009553D8"/>
    <w:rsid w:val="0095614E"/>
    <w:rsid w:val="00957EC4"/>
    <w:rsid w:val="0096126B"/>
    <w:rsid w:val="00961372"/>
    <w:rsid w:val="0096222C"/>
    <w:rsid w:val="00963A81"/>
    <w:rsid w:val="00964D17"/>
    <w:rsid w:val="0096548D"/>
    <w:rsid w:val="009676B9"/>
    <w:rsid w:val="00967D3F"/>
    <w:rsid w:val="009712BD"/>
    <w:rsid w:val="00972B73"/>
    <w:rsid w:val="00972E07"/>
    <w:rsid w:val="00973479"/>
    <w:rsid w:val="00973BC2"/>
    <w:rsid w:val="009743A3"/>
    <w:rsid w:val="009746D8"/>
    <w:rsid w:val="009747B0"/>
    <w:rsid w:val="0097671D"/>
    <w:rsid w:val="00976FE4"/>
    <w:rsid w:val="00980052"/>
    <w:rsid w:val="009801EA"/>
    <w:rsid w:val="00981CF8"/>
    <w:rsid w:val="009826A7"/>
    <w:rsid w:val="00983228"/>
    <w:rsid w:val="0098465F"/>
    <w:rsid w:val="0098515F"/>
    <w:rsid w:val="00992FA1"/>
    <w:rsid w:val="009937EC"/>
    <w:rsid w:val="00993F8C"/>
    <w:rsid w:val="00994E8F"/>
    <w:rsid w:val="00995000"/>
    <w:rsid w:val="009969B2"/>
    <w:rsid w:val="009976F3"/>
    <w:rsid w:val="009A0CAC"/>
    <w:rsid w:val="009A3AB4"/>
    <w:rsid w:val="009A3B16"/>
    <w:rsid w:val="009A488F"/>
    <w:rsid w:val="009A53B8"/>
    <w:rsid w:val="009A656A"/>
    <w:rsid w:val="009A6AF6"/>
    <w:rsid w:val="009A7326"/>
    <w:rsid w:val="009B05F2"/>
    <w:rsid w:val="009B085D"/>
    <w:rsid w:val="009B2147"/>
    <w:rsid w:val="009B23A1"/>
    <w:rsid w:val="009B2CE1"/>
    <w:rsid w:val="009B6740"/>
    <w:rsid w:val="009B7133"/>
    <w:rsid w:val="009B746B"/>
    <w:rsid w:val="009B7618"/>
    <w:rsid w:val="009B7EBF"/>
    <w:rsid w:val="009C045D"/>
    <w:rsid w:val="009C13FB"/>
    <w:rsid w:val="009C2C85"/>
    <w:rsid w:val="009C3064"/>
    <w:rsid w:val="009C4BA3"/>
    <w:rsid w:val="009C6765"/>
    <w:rsid w:val="009C725F"/>
    <w:rsid w:val="009D0321"/>
    <w:rsid w:val="009D17A8"/>
    <w:rsid w:val="009D1D83"/>
    <w:rsid w:val="009D50E7"/>
    <w:rsid w:val="009D696E"/>
    <w:rsid w:val="009D6B7F"/>
    <w:rsid w:val="009D7BCC"/>
    <w:rsid w:val="009E03D5"/>
    <w:rsid w:val="009E04A6"/>
    <w:rsid w:val="009E1BE1"/>
    <w:rsid w:val="009E29AE"/>
    <w:rsid w:val="009E353F"/>
    <w:rsid w:val="009E41A9"/>
    <w:rsid w:val="009E58F4"/>
    <w:rsid w:val="009E6E96"/>
    <w:rsid w:val="009E702C"/>
    <w:rsid w:val="009E7330"/>
    <w:rsid w:val="009F2119"/>
    <w:rsid w:val="009F2E66"/>
    <w:rsid w:val="009F40CC"/>
    <w:rsid w:val="009F4564"/>
    <w:rsid w:val="009F55B9"/>
    <w:rsid w:val="009F5A11"/>
    <w:rsid w:val="009F746F"/>
    <w:rsid w:val="009F7744"/>
    <w:rsid w:val="009F78F1"/>
    <w:rsid w:val="00A004F4"/>
    <w:rsid w:val="00A012BE"/>
    <w:rsid w:val="00A0348F"/>
    <w:rsid w:val="00A041C1"/>
    <w:rsid w:val="00A0741C"/>
    <w:rsid w:val="00A106DA"/>
    <w:rsid w:val="00A11C7D"/>
    <w:rsid w:val="00A11E4D"/>
    <w:rsid w:val="00A1207C"/>
    <w:rsid w:val="00A12339"/>
    <w:rsid w:val="00A13908"/>
    <w:rsid w:val="00A14C89"/>
    <w:rsid w:val="00A15688"/>
    <w:rsid w:val="00A200C4"/>
    <w:rsid w:val="00A203E1"/>
    <w:rsid w:val="00A20877"/>
    <w:rsid w:val="00A20971"/>
    <w:rsid w:val="00A21254"/>
    <w:rsid w:val="00A225AB"/>
    <w:rsid w:val="00A22EE4"/>
    <w:rsid w:val="00A241ED"/>
    <w:rsid w:val="00A24377"/>
    <w:rsid w:val="00A2494E"/>
    <w:rsid w:val="00A25DFA"/>
    <w:rsid w:val="00A263F3"/>
    <w:rsid w:val="00A265CE"/>
    <w:rsid w:val="00A26BBA"/>
    <w:rsid w:val="00A27420"/>
    <w:rsid w:val="00A3023E"/>
    <w:rsid w:val="00A30E8B"/>
    <w:rsid w:val="00A33661"/>
    <w:rsid w:val="00A34F1E"/>
    <w:rsid w:val="00A35FCF"/>
    <w:rsid w:val="00A3753B"/>
    <w:rsid w:val="00A403E3"/>
    <w:rsid w:val="00A41C71"/>
    <w:rsid w:val="00A41D6C"/>
    <w:rsid w:val="00A42E70"/>
    <w:rsid w:val="00A44989"/>
    <w:rsid w:val="00A45801"/>
    <w:rsid w:val="00A4634C"/>
    <w:rsid w:val="00A46547"/>
    <w:rsid w:val="00A50364"/>
    <w:rsid w:val="00A5118B"/>
    <w:rsid w:val="00A51412"/>
    <w:rsid w:val="00A51415"/>
    <w:rsid w:val="00A51570"/>
    <w:rsid w:val="00A52064"/>
    <w:rsid w:val="00A52B0A"/>
    <w:rsid w:val="00A52CD4"/>
    <w:rsid w:val="00A5313E"/>
    <w:rsid w:val="00A5398A"/>
    <w:rsid w:val="00A56A91"/>
    <w:rsid w:val="00A574C7"/>
    <w:rsid w:val="00A602E6"/>
    <w:rsid w:val="00A62390"/>
    <w:rsid w:val="00A634B5"/>
    <w:rsid w:val="00A64263"/>
    <w:rsid w:val="00A65226"/>
    <w:rsid w:val="00A6551D"/>
    <w:rsid w:val="00A65A59"/>
    <w:rsid w:val="00A65E70"/>
    <w:rsid w:val="00A66069"/>
    <w:rsid w:val="00A67E90"/>
    <w:rsid w:val="00A72C41"/>
    <w:rsid w:val="00A74CB8"/>
    <w:rsid w:val="00A7559F"/>
    <w:rsid w:val="00A75CB8"/>
    <w:rsid w:val="00A7630E"/>
    <w:rsid w:val="00A77DF6"/>
    <w:rsid w:val="00A8112E"/>
    <w:rsid w:val="00A81BBA"/>
    <w:rsid w:val="00A8276E"/>
    <w:rsid w:val="00A84D70"/>
    <w:rsid w:val="00A85370"/>
    <w:rsid w:val="00A85B19"/>
    <w:rsid w:val="00A8758C"/>
    <w:rsid w:val="00A92CD9"/>
    <w:rsid w:val="00A950B5"/>
    <w:rsid w:val="00A952AB"/>
    <w:rsid w:val="00A95525"/>
    <w:rsid w:val="00A95643"/>
    <w:rsid w:val="00A9581B"/>
    <w:rsid w:val="00A96479"/>
    <w:rsid w:val="00A96598"/>
    <w:rsid w:val="00A97066"/>
    <w:rsid w:val="00A97B24"/>
    <w:rsid w:val="00AA2AC5"/>
    <w:rsid w:val="00AA35B7"/>
    <w:rsid w:val="00AA4047"/>
    <w:rsid w:val="00AA49E4"/>
    <w:rsid w:val="00AA55A1"/>
    <w:rsid w:val="00AA59DF"/>
    <w:rsid w:val="00AB24C5"/>
    <w:rsid w:val="00AB5754"/>
    <w:rsid w:val="00AB636B"/>
    <w:rsid w:val="00AB6EA8"/>
    <w:rsid w:val="00AB6F05"/>
    <w:rsid w:val="00AC097F"/>
    <w:rsid w:val="00AC1421"/>
    <w:rsid w:val="00AC2A03"/>
    <w:rsid w:val="00AC492B"/>
    <w:rsid w:val="00AC68A6"/>
    <w:rsid w:val="00AC6A60"/>
    <w:rsid w:val="00AC7161"/>
    <w:rsid w:val="00AC7FC2"/>
    <w:rsid w:val="00AD0AF9"/>
    <w:rsid w:val="00AD0FD6"/>
    <w:rsid w:val="00AD3CA0"/>
    <w:rsid w:val="00AD5E95"/>
    <w:rsid w:val="00AD6B9C"/>
    <w:rsid w:val="00AD7C8A"/>
    <w:rsid w:val="00AE0286"/>
    <w:rsid w:val="00AE0FEB"/>
    <w:rsid w:val="00AE1027"/>
    <w:rsid w:val="00AE2D23"/>
    <w:rsid w:val="00AE36B1"/>
    <w:rsid w:val="00AE450C"/>
    <w:rsid w:val="00AE48AA"/>
    <w:rsid w:val="00AE4C6F"/>
    <w:rsid w:val="00AE5B78"/>
    <w:rsid w:val="00AE643E"/>
    <w:rsid w:val="00AE6757"/>
    <w:rsid w:val="00AE75C6"/>
    <w:rsid w:val="00AE77AE"/>
    <w:rsid w:val="00AF0240"/>
    <w:rsid w:val="00AF0914"/>
    <w:rsid w:val="00AF1AD3"/>
    <w:rsid w:val="00AF2F48"/>
    <w:rsid w:val="00AF3ED3"/>
    <w:rsid w:val="00AF424F"/>
    <w:rsid w:val="00AF4B3F"/>
    <w:rsid w:val="00AF531E"/>
    <w:rsid w:val="00AF5681"/>
    <w:rsid w:val="00AF7292"/>
    <w:rsid w:val="00B001BC"/>
    <w:rsid w:val="00B00DED"/>
    <w:rsid w:val="00B016AB"/>
    <w:rsid w:val="00B03277"/>
    <w:rsid w:val="00B03F70"/>
    <w:rsid w:val="00B04AC6"/>
    <w:rsid w:val="00B055B9"/>
    <w:rsid w:val="00B11352"/>
    <w:rsid w:val="00B11DC2"/>
    <w:rsid w:val="00B12044"/>
    <w:rsid w:val="00B12983"/>
    <w:rsid w:val="00B12BD3"/>
    <w:rsid w:val="00B14B55"/>
    <w:rsid w:val="00B151A7"/>
    <w:rsid w:val="00B15BAE"/>
    <w:rsid w:val="00B16B1B"/>
    <w:rsid w:val="00B16C74"/>
    <w:rsid w:val="00B16EC0"/>
    <w:rsid w:val="00B2020F"/>
    <w:rsid w:val="00B2123E"/>
    <w:rsid w:val="00B219D3"/>
    <w:rsid w:val="00B231A2"/>
    <w:rsid w:val="00B23918"/>
    <w:rsid w:val="00B2480D"/>
    <w:rsid w:val="00B2530C"/>
    <w:rsid w:val="00B26064"/>
    <w:rsid w:val="00B30229"/>
    <w:rsid w:val="00B3110C"/>
    <w:rsid w:val="00B329D6"/>
    <w:rsid w:val="00B3372D"/>
    <w:rsid w:val="00B35170"/>
    <w:rsid w:val="00B37073"/>
    <w:rsid w:val="00B40E06"/>
    <w:rsid w:val="00B40EF8"/>
    <w:rsid w:val="00B41538"/>
    <w:rsid w:val="00B41BB5"/>
    <w:rsid w:val="00B42558"/>
    <w:rsid w:val="00B43196"/>
    <w:rsid w:val="00B438ED"/>
    <w:rsid w:val="00B43C06"/>
    <w:rsid w:val="00B45743"/>
    <w:rsid w:val="00B464AA"/>
    <w:rsid w:val="00B46A18"/>
    <w:rsid w:val="00B46EA6"/>
    <w:rsid w:val="00B478C1"/>
    <w:rsid w:val="00B4792F"/>
    <w:rsid w:val="00B5622B"/>
    <w:rsid w:val="00B57761"/>
    <w:rsid w:val="00B605A3"/>
    <w:rsid w:val="00B6078A"/>
    <w:rsid w:val="00B60F55"/>
    <w:rsid w:val="00B64974"/>
    <w:rsid w:val="00B64F60"/>
    <w:rsid w:val="00B6607A"/>
    <w:rsid w:val="00B6635B"/>
    <w:rsid w:val="00B772AB"/>
    <w:rsid w:val="00B81DF6"/>
    <w:rsid w:val="00B82655"/>
    <w:rsid w:val="00B82F39"/>
    <w:rsid w:val="00B83B73"/>
    <w:rsid w:val="00B84F64"/>
    <w:rsid w:val="00B864D6"/>
    <w:rsid w:val="00B86C6D"/>
    <w:rsid w:val="00B86EF0"/>
    <w:rsid w:val="00B87270"/>
    <w:rsid w:val="00B87396"/>
    <w:rsid w:val="00B87787"/>
    <w:rsid w:val="00B9034E"/>
    <w:rsid w:val="00B9087E"/>
    <w:rsid w:val="00B91360"/>
    <w:rsid w:val="00B922C0"/>
    <w:rsid w:val="00B941F3"/>
    <w:rsid w:val="00B94B05"/>
    <w:rsid w:val="00B94E69"/>
    <w:rsid w:val="00B95111"/>
    <w:rsid w:val="00B95797"/>
    <w:rsid w:val="00B95A01"/>
    <w:rsid w:val="00B964F0"/>
    <w:rsid w:val="00B97C6B"/>
    <w:rsid w:val="00BA0C76"/>
    <w:rsid w:val="00BA150F"/>
    <w:rsid w:val="00BA1D72"/>
    <w:rsid w:val="00BA4FB2"/>
    <w:rsid w:val="00BA5548"/>
    <w:rsid w:val="00BA668A"/>
    <w:rsid w:val="00BA7D8E"/>
    <w:rsid w:val="00BB0362"/>
    <w:rsid w:val="00BB0525"/>
    <w:rsid w:val="00BB0930"/>
    <w:rsid w:val="00BB0D72"/>
    <w:rsid w:val="00BB1F76"/>
    <w:rsid w:val="00BB2BC5"/>
    <w:rsid w:val="00BB2D18"/>
    <w:rsid w:val="00BB7A4B"/>
    <w:rsid w:val="00BC0B2F"/>
    <w:rsid w:val="00BC1530"/>
    <w:rsid w:val="00BC1C2F"/>
    <w:rsid w:val="00BC25BC"/>
    <w:rsid w:val="00BC2676"/>
    <w:rsid w:val="00BC2A73"/>
    <w:rsid w:val="00BC3130"/>
    <w:rsid w:val="00BC3394"/>
    <w:rsid w:val="00BC4D31"/>
    <w:rsid w:val="00BC7ACE"/>
    <w:rsid w:val="00BC7C8D"/>
    <w:rsid w:val="00BD2A5A"/>
    <w:rsid w:val="00BD2D1F"/>
    <w:rsid w:val="00BD2D9A"/>
    <w:rsid w:val="00BD50C3"/>
    <w:rsid w:val="00BD6240"/>
    <w:rsid w:val="00BD63B2"/>
    <w:rsid w:val="00BD6927"/>
    <w:rsid w:val="00BD6A6F"/>
    <w:rsid w:val="00BD74A7"/>
    <w:rsid w:val="00BE01FA"/>
    <w:rsid w:val="00BE0F38"/>
    <w:rsid w:val="00BE1F8A"/>
    <w:rsid w:val="00BE255F"/>
    <w:rsid w:val="00BE3AC7"/>
    <w:rsid w:val="00BE4B9F"/>
    <w:rsid w:val="00BE5B3E"/>
    <w:rsid w:val="00BE6456"/>
    <w:rsid w:val="00BE683A"/>
    <w:rsid w:val="00BE7734"/>
    <w:rsid w:val="00BF01C9"/>
    <w:rsid w:val="00BF03C2"/>
    <w:rsid w:val="00BF091D"/>
    <w:rsid w:val="00BF0C01"/>
    <w:rsid w:val="00BF222F"/>
    <w:rsid w:val="00BF2493"/>
    <w:rsid w:val="00BF2631"/>
    <w:rsid w:val="00BF2956"/>
    <w:rsid w:val="00BF2BD9"/>
    <w:rsid w:val="00BF4B9D"/>
    <w:rsid w:val="00BF7B0F"/>
    <w:rsid w:val="00BF7B20"/>
    <w:rsid w:val="00C00A43"/>
    <w:rsid w:val="00C011CD"/>
    <w:rsid w:val="00C01811"/>
    <w:rsid w:val="00C019C1"/>
    <w:rsid w:val="00C046DB"/>
    <w:rsid w:val="00C05367"/>
    <w:rsid w:val="00C06883"/>
    <w:rsid w:val="00C06B70"/>
    <w:rsid w:val="00C1231C"/>
    <w:rsid w:val="00C1331A"/>
    <w:rsid w:val="00C149AB"/>
    <w:rsid w:val="00C14D26"/>
    <w:rsid w:val="00C1554E"/>
    <w:rsid w:val="00C156A0"/>
    <w:rsid w:val="00C15B92"/>
    <w:rsid w:val="00C15C5F"/>
    <w:rsid w:val="00C16214"/>
    <w:rsid w:val="00C20591"/>
    <w:rsid w:val="00C21B01"/>
    <w:rsid w:val="00C27677"/>
    <w:rsid w:val="00C27B2F"/>
    <w:rsid w:val="00C32F42"/>
    <w:rsid w:val="00C33A13"/>
    <w:rsid w:val="00C33E34"/>
    <w:rsid w:val="00C34DEA"/>
    <w:rsid w:val="00C375EE"/>
    <w:rsid w:val="00C40974"/>
    <w:rsid w:val="00C423A4"/>
    <w:rsid w:val="00C425C9"/>
    <w:rsid w:val="00C426D8"/>
    <w:rsid w:val="00C427EA"/>
    <w:rsid w:val="00C4338F"/>
    <w:rsid w:val="00C448B6"/>
    <w:rsid w:val="00C47388"/>
    <w:rsid w:val="00C5078A"/>
    <w:rsid w:val="00C52A29"/>
    <w:rsid w:val="00C54C19"/>
    <w:rsid w:val="00C55270"/>
    <w:rsid w:val="00C558DD"/>
    <w:rsid w:val="00C55E08"/>
    <w:rsid w:val="00C56AC7"/>
    <w:rsid w:val="00C56F83"/>
    <w:rsid w:val="00C5723B"/>
    <w:rsid w:val="00C57A51"/>
    <w:rsid w:val="00C61536"/>
    <w:rsid w:val="00C64836"/>
    <w:rsid w:val="00C6534C"/>
    <w:rsid w:val="00C65B66"/>
    <w:rsid w:val="00C65CB6"/>
    <w:rsid w:val="00C66A16"/>
    <w:rsid w:val="00C67096"/>
    <w:rsid w:val="00C6714C"/>
    <w:rsid w:val="00C702D6"/>
    <w:rsid w:val="00C711AF"/>
    <w:rsid w:val="00C71439"/>
    <w:rsid w:val="00C71BBB"/>
    <w:rsid w:val="00C7217C"/>
    <w:rsid w:val="00C7316A"/>
    <w:rsid w:val="00C74D33"/>
    <w:rsid w:val="00C74DD9"/>
    <w:rsid w:val="00C75D32"/>
    <w:rsid w:val="00C77BD2"/>
    <w:rsid w:val="00C801B3"/>
    <w:rsid w:val="00C82A0D"/>
    <w:rsid w:val="00C82EC4"/>
    <w:rsid w:val="00C835DC"/>
    <w:rsid w:val="00C83D22"/>
    <w:rsid w:val="00C84321"/>
    <w:rsid w:val="00C85A29"/>
    <w:rsid w:val="00C86BBC"/>
    <w:rsid w:val="00C8700E"/>
    <w:rsid w:val="00C87A0D"/>
    <w:rsid w:val="00C91028"/>
    <w:rsid w:val="00C911FD"/>
    <w:rsid w:val="00C9159A"/>
    <w:rsid w:val="00C9168E"/>
    <w:rsid w:val="00C91822"/>
    <w:rsid w:val="00C91F47"/>
    <w:rsid w:val="00C942EB"/>
    <w:rsid w:val="00C94A3C"/>
    <w:rsid w:val="00C954DB"/>
    <w:rsid w:val="00C96456"/>
    <w:rsid w:val="00CA0D45"/>
    <w:rsid w:val="00CA1154"/>
    <w:rsid w:val="00CA2AF7"/>
    <w:rsid w:val="00CA3D21"/>
    <w:rsid w:val="00CA6649"/>
    <w:rsid w:val="00CA69FA"/>
    <w:rsid w:val="00CA6A5F"/>
    <w:rsid w:val="00CA757C"/>
    <w:rsid w:val="00CB181A"/>
    <w:rsid w:val="00CB1BB7"/>
    <w:rsid w:val="00CB21F3"/>
    <w:rsid w:val="00CB4350"/>
    <w:rsid w:val="00CB4543"/>
    <w:rsid w:val="00CB52BE"/>
    <w:rsid w:val="00CB54BF"/>
    <w:rsid w:val="00CB691E"/>
    <w:rsid w:val="00CB6985"/>
    <w:rsid w:val="00CB71F5"/>
    <w:rsid w:val="00CB75AA"/>
    <w:rsid w:val="00CC00FC"/>
    <w:rsid w:val="00CC13C2"/>
    <w:rsid w:val="00CC1835"/>
    <w:rsid w:val="00CC60BA"/>
    <w:rsid w:val="00CC64A6"/>
    <w:rsid w:val="00CC7A9A"/>
    <w:rsid w:val="00CD1205"/>
    <w:rsid w:val="00CD187C"/>
    <w:rsid w:val="00CD20C8"/>
    <w:rsid w:val="00CD212A"/>
    <w:rsid w:val="00CD4BE3"/>
    <w:rsid w:val="00CD5041"/>
    <w:rsid w:val="00CD649A"/>
    <w:rsid w:val="00CD6C01"/>
    <w:rsid w:val="00CD6D2E"/>
    <w:rsid w:val="00CD6D69"/>
    <w:rsid w:val="00CD7964"/>
    <w:rsid w:val="00CE0B11"/>
    <w:rsid w:val="00CE152C"/>
    <w:rsid w:val="00CE2099"/>
    <w:rsid w:val="00CE248D"/>
    <w:rsid w:val="00CE2EE2"/>
    <w:rsid w:val="00CE3424"/>
    <w:rsid w:val="00CE3B16"/>
    <w:rsid w:val="00CE4491"/>
    <w:rsid w:val="00CE4B3D"/>
    <w:rsid w:val="00CF1C87"/>
    <w:rsid w:val="00CF2184"/>
    <w:rsid w:val="00CF23E2"/>
    <w:rsid w:val="00CF2507"/>
    <w:rsid w:val="00CF5A27"/>
    <w:rsid w:val="00CF6ADE"/>
    <w:rsid w:val="00CF6B4A"/>
    <w:rsid w:val="00CF7A7B"/>
    <w:rsid w:val="00D006FD"/>
    <w:rsid w:val="00D00700"/>
    <w:rsid w:val="00D0079D"/>
    <w:rsid w:val="00D013E1"/>
    <w:rsid w:val="00D03342"/>
    <w:rsid w:val="00D048C5"/>
    <w:rsid w:val="00D05A88"/>
    <w:rsid w:val="00D060EB"/>
    <w:rsid w:val="00D06895"/>
    <w:rsid w:val="00D106AA"/>
    <w:rsid w:val="00D10B05"/>
    <w:rsid w:val="00D12E6F"/>
    <w:rsid w:val="00D13822"/>
    <w:rsid w:val="00D13BB0"/>
    <w:rsid w:val="00D142E8"/>
    <w:rsid w:val="00D150F2"/>
    <w:rsid w:val="00D15C4B"/>
    <w:rsid w:val="00D161C7"/>
    <w:rsid w:val="00D17A33"/>
    <w:rsid w:val="00D2198F"/>
    <w:rsid w:val="00D2508E"/>
    <w:rsid w:val="00D25D3D"/>
    <w:rsid w:val="00D27B80"/>
    <w:rsid w:val="00D30273"/>
    <w:rsid w:val="00D308E1"/>
    <w:rsid w:val="00D309D0"/>
    <w:rsid w:val="00D30EA6"/>
    <w:rsid w:val="00D32AA0"/>
    <w:rsid w:val="00D32B00"/>
    <w:rsid w:val="00D32D97"/>
    <w:rsid w:val="00D3324A"/>
    <w:rsid w:val="00D33279"/>
    <w:rsid w:val="00D34380"/>
    <w:rsid w:val="00D348C6"/>
    <w:rsid w:val="00D35879"/>
    <w:rsid w:val="00D35A3A"/>
    <w:rsid w:val="00D35C15"/>
    <w:rsid w:val="00D363D6"/>
    <w:rsid w:val="00D36556"/>
    <w:rsid w:val="00D377D4"/>
    <w:rsid w:val="00D37D4C"/>
    <w:rsid w:val="00D40ADE"/>
    <w:rsid w:val="00D41644"/>
    <w:rsid w:val="00D43C44"/>
    <w:rsid w:val="00D4611B"/>
    <w:rsid w:val="00D50F92"/>
    <w:rsid w:val="00D5124F"/>
    <w:rsid w:val="00D51CDA"/>
    <w:rsid w:val="00D51D82"/>
    <w:rsid w:val="00D527B5"/>
    <w:rsid w:val="00D52890"/>
    <w:rsid w:val="00D53D5A"/>
    <w:rsid w:val="00D54E1E"/>
    <w:rsid w:val="00D5514B"/>
    <w:rsid w:val="00D56276"/>
    <w:rsid w:val="00D57034"/>
    <w:rsid w:val="00D575F3"/>
    <w:rsid w:val="00D61D18"/>
    <w:rsid w:val="00D622EB"/>
    <w:rsid w:val="00D62893"/>
    <w:rsid w:val="00D628B9"/>
    <w:rsid w:val="00D64108"/>
    <w:rsid w:val="00D64841"/>
    <w:rsid w:val="00D64B0A"/>
    <w:rsid w:val="00D661FA"/>
    <w:rsid w:val="00D6623A"/>
    <w:rsid w:val="00D66F73"/>
    <w:rsid w:val="00D706B9"/>
    <w:rsid w:val="00D713ED"/>
    <w:rsid w:val="00D71BDD"/>
    <w:rsid w:val="00D71F3A"/>
    <w:rsid w:val="00D72D8D"/>
    <w:rsid w:val="00D72E8F"/>
    <w:rsid w:val="00D72EB3"/>
    <w:rsid w:val="00D734D0"/>
    <w:rsid w:val="00D735A9"/>
    <w:rsid w:val="00D73F25"/>
    <w:rsid w:val="00D7488A"/>
    <w:rsid w:val="00D75693"/>
    <w:rsid w:val="00D75912"/>
    <w:rsid w:val="00D75B06"/>
    <w:rsid w:val="00D75D0C"/>
    <w:rsid w:val="00D760C5"/>
    <w:rsid w:val="00D76F07"/>
    <w:rsid w:val="00D77551"/>
    <w:rsid w:val="00D80D68"/>
    <w:rsid w:val="00D80E54"/>
    <w:rsid w:val="00D81F8B"/>
    <w:rsid w:val="00D8368A"/>
    <w:rsid w:val="00D84F2D"/>
    <w:rsid w:val="00D85471"/>
    <w:rsid w:val="00D8601D"/>
    <w:rsid w:val="00D861B0"/>
    <w:rsid w:val="00D867E3"/>
    <w:rsid w:val="00D873BB"/>
    <w:rsid w:val="00D90E9D"/>
    <w:rsid w:val="00D91B3B"/>
    <w:rsid w:val="00D91F5F"/>
    <w:rsid w:val="00D92758"/>
    <w:rsid w:val="00D94B58"/>
    <w:rsid w:val="00D94D7E"/>
    <w:rsid w:val="00D9725B"/>
    <w:rsid w:val="00D9771B"/>
    <w:rsid w:val="00DA1350"/>
    <w:rsid w:val="00DA35AB"/>
    <w:rsid w:val="00DA3C5E"/>
    <w:rsid w:val="00DA53D7"/>
    <w:rsid w:val="00DA599C"/>
    <w:rsid w:val="00DA645D"/>
    <w:rsid w:val="00DA648C"/>
    <w:rsid w:val="00DA7176"/>
    <w:rsid w:val="00DB01E7"/>
    <w:rsid w:val="00DB14BD"/>
    <w:rsid w:val="00DB2B63"/>
    <w:rsid w:val="00DB353A"/>
    <w:rsid w:val="00DB500F"/>
    <w:rsid w:val="00DB705A"/>
    <w:rsid w:val="00DB73EF"/>
    <w:rsid w:val="00DC08E1"/>
    <w:rsid w:val="00DC5E37"/>
    <w:rsid w:val="00DC6823"/>
    <w:rsid w:val="00DC7B48"/>
    <w:rsid w:val="00DC7FA5"/>
    <w:rsid w:val="00DD10E2"/>
    <w:rsid w:val="00DD32B8"/>
    <w:rsid w:val="00DD39BA"/>
    <w:rsid w:val="00DD4036"/>
    <w:rsid w:val="00DD446C"/>
    <w:rsid w:val="00DD6112"/>
    <w:rsid w:val="00DE0AE2"/>
    <w:rsid w:val="00DE30AD"/>
    <w:rsid w:val="00DE481C"/>
    <w:rsid w:val="00DE5783"/>
    <w:rsid w:val="00DE66AE"/>
    <w:rsid w:val="00DF0516"/>
    <w:rsid w:val="00DF0E1E"/>
    <w:rsid w:val="00DF3E18"/>
    <w:rsid w:val="00DF4F23"/>
    <w:rsid w:val="00E023AC"/>
    <w:rsid w:val="00E03FF8"/>
    <w:rsid w:val="00E04BA4"/>
    <w:rsid w:val="00E04EA0"/>
    <w:rsid w:val="00E06014"/>
    <w:rsid w:val="00E06355"/>
    <w:rsid w:val="00E1064D"/>
    <w:rsid w:val="00E10B02"/>
    <w:rsid w:val="00E10CBF"/>
    <w:rsid w:val="00E10FAE"/>
    <w:rsid w:val="00E10FD8"/>
    <w:rsid w:val="00E11068"/>
    <w:rsid w:val="00E12BCA"/>
    <w:rsid w:val="00E12DD3"/>
    <w:rsid w:val="00E136F3"/>
    <w:rsid w:val="00E13DF5"/>
    <w:rsid w:val="00E15707"/>
    <w:rsid w:val="00E15C21"/>
    <w:rsid w:val="00E15CFC"/>
    <w:rsid w:val="00E1656E"/>
    <w:rsid w:val="00E179B1"/>
    <w:rsid w:val="00E2038C"/>
    <w:rsid w:val="00E209B0"/>
    <w:rsid w:val="00E219CD"/>
    <w:rsid w:val="00E21CD2"/>
    <w:rsid w:val="00E22062"/>
    <w:rsid w:val="00E22F0F"/>
    <w:rsid w:val="00E24D7C"/>
    <w:rsid w:val="00E2513D"/>
    <w:rsid w:val="00E255A3"/>
    <w:rsid w:val="00E2627F"/>
    <w:rsid w:val="00E27536"/>
    <w:rsid w:val="00E30DE4"/>
    <w:rsid w:val="00E31C94"/>
    <w:rsid w:val="00E325DD"/>
    <w:rsid w:val="00E32D5A"/>
    <w:rsid w:val="00E332B2"/>
    <w:rsid w:val="00E3393A"/>
    <w:rsid w:val="00E34679"/>
    <w:rsid w:val="00E35A5A"/>
    <w:rsid w:val="00E3607F"/>
    <w:rsid w:val="00E361F2"/>
    <w:rsid w:val="00E36F72"/>
    <w:rsid w:val="00E41103"/>
    <w:rsid w:val="00E42660"/>
    <w:rsid w:val="00E431CA"/>
    <w:rsid w:val="00E44969"/>
    <w:rsid w:val="00E4555C"/>
    <w:rsid w:val="00E46833"/>
    <w:rsid w:val="00E46DA6"/>
    <w:rsid w:val="00E477F7"/>
    <w:rsid w:val="00E50DBD"/>
    <w:rsid w:val="00E51CB7"/>
    <w:rsid w:val="00E523D4"/>
    <w:rsid w:val="00E540B2"/>
    <w:rsid w:val="00E549EE"/>
    <w:rsid w:val="00E5546C"/>
    <w:rsid w:val="00E562F0"/>
    <w:rsid w:val="00E56AD4"/>
    <w:rsid w:val="00E56DFF"/>
    <w:rsid w:val="00E56F51"/>
    <w:rsid w:val="00E60474"/>
    <w:rsid w:val="00E61DFB"/>
    <w:rsid w:val="00E622EE"/>
    <w:rsid w:val="00E62C22"/>
    <w:rsid w:val="00E62EE3"/>
    <w:rsid w:val="00E631D0"/>
    <w:rsid w:val="00E63CFF"/>
    <w:rsid w:val="00E64000"/>
    <w:rsid w:val="00E648BD"/>
    <w:rsid w:val="00E679F2"/>
    <w:rsid w:val="00E7138C"/>
    <w:rsid w:val="00E7323A"/>
    <w:rsid w:val="00E734F2"/>
    <w:rsid w:val="00E748D2"/>
    <w:rsid w:val="00E751F4"/>
    <w:rsid w:val="00E752E5"/>
    <w:rsid w:val="00E756BE"/>
    <w:rsid w:val="00E76923"/>
    <w:rsid w:val="00E76D0F"/>
    <w:rsid w:val="00E76D52"/>
    <w:rsid w:val="00E7780E"/>
    <w:rsid w:val="00E77F7D"/>
    <w:rsid w:val="00E808ED"/>
    <w:rsid w:val="00E82762"/>
    <w:rsid w:val="00E83CC4"/>
    <w:rsid w:val="00E84114"/>
    <w:rsid w:val="00E84EDB"/>
    <w:rsid w:val="00E85638"/>
    <w:rsid w:val="00E856CD"/>
    <w:rsid w:val="00E85D19"/>
    <w:rsid w:val="00E862B8"/>
    <w:rsid w:val="00E91776"/>
    <w:rsid w:val="00E91EBC"/>
    <w:rsid w:val="00E92FD1"/>
    <w:rsid w:val="00E93191"/>
    <w:rsid w:val="00E93591"/>
    <w:rsid w:val="00E9565C"/>
    <w:rsid w:val="00E957AD"/>
    <w:rsid w:val="00E95899"/>
    <w:rsid w:val="00E960E2"/>
    <w:rsid w:val="00E973F8"/>
    <w:rsid w:val="00EA0F04"/>
    <w:rsid w:val="00EA1020"/>
    <w:rsid w:val="00EA156A"/>
    <w:rsid w:val="00EA1BA1"/>
    <w:rsid w:val="00EA21E0"/>
    <w:rsid w:val="00EA2C60"/>
    <w:rsid w:val="00EA4554"/>
    <w:rsid w:val="00EA48FB"/>
    <w:rsid w:val="00EA4CFB"/>
    <w:rsid w:val="00EB0541"/>
    <w:rsid w:val="00EB06D0"/>
    <w:rsid w:val="00EB0750"/>
    <w:rsid w:val="00EB1628"/>
    <w:rsid w:val="00EB2CD5"/>
    <w:rsid w:val="00EB39EF"/>
    <w:rsid w:val="00EB3F41"/>
    <w:rsid w:val="00EB4684"/>
    <w:rsid w:val="00EB4A20"/>
    <w:rsid w:val="00EB4C26"/>
    <w:rsid w:val="00EB4C64"/>
    <w:rsid w:val="00EB5259"/>
    <w:rsid w:val="00EB569C"/>
    <w:rsid w:val="00EB5A64"/>
    <w:rsid w:val="00EB5CBA"/>
    <w:rsid w:val="00EB62A3"/>
    <w:rsid w:val="00EB6D67"/>
    <w:rsid w:val="00EB6E68"/>
    <w:rsid w:val="00EB6F6C"/>
    <w:rsid w:val="00EB772F"/>
    <w:rsid w:val="00EB7859"/>
    <w:rsid w:val="00EC1B23"/>
    <w:rsid w:val="00EC2659"/>
    <w:rsid w:val="00EC2834"/>
    <w:rsid w:val="00EC2E70"/>
    <w:rsid w:val="00EC33E9"/>
    <w:rsid w:val="00EC387B"/>
    <w:rsid w:val="00EC3EFE"/>
    <w:rsid w:val="00EC4D84"/>
    <w:rsid w:val="00EC57BE"/>
    <w:rsid w:val="00EC653F"/>
    <w:rsid w:val="00EC666B"/>
    <w:rsid w:val="00EC6FB1"/>
    <w:rsid w:val="00EC7256"/>
    <w:rsid w:val="00EC7954"/>
    <w:rsid w:val="00EC7CCB"/>
    <w:rsid w:val="00EC7F28"/>
    <w:rsid w:val="00ED000F"/>
    <w:rsid w:val="00ED13C7"/>
    <w:rsid w:val="00ED2178"/>
    <w:rsid w:val="00ED4717"/>
    <w:rsid w:val="00ED4CA0"/>
    <w:rsid w:val="00ED7482"/>
    <w:rsid w:val="00EE0B89"/>
    <w:rsid w:val="00EE49EF"/>
    <w:rsid w:val="00EE4A4D"/>
    <w:rsid w:val="00EE639C"/>
    <w:rsid w:val="00EF0491"/>
    <w:rsid w:val="00EF04AF"/>
    <w:rsid w:val="00EF3ABD"/>
    <w:rsid w:val="00EF3F5E"/>
    <w:rsid w:val="00EF4FE4"/>
    <w:rsid w:val="00EF60CC"/>
    <w:rsid w:val="00EF70C8"/>
    <w:rsid w:val="00EF7842"/>
    <w:rsid w:val="00F00271"/>
    <w:rsid w:val="00F011AF"/>
    <w:rsid w:val="00F01920"/>
    <w:rsid w:val="00F047B4"/>
    <w:rsid w:val="00F07299"/>
    <w:rsid w:val="00F100FD"/>
    <w:rsid w:val="00F1031D"/>
    <w:rsid w:val="00F10EE9"/>
    <w:rsid w:val="00F115E6"/>
    <w:rsid w:val="00F130AF"/>
    <w:rsid w:val="00F14300"/>
    <w:rsid w:val="00F14410"/>
    <w:rsid w:val="00F1447F"/>
    <w:rsid w:val="00F15A7F"/>
    <w:rsid w:val="00F16956"/>
    <w:rsid w:val="00F16E48"/>
    <w:rsid w:val="00F20231"/>
    <w:rsid w:val="00F20F8F"/>
    <w:rsid w:val="00F214CA"/>
    <w:rsid w:val="00F2152F"/>
    <w:rsid w:val="00F22F62"/>
    <w:rsid w:val="00F23C3C"/>
    <w:rsid w:val="00F23E87"/>
    <w:rsid w:val="00F242A3"/>
    <w:rsid w:val="00F24841"/>
    <w:rsid w:val="00F25A71"/>
    <w:rsid w:val="00F25E72"/>
    <w:rsid w:val="00F26210"/>
    <w:rsid w:val="00F27634"/>
    <w:rsid w:val="00F3009E"/>
    <w:rsid w:val="00F32BBF"/>
    <w:rsid w:val="00F33AFE"/>
    <w:rsid w:val="00F34B66"/>
    <w:rsid w:val="00F34D65"/>
    <w:rsid w:val="00F36F63"/>
    <w:rsid w:val="00F409DC"/>
    <w:rsid w:val="00F40ED3"/>
    <w:rsid w:val="00F418D1"/>
    <w:rsid w:val="00F41D58"/>
    <w:rsid w:val="00F41F0D"/>
    <w:rsid w:val="00F4251C"/>
    <w:rsid w:val="00F44B6F"/>
    <w:rsid w:val="00F44F93"/>
    <w:rsid w:val="00F4509E"/>
    <w:rsid w:val="00F45624"/>
    <w:rsid w:val="00F45EBD"/>
    <w:rsid w:val="00F46DB4"/>
    <w:rsid w:val="00F47811"/>
    <w:rsid w:val="00F500B1"/>
    <w:rsid w:val="00F508A5"/>
    <w:rsid w:val="00F50E85"/>
    <w:rsid w:val="00F511E9"/>
    <w:rsid w:val="00F52247"/>
    <w:rsid w:val="00F530CC"/>
    <w:rsid w:val="00F53878"/>
    <w:rsid w:val="00F53AFA"/>
    <w:rsid w:val="00F56174"/>
    <w:rsid w:val="00F60D21"/>
    <w:rsid w:val="00F642B3"/>
    <w:rsid w:val="00F64E42"/>
    <w:rsid w:val="00F64FE7"/>
    <w:rsid w:val="00F66555"/>
    <w:rsid w:val="00F668AE"/>
    <w:rsid w:val="00F67DF8"/>
    <w:rsid w:val="00F70361"/>
    <w:rsid w:val="00F70C28"/>
    <w:rsid w:val="00F72B58"/>
    <w:rsid w:val="00F72EC2"/>
    <w:rsid w:val="00F74716"/>
    <w:rsid w:val="00F75014"/>
    <w:rsid w:val="00F75145"/>
    <w:rsid w:val="00F75515"/>
    <w:rsid w:val="00F75C68"/>
    <w:rsid w:val="00F75C7C"/>
    <w:rsid w:val="00F765BF"/>
    <w:rsid w:val="00F769FD"/>
    <w:rsid w:val="00F80340"/>
    <w:rsid w:val="00F81D19"/>
    <w:rsid w:val="00F825D1"/>
    <w:rsid w:val="00F82C2D"/>
    <w:rsid w:val="00F82CA5"/>
    <w:rsid w:val="00F846E7"/>
    <w:rsid w:val="00F84A28"/>
    <w:rsid w:val="00F84CF4"/>
    <w:rsid w:val="00F851C0"/>
    <w:rsid w:val="00F86F38"/>
    <w:rsid w:val="00F90734"/>
    <w:rsid w:val="00F913A4"/>
    <w:rsid w:val="00F9265D"/>
    <w:rsid w:val="00F92BCC"/>
    <w:rsid w:val="00F942D3"/>
    <w:rsid w:val="00F97294"/>
    <w:rsid w:val="00FA1130"/>
    <w:rsid w:val="00FA1A74"/>
    <w:rsid w:val="00FA376D"/>
    <w:rsid w:val="00FA478A"/>
    <w:rsid w:val="00FA5DC0"/>
    <w:rsid w:val="00FA6795"/>
    <w:rsid w:val="00FA7FB9"/>
    <w:rsid w:val="00FB08F2"/>
    <w:rsid w:val="00FB0E4F"/>
    <w:rsid w:val="00FB14D0"/>
    <w:rsid w:val="00FB2991"/>
    <w:rsid w:val="00FB35A0"/>
    <w:rsid w:val="00FB3735"/>
    <w:rsid w:val="00FB7E7A"/>
    <w:rsid w:val="00FC01C5"/>
    <w:rsid w:val="00FC023E"/>
    <w:rsid w:val="00FC1B03"/>
    <w:rsid w:val="00FC1F4E"/>
    <w:rsid w:val="00FC3114"/>
    <w:rsid w:val="00FC397D"/>
    <w:rsid w:val="00FC4D49"/>
    <w:rsid w:val="00FC58A5"/>
    <w:rsid w:val="00FC5EC5"/>
    <w:rsid w:val="00FC728B"/>
    <w:rsid w:val="00FC72B1"/>
    <w:rsid w:val="00FC75C2"/>
    <w:rsid w:val="00FC7FDA"/>
    <w:rsid w:val="00FD297C"/>
    <w:rsid w:val="00FD3050"/>
    <w:rsid w:val="00FD37E2"/>
    <w:rsid w:val="00FD4678"/>
    <w:rsid w:val="00FD5D53"/>
    <w:rsid w:val="00FD6E5B"/>
    <w:rsid w:val="00FE25C8"/>
    <w:rsid w:val="00FE2842"/>
    <w:rsid w:val="00FE31F1"/>
    <w:rsid w:val="00FE5784"/>
    <w:rsid w:val="00FE78FA"/>
    <w:rsid w:val="00FF0077"/>
    <w:rsid w:val="00FF043B"/>
    <w:rsid w:val="00FF0743"/>
    <w:rsid w:val="00FF0964"/>
    <w:rsid w:val="00FF09E5"/>
    <w:rsid w:val="00FF0A95"/>
    <w:rsid w:val="00FF1DB4"/>
    <w:rsid w:val="00FF4A0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F3AC5"/>
  <w15:docId w15:val="{EB7D3493-51FF-460E-9CF4-D745898F3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874504"/>
    <w:rPr>
      <w:rFonts w:ascii="Times New Roman" w:hAnsi="Times New Roman"/>
      <w:sz w:val="24"/>
    </w:rPr>
  </w:style>
  <w:style w:type="paragraph" w:styleId="Nagwek1">
    <w:name w:val="heading 1"/>
    <w:basedOn w:val="Normalny"/>
    <w:next w:val="Normalny"/>
    <w:link w:val="Nagwek1Znak"/>
    <w:uiPriority w:val="9"/>
    <w:qFormat/>
    <w:rsid w:val="00FF0A95"/>
    <w:pPr>
      <w:keepNext/>
      <w:keepLines/>
      <w:spacing w:before="480" w:after="0"/>
      <w:outlineLvl w:val="0"/>
    </w:pPr>
    <w:rPr>
      <w:rFonts w:eastAsiaTheme="majorEastAsia" w:cstheme="majorBidi"/>
      <w:b/>
      <w:bCs/>
      <w:szCs w:val="28"/>
    </w:rPr>
  </w:style>
  <w:style w:type="paragraph" w:styleId="Nagwek2">
    <w:name w:val="heading 2"/>
    <w:basedOn w:val="Normalny"/>
    <w:next w:val="Normalny"/>
    <w:link w:val="Nagwek2Znak"/>
    <w:uiPriority w:val="9"/>
    <w:unhideWhenUsed/>
    <w:qFormat/>
    <w:rsid w:val="00FF0A95"/>
    <w:pPr>
      <w:keepNext/>
      <w:keepLines/>
      <w:spacing w:before="200" w:after="0"/>
      <w:outlineLvl w:val="1"/>
    </w:pPr>
    <w:rPr>
      <w:rFonts w:eastAsiaTheme="majorEastAsia" w:cstheme="majorBidi"/>
      <w:b/>
      <w:bCs/>
      <w:szCs w:val="26"/>
    </w:rPr>
  </w:style>
  <w:style w:type="paragraph" w:styleId="Nagwek3">
    <w:name w:val="heading 3"/>
    <w:basedOn w:val="Normalny"/>
    <w:next w:val="Normalny"/>
    <w:link w:val="Nagwek3Znak"/>
    <w:uiPriority w:val="9"/>
    <w:unhideWhenUsed/>
    <w:qFormat/>
    <w:rsid w:val="004907F1"/>
    <w:pPr>
      <w:keepNext/>
      <w:keepLines/>
      <w:spacing w:before="200" w:after="0"/>
      <w:outlineLvl w:val="2"/>
    </w:pPr>
    <w:rPr>
      <w:rFonts w:eastAsiaTheme="majorEastAsia" w:cstheme="majorBidi"/>
      <w:b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57324E"/>
    <w:pPr>
      <w:autoSpaceDE w:val="0"/>
      <w:autoSpaceDN w:val="0"/>
      <w:adjustRightInd w:val="0"/>
      <w:spacing w:after="0" w:line="240" w:lineRule="auto"/>
    </w:pPr>
    <w:rPr>
      <w:rFonts w:ascii="Wingdings" w:hAnsi="Wingdings" w:cs="Wingdings"/>
      <w:color w:val="000000"/>
      <w:sz w:val="24"/>
      <w:szCs w:val="24"/>
    </w:rPr>
  </w:style>
  <w:style w:type="paragraph" w:styleId="Nagwek">
    <w:name w:val="header"/>
    <w:basedOn w:val="Normalny"/>
    <w:link w:val="NagwekZnak"/>
    <w:uiPriority w:val="99"/>
    <w:unhideWhenUsed/>
    <w:rsid w:val="00154B9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54B93"/>
  </w:style>
  <w:style w:type="paragraph" w:styleId="Stopka">
    <w:name w:val="footer"/>
    <w:basedOn w:val="Normalny"/>
    <w:link w:val="StopkaZnak"/>
    <w:uiPriority w:val="99"/>
    <w:unhideWhenUsed/>
    <w:rsid w:val="00154B9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54B93"/>
  </w:style>
  <w:style w:type="paragraph" w:styleId="Akapitzlist">
    <w:name w:val="List Paragraph"/>
    <w:basedOn w:val="Normalny"/>
    <w:uiPriority w:val="34"/>
    <w:qFormat/>
    <w:rsid w:val="00F2152F"/>
    <w:pPr>
      <w:ind w:left="720"/>
      <w:contextualSpacing/>
    </w:pPr>
  </w:style>
  <w:style w:type="character" w:styleId="Odwoaniedokomentarza">
    <w:name w:val="annotation reference"/>
    <w:basedOn w:val="Domylnaczcionkaakapitu"/>
    <w:uiPriority w:val="99"/>
    <w:semiHidden/>
    <w:unhideWhenUsed/>
    <w:rsid w:val="00C4338F"/>
    <w:rPr>
      <w:sz w:val="16"/>
      <w:szCs w:val="16"/>
    </w:rPr>
  </w:style>
  <w:style w:type="paragraph" w:styleId="Tekstkomentarza">
    <w:name w:val="annotation text"/>
    <w:basedOn w:val="Normalny"/>
    <w:link w:val="TekstkomentarzaZnak"/>
    <w:uiPriority w:val="99"/>
    <w:semiHidden/>
    <w:unhideWhenUsed/>
    <w:rsid w:val="00C4338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C4338F"/>
    <w:rPr>
      <w:sz w:val="20"/>
      <w:szCs w:val="20"/>
    </w:rPr>
  </w:style>
  <w:style w:type="paragraph" w:styleId="Tekstdymka">
    <w:name w:val="Balloon Text"/>
    <w:basedOn w:val="Normalny"/>
    <w:link w:val="TekstdymkaZnak"/>
    <w:uiPriority w:val="99"/>
    <w:semiHidden/>
    <w:unhideWhenUsed/>
    <w:rsid w:val="00C4338F"/>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C4338F"/>
    <w:rPr>
      <w:rFonts w:ascii="Segoe UI" w:hAnsi="Segoe UI" w:cs="Segoe UI"/>
      <w:sz w:val="18"/>
      <w:szCs w:val="18"/>
    </w:rPr>
  </w:style>
  <w:style w:type="paragraph" w:styleId="Tekstprzypisudolnego">
    <w:name w:val="footnote text"/>
    <w:basedOn w:val="Normalny"/>
    <w:link w:val="TekstprzypisudolnegoZnak"/>
    <w:uiPriority w:val="99"/>
    <w:unhideWhenUsed/>
    <w:rsid w:val="00916595"/>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rsid w:val="00916595"/>
    <w:rPr>
      <w:sz w:val="20"/>
      <w:szCs w:val="20"/>
    </w:rPr>
  </w:style>
  <w:style w:type="character" w:styleId="Odwoanieprzypisudolnego">
    <w:name w:val="footnote reference"/>
    <w:basedOn w:val="Domylnaczcionkaakapitu"/>
    <w:uiPriority w:val="99"/>
    <w:semiHidden/>
    <w:unhideWhenUsed/>
    <w:rsid w:val="00916595"/>
    <w:rPr>
      <w:vertAlign w:val="superscript"/>
    </w:rPr>
  </w:style>
  <w:style w:type="character" w:styleId="Hipercze">
    <w:name w:val="Hyperlink"/>
    <w:basedOn w:val="Domylnaczcionkaakapitu"/>
    <w:uiPriority w:val="99"/>
    <w:unhideWhenUsed/>
    <w:rsid w:val="007F4C23"/>
    <w:rPr>
      <w:color w:val="0563C1" w:themeColor="hyperlink"/>
      <w:u w:val="single"/>
    </w:rPr>
  </w:style>
  <w:style w:type="character" w:customStyle="1" w:styleId="Nierozpoznanawzmianka1">
    <w:name w:val="Nierozpoznana wzmianka1"/>
    <w:basedOn w:val="Domylnaczcionkaakapitu"/>
    <w:uiPriority w:val="99"/>
    <w:semiHidden/>
    <w:unhideWhenUsed/>
    <w:rsid w:val="007F4C23"/>
    <w:rPr>
      <w:color w:val="808080"/>
      <w:shd w:val="clear" w:color="auto" w:fill="E6E6E6"/>
    </w:rPr>
  </w:style>
  <w:style w:type="paragraph" w:styleId="Tekstprzypisukocowego">
    <w:name w:val="endnote text"/>
    <w:basedOn w:val="Normalny"/>
    <w:link w:val="TekstprzypisukocowegoZnak"/>
    <w:uiPriority w:val="99"/>
    <w:semiHidden/>
    <w:unhideWhenUsed/>
    <w:rsid w:val="00FE25C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E25C8"/>
    <w:rPr>
      <w:sz w:val="20"/>
      <w:szCs w:val="20"/>
    </w:rPr>
  </w:style>
  <w:style w:type="character" w:styleId="Odwoanieprzypisukocowego">
    <w:name w:val="endnote reference"/>
    <w:basedOn w:val="Domylnaczcionkaakapitu"/>
    <w:uiPriority w:val="99"/>
    <w:semiHidden/>
    <w:unhideWhenUsed/>
    <w:rsid w:val="00FE25C8"/>
    <w:rPr>
      <w:vertAlign w:val="superscript"/>
    </w:rPr>
  </w:style>
  <w:style w:type="paragraph" w:styleId="Listapunktowana">
    <w:name w:val="List Bullet"/>
    <w:basedOn w:val="Normalny"/>
    <w:uiPriority w:val="99"/>
    <w:unhideWhenUsed/>
    <w:rsid w:val="00AB636B"/>
    <w:pPr>
      <w:numPr>
        <w:numId w:val="3"/>
      </w:numPr>
      <w:contextualSpacing/>
    </w:pPr>
  </w:style>
  <w:style w:type="character" w:styleId="UyteHipercze">
    <w:name w:val="FollowedHyperlink"/>
    <w:basedOn w:val="Domylnaczcionkaakapitu"/>
    <w:uiPriority w:val="99"/>
    <w:semiHidden/>
    <w:unhideWhenUsed/>
    <w:rsid w:val="00922517"/>
    <w:rPr>
      <w:color w:val="954F72" w:themeColor="followedHyperlink"/>
      <w:u w:val="single"/>
    </w:rPr>
  </w:style>
  <w:style w:type="paragraph" w:styleId="NormalnyWeb">
    <w:name w:val="Normal (Web)"/>
    <w:basedOn w:val="Normalny"/>
    <w:uiPriority w:val="99"/>
    <w:semiHidden/>
    <w:unhideWhenUsed/>
    <w:rsid w:val="0041430E"/>
    <w:pPr>
      <w:spacing w:before="100" w:beforeAutospacing="1" w:after="100" w:afterAutospacing="1" w:line="240" w:lineRule="auto"/>
    </w:pPr>
    <w:rPr>
      <w:rFonts w:eastAsia="Times New Roman" w:cs="Times New Roman"/>
      <w:szCs w:val="24"/>
      <w:lang w:eastAsia="pl-PL"/>
    </w:rPr>
  </w:style>
  <w:style w:type="character" w:customStyle="1" w:styleId="Nierozpoznanawzmianka2">
    <w:name w:val="Nierozpoznana wzmianka2"/>
    <w:basedOn w:val="Domylnaczcionkaakapitu"/>
    <w:uiPriority w:val="99"/>
    <w:semiHidden/>
    <w:unhideWhenUsed/>
    <w:rsid w:val="00937A86"/>
    <w:rPr>
      <w:color w:val="808080"/>
      <w:shd w:val="clear" w:color="auto" w:fill="E6E6E6"/>
    </w:rPr>
  </w:style>
  <w:style w:type="paragraph" w:styleId="Tematkomentarza">
    <w:name w:val="annotation subject"/>
    <w:basedOn w:val="Tekstkomentarza"/>
    <w:next w:val="Tekstkomentarza"/>
    <w:link w:val="TematkomentarzaZnak"/>
    <w:uiPriority w:val="99"/>
    <w:semiHidden/>
    <w:unhideWhenUsed/>
    <w:rsid w:val="001A67DA"/>
    <w:rPr>
      <w:b/>
      <w:bCs/>
    </w:rPr>
  </w:style>
  <w:style w:type="character" w:customStyle="1" w:styleId="TematkomentarzaZnak">
    <w:name w:val="Temat komentarza Znak"/>
    <w:basedOn w:val="TekstkomentarzaZnak"/>
    <w:link w:val="Tematkomentarza"/>
    <w:uiPriority w:val="99"/>
    <w:semiHidden/>
    <w:rsid w:val="001A67DA"/>
    <w:rPr>
      <w:b/>
      <w:bCs/>
      <w:sz w:val="20"/>
      <w:szCs w:val="20"/>
    </w:rPr>
  </w:style>
  <w:style w:type="paragraph" w:styleId="Poprawka">
    <w:name w:val="Revision"/>
    <w:hidden/>
    <w:uiPriority w:val="99"/>
    <w:semiHidden/>
    <w:rsid w:val="001A67DA"/>
    <w:pPr>
      <w:spacing w:after="0" w:line="240" w:lineRule="auto"/>
    </w:pPr>
  </w:style>
  <w:style w:type="character" w:customStyle="1" w:styleId="Nierozpoznanawzmianka3">
    <w:name w:val="Nierozpoznana wzmianka3"/>
    <w:basedOn w:val="Domylnaczcionkaakapitu"/>
    <w:uiPriority w:val="99"/>
    <w:semiHidden/>
    <w:unhideWhenUsed/>
    <w:rsid w:val="007D68CC"/>
    <w:rPr>
      <w:color w:val="808080"/>
      <w:shd w:val="clear" w:color="auto" w:fill="E6E6E6"/>
    </w:rPr>
  </w:style>
  <w:style w:type="character" w:customStyle="1" w:styleId="Nierozpoznanawzmianka4">
    <w:name w:val="Nierozpoznana wzmianka4"/>
    <w:basedOn w:val="Domylnaczcionkaakapitu"/>
    <w:uiPriority w:val="99"/>
    <w:semiHidden/>
    <w:unhideWhenUsed/>
    <w:rsid w:val="00EA21E0"/>
    <w:rPr>
      <w:color w:val="808080"/>
      <w:shd w:val="clear" w:color="auto" w:fill="E6E6E6"/>
    </w:rPr>
  </w:style>
  <w:style w:type="character" w:customStyle="1" w:styleId="Nagwek1Znak">
    <w:name w:val="Nagłówek 1 Znak"/>
    <w:basedOn w:val="Domylnaczcionkaakapitu"/>
    <w:link w:val="Nagwek1"/>
    <w:uiPriority w:val="9"/>
    <w:rsid w:val="00FF0A95"/>
    <w:rPr>
      <w:rFonts w:ascii="Times New Roman" w:eastAsiaTheme="majorEastAsia" w:hAnsi="Times New Roman" w:cstheme="majorBidi"/>
      <w:b/>
      <w:bCs/>
      <w:sz w:val="24"/>
      <w:szCs w:val="28"/>
    </w:rPr>
  </w:style>
  <w:style w:type="character" w:customStyle="1" w:styleId="Nagwek2Znak">
    <w:name w:val="Nagłówek 2 Znak"/>
    <w:basedOn w:val="Domylnaczcionkaakapitu"/>
    <w:link w:val="Nagwek2"/>
    <w:uiPriority w:val="9"/>
    <w:rsid w:val="00FF0A95"/>
    <w:rPr>
      <w:rFonts w:ascii="Times New Roman" w:eastAsiaTheme="majorEastAsia" w:hAnsi="Times New Roman" w:cstheme="majorBidi"/>
      <w:b/>
      <w:bCs/>
      <w:sz w:val="24"/>
      <w:szCs w:val="26"/>
    </w:rPr>
  </w:style>
  <w:style w:type="character" w:customStyle="1" w:styleId="Nagwek3Znak">
    <w:name w:val="Nagłówek 3 Znak"/>
    <w:basedOn w:val="Domylnaczcionkaakapitu"/>
    <w:link w:val="Nagwek3"/>
    <w:uiPriority w:val="9"/>
    <w:rsid w:val="004907F1"/>
    <w:rPr>
      <w:rFonts w:ascii="Times New Roman" w:eastAsiaTheme="majorEastAsia" w:hAnsi="Times New Roman" w:cstheme="majorBidi"/>
      <w:bCs/>
      <w:sz w:val="24"/>
    </w:rPr>
  </w:style>
  <w:style w:type="paragraph" w:styleId="Nagwekspisutreci">
    <w:name w:val="TOC Heading"/>
    <w:basedOn w:val="Nagwek1"/>
    <w:next w:val="Normalny"/>
    <w:uiPriority w:val="39"/>
    <w:unhideWhenUsed/>
    <w:qFormat/>
    <w:rsid w:val="00D309D0"/>
    <w:pPr>
      <w:spacing w:line="276" w:lineRule="auto"/>
      <w:outlineLvl w:val="9"/>
    </w:pPr>
    <w:rPr>
      <w:rFonts w:asciiTheme="majorHAnsi" w:hAnsiTheme="majorHAnsi"/>
      <w:color w:val="2F5496" w:themeColor="accent1" w:themeShade="BF"/>
      <w:sz w:val="28"/>
      <w:lang w:eastAsia="pl-PL"/>
    </w:rPr>
  </w:style>
  <w:style w:type="paragraph" w:styleId="Spistreci1">
    <w:name w:val="toc 1"/>
    <w:basedOn w:val="Normalny"/>
    <w:next w:val="Normalny"/>
    <w:autoRedefine/>
    <w:uiPriority w:val="39"/>
    <w:unhideWhenUsed/>
    <w:rsid w:val="00D309D0"/>
    <w:pPr>
      <w:tabs>
        <w:tab w:val="right" w:leader="dot" w:pos="9061"/>
      </w:tabs>
      <w:spacing w:after="100" w:line="360" w:lineRule="auto"/>
    </w:pPr>
    <w:rPr>
      <w:rFonts w:cs="Times New Roman"/>
      <w:b/>
      <w:noProof/>
      <w:szCs w:val="24"/>
    </w:rPr>
  </w:style>
  <w:style w:type="paragraph" w:styleId="Spistreci2">
    <w:name w:val="toc 2"/>
    <w:basedOn w:val="Normalny"/>
    <w:next w:val="Normalny"/>
    <w:autoRedefine/>
    <w:uiPriority w:val="39"/>
    <w:unhideWhenUsed/>
    <w:rsid w:val="00D309D0"/>
    <w:pPr>
      <w:spacing w:after="100"/>
      <w:ind w:left="220"/>
    </w:pPr>
  </w:style>
  <w:style w:type="character" w:customStyle="1" w:styleId="Nierozpoznanawzmianka5">
    <w:name w:val="Nierozpoznana wzmianka5"/>
    <w:basedOn w:val="Domylnaczcionkaakapitu"/>
    <w:uiPriority w:val="99"/>
    <w:semiHidden/>
    <w:unhideWhenUsed/>
    <w:rsid w:val="00803037"/>
    <w:rPr>
      <w:color w:val="808080"/>
      <w:shd w:val="clear" w:color="auto" w:fill="E6E6E6"/>
    </w:rPr>
  </w:style>
  <w:style w:type="paragraph" w:styleId="Bezodstpw">
    <w:name w:val="No Spacing"/>
    <w:uiPriority w:val="1"/>
    <w:qFormat/>
    <w:rsid w:val="00741060"/>
    <w:pPr>
      <w:spacing w:after="0" w:line="240" w:lineRule="auto"/>
    </w:pPr>
  </w:style>
  <w:style w:type="paragraph" w:styleId="Spistreci3">
    <w:name w:val="toc 3"/>
    <w:basedOn w:val="Normalny"/>
    <w:next w:val="Normalny"/>
    <w:autoRedefine/>
    <w:uiPriority w:val="39"/>
    <w:unhideWhenUsed/>
    <w:rsid w:val="00D12E6F"/>
    <w:pPr>
      <w:spacing w:after="100"/>
      <w:ind w:left="440"/>
    </w:pPr>
  </w:style>
  <w:style w:type="paragraph" w:styleId="Legenda">
    <w:name w:val="caption"/>
    <w:basedOn w:val="Normalny"/>
    <w:next w:val="Normalny"/>
    <w:uiPriority w:val="35"/>
    <w:unhideWhenUsed/>
    <w:qFormat/>
    <w:rsid w:val="009A3B16"/>
    <w:pPr>
      <w:spacing w:after="200" w:line="240" w:lineRule="auto"/>
    </w:pPr>
    <w:rPr>
      <w:i/>
      <w:iCs/>
      <w:color w:val="44546A" w:themeColor="text2"/>
      <w:sz w:val="18"/>
      <w:szCs w:val="18"/>
    </w:rPr>
  </w:style>
  <w:style w:type="paragraph" w:styleId="Spisilustracji">
    <w:name w:val="table of figures"/>
    <w:basedOn w:val="Normalny"/>
    <w:next w:val="Normalny"/>
    <w:uiPriority w:val="99"/>
    <w:unhideWhenUsed/>
    <w:rsid w:val="009A3B16"/>
    <w:pPr>
      <w:spacing w:after="0"/>
    </w:pPr>
  </w:style>
  <w:style w:type="character" w:customStyle="1" w:styleId="Nierozpoznanawzmianka6">
    <w:name w:val="Nierozpoznana wzmianka6"/>
    <w:basedOn w:val="Domylnaczcionkaakapitu"/>
    <w:uiPriority w:val="99"/>
    <w:semiHidden/>
    <w:unhideWhenUsed/>
    <w:rsid w:val="00C448B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17005">
      <w:bodyDiv w:val="1"/>
      <w:marLeft w:val="0"/>
      <w:marRight w:val="0"/>
      <w:marTop w:val="0"/>
      <w:marBottom w:val="0"/>
      <w:divBdr>
        <w:top w:val="none" w:sz="0" w:space="0" w:color="auto"/>
        <w:left w:val="none" w:sz="0" w:space="0" w:color="auto"/>
        <w:bottom w:val="none" w:sz="0" w:space="0" w:color="auto"/>
        <w:right w:val="none" w:sz="0" w:space="0" w:color="auto"/>
      </w:divBdr>
    </w:div>
    <w:div w:id="255209864">
      <w:bodyDiv w:val="1"/>
      <w:marLeft w:val="0"/>
      <w:marRight w:val="0"/>
      <w:marTop w:val="0"/>
      <w:marBottom w:val="0"/>
      <w:divBdr>
        <w:top w:val="none" w:sz="0" w:space="0" w:color="auto"/>
        <w:left w:val="none" w:sz="0" w:space="0" w:color="auto"/>
        <w:bottom w:val="none" w:sz="0" w:space="0" w:color="auto"/>
        <w:right w:val="none" w:sz="0" w:space="0" w:color="auto"/>
      </w:divBdr>
    </w:div>
    <w:div w:id="336542804">
      <w:bodyDiv w:val="1"/>
      <w:marLeft w:val="0"/>
      <w:marRight w:val="0"/>
      <w:marTop w:val="0"/>
      <w:marBottom w:val="0"/>
      <w:divBdr>
        <w:top w:val="none" w:sz="0" w:space="0" w:color="auto"/>
        <w:left w:val="none" w:sz="0" w:space="0" w:color="auto"/>
        <w:bottom w:val="none" w:sz="0" w:space="0" w:color="auto"/>
        <w:right w:val="none" w:sz="0" w:space="0" w:color="auto"/>
      </w:divBdr>
    </w:div>
    <w:div w:id="566888034">
      <w:bodyDiv w:val="1"/>
      <w:marLeft w:val="0"/>
      <w:marRight w:val="0"/>
      <w:marTop w:val="0"/>
      <w:marBottom w:val="0"/>
      <w:divBdr>
        <w:top w:val="none" w:sz="0" w:space="0" w:color="auto"/>
        <w:left w:val="none" w:sz="0" w:space="0" w:color="auto"/>
        <w:bottom w:val="none" w:sz="0" w:space="0" w:color="auto"/>
        <w:right w:val="none" w:sz="0" w:space="0" w:color="auto"/>
      </w:divBdr>
    </w:div>
    <w:div w:id="621494541">
      <w:bodyDiv w:val="1"/>
      <w:marLeft w:val="0"/>
      <w:marRight w:val="0"/>
      <w:marTop w:val="0"/>
      <w:marBottom w:val="0"/>
      <w:divBdr>
        <w:top w:val="none" w:sz="0" w:space="0" w:color="auto"/>
        <w:left w:val="none" w:sz="0" w:space="0" w:color="auto"/>
        <w:bottom w:val="none" w:sz="0" w:space="0" w:color="auto"/>
        <w:right w:val="none" w:sz="0" w:space="0" w:color="auto"/>
      </w:divBdr>
    </w:div>
    <w:div w:id="645014180">
      <w:bodyDiv w:val="1"/>
      <w:marLeft w:val="0"/>
      <w:marRight w:val="0"/>
      <w:marTop w:val="0"/>
      <w:marBottom w:val="0"/>
      <w:divBdr>
        <w:top w:val="none" w:sz="0" w:space="0" w:color="auto"/>
        <w:left w:val="none" w:sz="0" w:space="0" w:color="auto"/>
        <w:bottom w:val="none" w:sz="0" w:space="0" w:color="auto"/>
        <w:right w:val="none" w:sz="0" w:space="0" w:color="auto"/>
      </w:divBdr>
    </w:div>
    <w:div w:id="823592980">
      <w:bodyDiv w:val="1"/>
      <w:marLeft w:val="0"/>
      <w:marRight w:val="0"/>
      <w:marTop w:val="0"/>
      <w:marBottom w:val="0"/>
      <w:divBdr>
        <w:top w:val="none" w:sz="0" w:space="0" w:color="auto"/>
        <w:left w:val="none" w:sz="0" w:space="0" w:color="auto"/>
        <w:bottom w:val="none" w:sz="0" w:space="0" w:color="auto"/>
        <w:right w:val="none" w:sz="0" w:space="0" w:color="auto"/>
      </w:divBdr>
    </w:div>
    <w:div w:id="1349602070">
      <w:bodyDiv w:val="1"/>
      <w:marLeft w:val="0"/>
      <w:marRight w:val="0"/>
      <w:marTop w:val="0"/>
      <w:marBottom w:val="0"/>
      <w:divBdr>
        <w:top w:val="none" w:sz="0" w:space="0" w:color="auto"/>
        <w:left w:val="none" w:sz="0" w:space="0" w:color="auto"/>
        <w:bottom w:val="none" w:sz="0" w:space="0" w:color="auto"/>
        <w:right w:val="none" w:sz="0" w:space="0" w:color="auto"/>
      </w:divBdr>
    </w:div>
    <w:div w:id="1474370068">
      <w:bodyDiv w:val="1"/>
      <w:marLeft w:val="0"/>
      <w:marRight w:val="0"/>
      <w:marTop w:val="0"/>
      <w:marBottom w:val="0"/>
      <w:divBdr>
        <w:top w:val="none" w:sz="0" w:space="0" w:color="auto"/>
        <w:left w:val="none" w:sz="0" w:space="0" w:color="auto"/>
        <w:bottom w:val="none" w:sz="0" w:space="0" w:color="auto"/>
        <w:right w:val="none" w:sz="0" w:space="0" w:color="auto"/>
      </w:divBdr>
    </w:div>
    <w:div w:id="1511799046">
      <w:bodyDiv w:val="1"/>
      <w:marLeft w:val="0"/>
      <w:marRight w:val="0"/>
      <w:marTop w:val="0"/>
      <w:marBottom w:val="0"/>
      <w:divBdr>
        <w:top w:val="none" w:sz="0" w:space="0" w:color="auto"/>
        <w:left w:val="none" w:sz="0" w:space="0" w:color="auto"/>
        <w:bottom w:val="none" w:sz="0" w:space="0" w:color="auto"/>
        <w:right w:val="none" w:sz="0" w:space="0" w:color="auto"/>
      </w:divBdr>
    </w:div>
    <w:div w:id="1658656135">
      <w:bodyDiv w:val="1"/>
      <w:marLeft w:val="0"/>
      <w:marRight w:val="0"/>
      <w:marTop w:val="0"/>
      <w:marBottom w:val="0"/>
      <w:divBdr>
        <w:top w:val="none" w:sz="0" w:space="0" w:color="auto"/>
        <w:left w:val="none" w:sz="0" w:space="0" w:color="auto"/>
        <w:bottom w:val="none" w:sz="0" w:space="0" w:color="auto"/>
        <w:right w:val="none" w:sz="0" w:space="0" w:color="auto"/>
      </w:divBdr>
    </w:div>
    <w:div w:id="1659308887">
      <w:bodyDiv w:val="1"/>
      <w:marLeft w:val="0"/>
      <w:marRight w:val="0"/>
      <w:marTop w:val="0"/>
      <w:marBottom w:val="0"/>
      <w:divBdr>
        <w:top w:val="none" w:sz="0" w:space="0" w:color="auto"/>
        <w:left w:val="none" w:sz="0" w:space="0" w:color="auto"/>
        <w:bottom w:val="none" w:sz="0" w:space="0" w:color="auto"/>
        <w:right w:val="none" w:sz="0" w:space="0" w:color="auto"/>
      </w:divBdr>
    </w:div>
    <w:div w:id="1772890996">
      <w:bodyDiv w:val="1"/>
      <w:marLeft w:val="0"/>
      <w:marRight w:val="0"/>
      <w:marTop w:val="0"/>
      <w:marBottom w:val="0"/>
      <w:divBdr>
        <w:top w:val="none" w:sz="0" w:space="0" w:color="auto"/>
        <w:left w:val="none" w:sz="0" w:space="0" w:color="auto"/>
        <w:bottom w:val="none" w:sz="0" w:space="0" w:color="auto"/>
        <w:right w:val="none" w:sz="0" w:space="0" w:color="auto"/>
      </w:divBdr>
    </w:div>
    <w:div w:id="1911887951">
      <w:bodyDiv w:val="1"/>
      <w:marLeft w:val="0"/>
      <w:marRight w:val="0"/>
      <w:marTop w:val="0"/>
      <w:marBottom w:val="0"/>
      <w:divBdr>
        <w:top w:val="none" w:sz="0" w:space="0" w:color="auto"/>
        <w:left w:val="none" w:sz="0" w:space="0" w:color="auto"/>
        <w:bottom w:val="none" w:sz="0" w:space="0" w:color="auto"/>
        <w:right w:val="none" w:sz="0" w:space="0" w:color="auto"/>
      </w:divBdr>
    </w:div>
    <w:div w:id="2002653723">
      <w:bodyDiv w:val="1"/>
      <w:marLeft w:val="0"/>
      <w:marRight w:val="0"/>
      <w:marTop w:val="0"/>
      <w:marBottom w:val="0"/>
      <w:divBdr>
        <w:top w:val="none" w:sz="0" w:space="0" w:color="auto"/>
        <w:left w:val="none" w:sz="0" w:space="0" w:color="auto"/>
        <w:bottom w:val="none" w:sz="0" w:space="0" w:color="auto"/>
        <w:right w:val="none" w:sz="0" w:space="0" w:color="auto"/>
      </w:divBdr>
    </w:div>
    <w:div w:id="200338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_rels/footnotes.xml.rels><?xml version="1.0" encoding="UTF-8" standalone="yes"?>
<Relationships xmlns="http://schemas.openxmlformats.org/package/2006/relationships"><Relationship Id="rId1" Type="http://schemas.openxmlformats.org/officeDocument/2006/relationships/hyperlink" Target="http://www.stooq.p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esktop\Marcin\SGH\Praca%20licencjacka\Praca%20stricte\WYKRES_1_stopy_referencyjne.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Marcin\SGH\Praca%20licencjacka\Praca%20stricte\WYKRES_2_kursy_walut.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Desktop\Marcin\SGH\Praca%20licencjacka\Praca%20stricte\WYKRES_3_statystyki_udzielonych_kredyt&#243;w_walutowych.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Desktop\Marcin\SGH\Praca%20licencjacka\Praca%20stricte\WYKRES_4_struktura_udzielonych_kredyt&#243;w.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User\Desktop\Marcin\SGH\Praca%20licencjacka\Praca%20stricte\WYKRES_5_warto&#347;&#263;_kredyt&#243;w_walutowych.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User\Desktop\Marcin\SGH\Praca%20licencjacka\Praca%20stricte\WYKRES_6_liczba_os&#243;b_obs&#322;uguj&#261;cych_kredyty.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User\Desktop\Marcin\SGH\Praca%20licencjacka\Praca%20stricte\WYKRES_9_(7).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mmandz01\Desktop\Accenture\Marcin\Licencjat\Kredyty%20walutowe%20UE.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mmandz01\Desktop\Accenture\Marcin\Licencjat\Kredyty%20walutowe%20U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0039643512205114E-2"/>
          <c:y val="4.7099122243630914E-2"/>
          <c:w val="0.8903594304597936"/>
          <c:h val="0.70695782487690007"/>
        </c:manualLayout>
      </c:layout>
      <c:lineChart>
        <c:grouping val="standard"/>
        <c:varyColors val="0"/>
        <c:ser>
          <c:idx val="0"/>
          <c:order val="0"/>
          <c:tx>
            <c:strRef>
              <c:f>WYKRES!$B$2</c:f>
              <c:strCache>
                <c:ptCount val="1"/>
                <c:pt idx="0">
                  <c:v>WIBOR 3M</c:v>
                </c:pt>
              </c:strCache>
            </c:strRef>
          </c:tx>
          <c:spPr>
            <a:ln w="25400">
              <a:solidFill>
                <a:schemeClr val="accent6"/>
              </a:solidFill>
            </a:ln>
          </c:spPr>
          <c:marker>
            <c:symbol val="none"/>
          </c:marker>
          <c:cat>
            <c:numRef>
              <c:f>WYKRES!$A$3:$A$75</c:f>
              <c:numCache>
                <c:formatCode>m/d/yyyy</c:formatCode>
                <c:ptCount val="73"/>
                <c:pt idx="0">
                  <c:v>36616</c:v>
                </c:pt>
                <c:pt idx="1">
                  <c:v>36707</c:v>
                </c:pt>
                <c:pt idx="2">
                  <c:v>36798</c:v>
                </c:pt>
                <c:pt idx="3">
                  <c:v>36889</c:v>
                </c:pt>
                <c:pt idx="4">
                  <c:v>36980</c:v>
                </c:pt>
                <c:pt idx="5">
                  <c:v>37071</c:v>
                </c:pt>
                <c:pt idx="6">
                  <c:v>37162</c:v>
                </c:pt>
                <c:pt idx="7">
                  <c:v>37256</c:v>
                </c:pt>
                <c:pt idx="8">
                  <c:v>37344</c:v>
                </c:pt>
                <c:pt idx="9">
                  <c:v>37435</c:v>
                </c:pt>
                <c:pt idx="10">
                  <c:v>37529</c:v>
                </c:pt>
                <c:pt idx="11">
                  <c:v>37621</c:v>
                </c:pt>
                <c:pt idx="12">
                  <c:v>37711</c:v>
                </c:pt>
                <c:pt idx="13">
                  <c:v>37802</c:v>
                </c:pt>
                <c:pt idx="14">
                  <c:v>37894</c:v>
                </c:pt>
                <c:pt idx="15">
                  <c:v>37986</c:v>
                </c:pt>
                <c:pt idx="16">
                  <c:v>38077</c:v>
                </c:pt>
                <c:pt idx="17">
                  <c:v>38168</c:v>
                </c:pt>
                <c:pt idx="18">
                  <c:v>38260</c:v>
                </c:pt>
                <c:pt idx="19">
                  <c:v>38352</c:v>
                </c:pt>
                <c:pt idx="20">
                  <c:v>38442</c:v>
                </c:pt>
                <c:pt idx="21">
                  <c:v>38533</c:v>
                </c:pt>
                <c:pt idx="22">
                  <c:v>38625</c:v>
                </c:pt>
                <c:pt idx="23">
                  <c:v>38716</c:v>
                </c:pt>
                <c:pt idx="24">
                  <c:v>38807</c:v>
                </c:pt>
                <c:pt idx="25">
                  <c:v>38898</c:v>
                </c:pt>
                <c:pt idx="26">
                  <c:v>38989</c:v>
                </c:pt>
                <c:pt idx="27">
                  <c:v>39080</c:v>
                </c:pt>
                <c:pt idx="28">
                  <c:v>39171</c:v>
                </c:pt>
                <c:pt idx="29">
                  <c:v>39262</c:v>
                </c:pt>
                <c:pt idx="30">
                  <c:v>39353</c:v>
                </c:pt>
                <c:pt idx="31">
                  <c:v>39447</c:v>
                </c:pt>
                <c:pt idx="32">
                  <c:v>39538</c:v>
                </c:pt>
                <c:pt idx="33">
                  <c:v>39629</c:v>
                </c:pt>
                <c:pt idx="34">
                  <c:v>39721</c:v>
                </c:pt>
                <c:pt idx="35">
                  <c:v>39813</c:v>
                </c:pt>
                <c:pt idx="36">
                  <c:v>39903</c:v>
                </c:pt>
                <c:pt idx="37">
                  <c:v>39994</c:v>
                </c:pt>
                <c:pt idx="38">
                  <c:v>40086</c:v>
                </c:pt>
                <c:pt idx="39">
                  <c:v>40178</c:v>
                </c:pt>
                <c:pt idx="40">
                  <c:v>40268</c:v>
                </c:pt>
                <c:pt idx="41">
                  <c:v>40359</c:v>
                </c:pt>
                <c:pt idx="42">
                  <c:v>40451</c:v>
                </c:pt>
                <c:pt idx="43">
                  <c:v>40543</c:v>
                </c:pt>
                <c:pt idx="44">
                  <c:v>40633</c:v>
                </c:pt>
                <c:pt idx="45">
                  <c:v>40724</c:v>
                </c:pt>
                <c:pt idx="46">
                  <c:v>40816</c:v>
                </c:pt>
                <c:pt idx="47">
                  <c:v>40907</c:v>
                </c:pt>
                <c:pt idx="48">
                  <c:v>40998</c:v>
                </c:pt>
                <c:pt idx="49">
                  <c:v>41089</c:v>
                </c:pt>
                <c:pt idx="50">
                  <c:v>41180</c:v>
                </c:pt>
                <c:pt idx="51">
                  <c:v>41274</c:v>
                </c:pt>
                <c:pt idx="52">
                  <c:v>41362</c:v>
                </c:pt>
                <c:pt idx="53">
                  <c:v>41453</c:v>
                </c:pt>
                <c:pt idx="54">
                  <c:v>41547</c:v>
                </c:pt>
                <c:pt idx="55">
                  <c:v>41639</c:v>
                </c:pt>
                <c:pt idx="56">
                  <c:v>41729</c:v>
                </c:pt>
                <c:pt idx="57">
                  <c:v>41820</c:v>
                </c:pt>
                <c:pt idx="58">
                  <c:v>41912</c:v>
                </c:pt>
                <c:pt idx="59">
                  <c:v>42004</c:v>
                </c:pt>
                <c:pt idx="60">
                  <c:v>42094</c:v>
                </c:pt>
                <c:pt idx="61">
                  <c:v>42185</c:v>
                </c:pt>
                <c:pt idx="62">
                  <c:v>42277</c:v>
                </c:pt>
                <c:pt idx="63">
                  <c:v>42369</c:v>
                </c:pt>
                <c:pt idx="64">
                  <c:v>42460</c:v>
                </c:pt>
                <c:pt idx="65">
                  <c:v>42551</c:v>
                </c:pt>
                <c:pt idx="66">
                  <c:v>42643</c:v>
                </c:pt>
                <c:pt idx="67">
                  <c:v>42734</c:v>
                </c:pt>
                <c:pt idx="68">
                  <c:v>42825</c:v>
                </c:pt>
                <c:pt idx="69">
                  <c:v>42916</c:v>
                </c:pt>
                <c:pt idx="70">
                  <c:v>43007</c:v>
                </c:pt>
                <c:pt idx="71">
                  <c:v>43098</c:v>
                </c:pt>
                <c:pt idx="72">
                  <c:v>43189</c:v>
                </c:pt>
              </c:numCache>
            </c:numRef>
          </c:cat>
          <c:val>
            <c:numRef>
              <c:f>WYKRES!$B$3:$B$75</c:f>
              <c:numCache>
                <c:formatCode>0.00</c:formatCode>
                <c:ptCount val="73"/>
                <c:pt idx="0">
                  <c:v>0.17845</c:v>
                </c:pt>
                <c:pt idx="1">
                  <c:v>0.18562500000000001</c:v>
                </c:pt>
                <c:pt idx="2">
                  <c:v>0.19080000000000003</c:v>
                </c:pt>
                <c:pt idx="3">
                  <c:v>0.19580000000000003</c:v>
                </c:pt>
                <c:pt idx="4">
                  <c:v>0.18357500000000002</c:v>
                </c:pt>
                <c:pt idx="5">
                  <c:v>0.167375</c:v>
                </c:pt>
                <c:pt idx="6">
                  <c:v>0.15100000000000002</c:v>
                </c:pt>
                <c:pt idx="7">
                  <c:v>0.13262499999999999</c:v>
                </c:pt>
                <c:pt idx="8">
                  <c:v>0.11002500000000001</c:v>
                </c:pt>
                <c:pt idx="9">
                  <c:v>9.6449999999999994E-2</c:v>
                </c:pt>
                <c:pt idx="10">
                  <c:v>8.3800000000000013E-2</c:v>
                </c:pt>
                <c:pt idx="11">
                  <c:v>7.1900000000000006E-2</c:v>
                </c:pt>
                <c:pt idx="12">
                  <c:v>6.3799999999999996E-2</c:v>
                </c:pt>
                <c:pt idx="13">
                  <c:v>5.6524999999999999E-2</c:v>
                </c:pt>
                <c:pt idx="14">
                  <c:v>5.2374999999999998E-2</c:v>
                </c:pt>
                <c:pt idx="15">
                  <c:v>5.5050000000000009E-2</c:v>
                </c:pt>
                <c:pt idx="16">
                  <c:v>5.4900000000000004E-2</c:v>
                </c:pt>
                <c:pt idx="17">
                  <c:v>5.7824999999999994E-2</c:v>
                </c:pt>
                <c:pt idx="18">
                  <c:v>6.6125000000000003E-2</c:v>
                </c:pt>
                <c:pt idx="19">
                  <c:v>6.7850000000000008E-2</c:v>
                </c:pt>
                <c:pt idx="20">
                  <c:v>6.2700000000000006E-2</c:v>
                </c:pt>
                <c:pt idx="21">
                  <c:v>5.4000000000000006E-2</c:v>
                </c:pt>
                <c:pt idx="22">
                  <c:v>4.6174999999999994E-2</c:v>
                </c:pt>
                <c:pt idx="23">
                  <c:v>4.5675E-2</c:v>
                </c:pt>
                <c:pt idx="24">
                  <c:v>4.3674999999999999E-2</c:v>
                </c:pt>
                <c:pt idx="25">
                  <c:v>4.1825000000000001E-2</c:v>
                </c:pt>
                <c:pt idx="26">
                  <c:v>4.2050000000000004E-2</c:v>
                </c:pt>
                <c:pt idx="27">
                  <c:v>4.2125000000000003E-2</c:v>
                </c:pt>
                <c:pt idx="28">
                  <c:v>4.217499999999999E-2</c:v>
                </c:pt>
                <c:pt idx="29">
                  <c:v>4.4749999999999998E-2</c:v>
                </c:pt>
                <c:pt idx="30">
                  <c:v>4.9200000000000001E-2</c:v>
                </c:pt>
                <c:pt idx="31">
                  <c:v>5.4024999999999997E-2</c:v>
                </c:pt>
                <c:pt idx="32">
                  <c:v>5.8749999999999997E-2</c:v>
                </c:pt>
                <c:pt idx="33">
                  <c:v>6.4149999999999985E-2</c:v>
                </c:pt>
                <c:pt idx="34">
                  <c:v>6.6049999999999998E-2</c:v>
                </c:pt>
                <c:pt idx="35">
                  <c:v>6.3199999999999992E-2</c:v>
                </c:pt>
                <c:pt idx="36">
                  <c:v>4.9975000000000006E-2</c:v>
                </c:pt>
                <c:pt idx="37">
                  <c:v>4.3475E-2</c:v>
                </c:pt>
                <c:pt idx="38">
                  <c:v>4.2974999999999992E-2</c:v>
                </c:pt>
                <c:pt idx="39">
                  <c:v>4.2249999999999996E-2</c:v>
                </c:pt>
                <c:pt idx="40">
                  <c:v>4.1849999999999998E-2</c:v>
                </c:pt>
                <c:pt idx="41">
                  <c:v>3.9524999999999998E-2</c:v>
                </c:pt>
                <c:pt idx="42">
                  <c:v>3.8449999999999998E-2</c:v>
                </c:pt>
                <c:pt idx="43">
                  <c:v>3.8899999999999997E-2</c:v>
                </c:pt>
                <c:pt idx="44">
                  <c:v>4.0650000000000006E-2</c:v>
                </c:pt>
                <c:pt idx="45">
                  <c:v>4.4500000000000005E-2</c:v>
                </c:pt>
                <c:pt idx="46">
                  <c:v>4.7275000000000011E-2</c:v>
                </c:pt>
                <c:pt idx="47">
                  <c:v>4.8725000000000004E-2</c:v>
                </c:pt>
                <c:pt idx="48">
                  <c:v>4.9675000000000004E-2</c:v>
                </c:pt>
                <c:pt idx="49">
                  <c:v>5.0349999999999999E-2</c:v>
                </c:pt>
                <c:pt idx="50">
                  <c:v>5.0275E-2</c:v>
                </c:pt>
                <c:pt idx="51">
                  <c:v>4.5149999999999996E-2</c:v>
                </c:pt>
                <c:pt idx="52">
                  <c:v>3.7450000000000004E-2</c:v>
                </c:pt>
                <c:pt idx="53">
                  <c:v>3.0550000000000001E-2</c:v>
                </c:pt>
                <c:pt idx="54">
                  <c:v>2.6949999999999998E-2</c:v>
                </c:pt>
                <c:pt idx="55">
                  <c:v>2.6849999999999995E-2</c:v>
                </c:pt>
                <c:pt idx="56">
                  <c:v>2.7050000000000001E-2</c:v>
                </c:pt>
                <c:pt idx="57">
                  <c:v>2.6974999999999999E-2</c:v>
                </c:pt>
                <c:pt idx="58">
                  <c:v>2.4799999999999999E-2</c:v>
                </c:pt>
                <c:pt idx="59">
                  <c:v>2.1350000000000001E-2</c:v>
                </c:pt>
                <c:pt idx="60">
                  <c:v>1.8550000000000001E-2</c:v>
                </c:pt>
                <c:pt idx="61">
                  <c:v>1.6849999999999997E-2</c:v>
                </c:pt>
                <c:pt idx="62">
                  <c:v>1.7250000000000001E-2</c:v>
                </c:pt>
                <c:pt idx="63">
                  <c:v>1.7249999999999998E-2</c:v>
                </c:pt>
                <c:pt idx="64">
                  <c:v>1.695E-2</c:v>
                </c:pt>
                <c:pt idx="65">
                  <c:v>1.6899999999999998E-2</c:v>
                </c:pt>
                <c:pt idx="66">
                  <c:v>1.7100000000000001E-2</c:v>
                </c:pt>
                <c:pt idx="67">
                  <c:v>1.7200000000000003E-2</c:v>
                </c:pt>
                <c:pt idx="68">
                  <c:v>1.7299999999999999E-2</c:v>
                </c:pt>
                <c:pt idx="69">
                  <c:v>1.7299999999999999E-2</c:v>
                </c:pt>
                <c:pt idx="70">
                  <c:v>1.7299999999999999E-2</c:v>
                </c:pt>
                <c:pt idx="71">
                  <c:v>1.7249999999999998E-2</c:v>
                </c:pt>
                <c:pt idx="72">
                  <c:v>1.7100000000000001E-2</c:v>
                </c:pt>
              </c:numCache>
            </c:numRef>
          </c:val>
          <c:smooth val="0"/>
          <c:extLst>
            <c:ext xmlns:c16="http://schemas.microsoft.com/office/drawing/2014/chart" uri="{C3380CC4-5D6E-409C-BE32-E72D297353CC}">
              <c16:uniqueId val="{00000000-2181-4BE2-BF44-8DD6C92AF0C1}"/>
            </c:ext>
          </c:extLst>
        </c:ser>
        <c:ser>
          <c:idx val="1"/>
          <c:order val="1"/>
          <c:tx>
            <c:strRef>
              <c:f>WYKRES!$C$2</c:f>
              <c:strCache>
                <c:ptCount val="1"/>
                <c:pt idx="0">
                  <c:v>LIBOR USD 3M</c:v>
                </c:pt>
              </c:strCache>
            </c:strRef>
          </c:tx>
          <c:spPr>
            <a:ln w="25400"/>
          </c:spPr>
          <c:marker>
            <c:symbol val="none"/>
          </c:marker>
          <c:cat>
            <c:numRef>
              <c:f>WYKRES!$A$3:$A$75</c:f>
              <c:numCache>
                <c:formatCode>m/d/yyyy</c:formatCode>
                <c:ptCount val="73"/>
                <c:pt idx="0">
                  <c:v>36616</c:v>
                </c:pt>
                <c:pt idx="1">
                  <c:v>36707</c:v>
                </c:pt>
                <c:pt idx="2">
                  <c:v>36798</c:v>
                </c:pt>
                <c:pt idx="3">
                  <c:v>36889</c:v>
                </c:pt>
                <c:pt idx="4">
                  <c:v>36980</c:v>
                </c:pt>
                <c:pt idx="5">
                  <c:v>37071</c:v>
                </c:pt>
                <c:pt idx="6">
                  <c:v>37162</c:v>
                </c:pt>
                <c:pt idx="7">
                  <c:v>37256</c:v>
                </c:pt>
                <c:pt idx="8">
                  <c:v>37344</c:v>
                </c:pt>
                <c:pt idx="9">
                  <c:v>37435</c:v>
                </c:pt>
                <c:pt idx="10">
                  <c:v>37529</c:v>
                </c:pt>
                <c:pt idx="11">
                  <c:v>37621</c:v>
                </c:pt>
                <c:pt idx="12">
                  <c:v>37711</c:v>
                </c:pt>
                <c:pt idx="13">
                  <c:v>37802</c:v>
                </c:pt>
                <c:pt idx="14">
                  <c:v>37894</c:v>
                </c:pt>
                <c:pt idx="15">
                  <c:v>37986</c:v>
                </c:pt>
                <c:pt idx="16">
                  <c:v>38077</c:v>
                </c:pt>
                <c:pt idx="17">
                  <c:v>38168</c:v>
                </c:pt>
                <c:pt idx="18">
                  <c:v>38260</c:v>
                </c:pt>
                <c:pt idx="19">
                  <c:v>38352</c:v>
                </c:pt>
                <c:pt idx="20">
                  <c:v>38442</c:v>
                </c:pt>
                <c:pt idx="21">
                  <c:v>38533</c:v>
                </c:pt>
                <c:pt idx="22">
                  <c:v>38625</c:v>
                </c:pt>
                <c:pt idx="23">
                  <c:v>38716</c:v>
                </c:pt>
                <c:pt idx="24">
                  <c:v>38807</c:v>
                </c:pt>
                <c:pt idx="25">
                  <c:v>38898</c:v>
                </c:pt>
                <c:pt idx="26">
                  <c:v>38989</c:v>
                </c:pt>
                <c:pt idx="27">
                  <c:v>39080</c:v>
                </c:pt>
                <c:pt idx="28">
                  <c:v>39171</c:v>
                </c:pt>
                <c:pt idx="29">
                  <c:v>39262</c:v>
                </c:pt>
                <c:pt idx="30">
                  <c:v>39353</c:v>
                </c:pt>
                <c:pt idx="31">
                  <c:v>39447</c:v>
                </c:pt>
                <c:pt idx="32">
                  <c:v>39538</c:v>
                </c:pt>
                <c:pt idx="33">
                  <c:v>39629</c:v>
                </c:pt>
                <c:pt idx="34">
                  <c:v>39721</c:v>
                </c:pt>
                <c:pt idx="35">
                  <c:v>39813</c:v>
                </c:pt>
                <c:pt idx="36">
                  <c:v>39903</c:v>
                </c:pt>
                <c:pt idx="37">
                  <c:v>39994</c:v>
                </c:pt>
                <c:pt idx="38">
                  <c:v>40086</c:v>
                </c:pt>
                <c:pt idx="39">
                  <c:v>40178</c:v>
                </c:pt>
                <c:pt idx="40">
                  <c:v>40268</c:v>
                </c:pt>
                <c:pt idx="41">
                  <c:v>40359</c:v>
                </c:pt>
                <c:pt idx="42">
                  <c:v>40451</c:v>
                </c:pt>
                <c:pt idx="43">
                  <c:v>40543</c:v>
                </c:pt>
                <c:pt idx="44">
                  <c:v>40633</c:v>
                </c:pt>
                <c:pt idx="45">
                  <c:v>40724</c:v>
                </c:pt>
                <c:pt idx="46">
                  <c:v>40816</c:v>
                </c:pt>
                <c:pt idx="47">
                  <c:v>40907</c:v>
                </c:pt>
                <c:pt idx="48">
                  <c:v>40998</c:v>
                </c:pt>
                <c:pt idx="49">
                  <c:v>41089</c:v>
                </c:pt>
                <c:pt idx="50">
                  <c:v>41180</c:v>
                </c:pt>
                <c:pt idx="51">
                  <c:v>41274</c:v>
                </c:pt>
                <c:pt idx="52">
                  <c:v>41362</c:v>
                </c:pt>
                <c:pt idx="53">
                  <c:v>41453</c:v>
                </c:pt>
                <c:pt idx="54">
                  <c:v>41547</c:v>
                </c:pt>
                <c:pt idx="55">
                  <c:v>41639</c:v>
                </c:pt>
                <c:pt idx="56">
                  <c:v>41729</c:v>
                </c:pt>
                <c:pt idx="57">
                  <c:v>41820</c:v>
                </c:pt>
                <c:pt idx="58">
                  <c:v>41912</c:v>
                </c:pt>
                <c:pt idx="59">
                  <c:v>42004</c:v>
                </c:pt>
                <c:pt idx="60">
                  <c:v>42094</c:v>
                </c:pt>
                <c:pt idx="61">
                  <c:v>42185</c:v>
                </c:pt>
                <c:pt idx="62">
                  <c:v>42277</c:v>
                </c:pt>
                <c:pt idx="63">
                  <c:v>42369</c:v>
                </c:pt>
                <c:pt idx="64">
                  <c:v>42460</c:v>
                </c:pt>
                <c:pt idx="65">
                  <c:v>42551</c:v>
                </c:pt>
                <c:pt idx="66">
                  <c:v>42643</c:v>
                </c:pt>
                <c:pt idx="67">
                  <c:v>42734</c:v>
                </c:pt>
                <c:pt idx="68">
                  <c:v>42825</c:v>
                </c:pt>
                <c:pt idx="69">
                  <c:v>42916</c:v>
                </c:pt>
                <c:pt idx="70">
                  <c:v>43007</c:v>
                </c:pt>
                <c:pt idx="71">
                  <c:v>43098</c:v>
                </c:pt>
                <c:pt idx="72">
                  <c:v>43189</c:v>
                </c:pt>
              </c:numCache>
            </c:numRef>
          </c:cat>
          <c:val>
            <c:numRef>
              <c:f>WYKRES!$C$3:$C$75</c:f>
              <c:numCache>
                <c:formatCode>0.00</c:formatCode>
                <c:ptCount val="73"/>
                <c:pt idx="0">
                  <c:v>6.1456249999999997E-2</c:v>
                </c:pt>
                <c:pt idx="1">
                  <c:v>6.549845E-2</c:v>
                </c:pt>
                <c:pt idx="2">
                  <c:v>6.7623450000000002E-2</c:v>
                </c:pt>
                <c:pt idx="3">
                  <c:v>6.6015649999999995E-2</c:v>
                </c:pt>
                <c:pt idx="4">
                  <c:v>5.6331249999999999E-2</c:v>
                </c:pt>
                <c:pt idx="5">
                  <c:v>4.3056249999999997E-2</c:v>
                </c:pt>
                <c:pt idx="6">
                  <c:v>3.2099999999999997E-2</c:v>
                </c:pt>
                <c:pt idx="7">
                  <c:v>2.2360950000000001E-2</c:v>
                </c:pt>
                <c:pt idx="8">
                  <c:v>1.9142199999999998E-2</c:v>
                </c:pt>
                <c:pt idx="9">
                  <c:v>1.9487500000000001E-2</c:v>
                </c:pt>
                <c:pt idx="10">
                  <c:v>1.8107825000000001E-2</c:v>
                </c:pt>
                <c:pt idx="11">
                  <c:v>1.5992199999999998E-2</c:v>
                </c:pt>
                <c:pt idx="12">
                  <c:v>1.3196874999999999E-2</c:v>
                </c:pt>
                <c:pt idx="13">
                  <c:v>1.1807825000000001E-2</c:v>
                </c:pt>
                <c:pt idx="14">
                  <c:v>1.1325E-2</c:v>
                </c:pt>
                <c:pt idx="15">
                  <c:v>1.15797E-2</c:v>
                </c:pt>
                <c:pt idx="16">
                  <c:v>1.1300000000000001E-2</c:v>
                </c:pt>
                <c:pt idx="17">
                  <c:v>1.3600000000000001E-2</c:v>
                </c:pt>
                <c:pt idx="18">
                  <c:v>1.8043749999999997E-2</c:v>
                </c:pt>
                <c:pt idx="19">
                  <c:v>2.2959399999999998E-2</c:v>
                </c:pt>
                <c:pt idx="20">
                  <c:v>2.8421900000000003E-2</c:v>
                </c:pt>
                <c:pt idx="21">
                  <c:v>3.3181250000000002E-2</c:v>
                </c:pt>
                <c:pt idx="22">
                  <c:v>3.7915650000000002E-2</c:v>
                </c:pt>
                <c:pt idx="23">
                  <c:v>4.2975000000000006E-2</c:v>
                </c:pt>
                <c:pt idx="24">
                  <c:v>4.7712524999999999E-2</c:v>
                </c:pt>
                <c:pt idx="25">
                  <c:v>5.2471899999999995E-2</c:v>
                </c:pt>
                <c:pt idx="26">
                  <c:v>5.4334375000000004E-2</c:v>
                </c:pt>
                <c:pt idx="27">
                  <c:v>5.3650000000000003E-2</c:v>
                </c:pt>
                <c:pt idx="28">
                  <c:v>5.3500624999999996E-2</c:v>
                </c:pt>
                <c:pt idx="29">
                  <c:v>5.3550000000000007E-2</c:v>
                </c:pt>
                <c:pt idx="30">
                  <c:v>5.3779699999999993E-2</c:v>
                </c:pt>
                <c:pt idx="31">
                  <c:v>4.9720325000000003E-2</c:v>
                </c:pt>
                <c:pt idx="32">
                  <c:v>3.6478175000000002E-2</c:v>
                </c:pt>
                <c:pt idx="33">
                  <c:v>2.7562525000000001E-2</c:v>
                </c:pt>
                <c:pt idx="34">
                  <c:v>3.4193750000000002E-2</c:v>
                </c:pt>
                <c:pt idx="35">
                  <c:v>2.9546875000000004E-2</c:v>
                </c:pt>
                <c:pt idx="36">
                  <c:v>1.2770325000000001E-2</c:v>
                </c:pt>
                <c:pt idx="37">
                  <c:v>8.8593999999999999E-3</c:v>
                </c:pt>
                <c:pt idx="38">
                  <c:v>4.3609499999999997E-3</c:v>
                </c:pt>
                <c:pt idx="39">
                  <c:v>2.6703500000000002E-3</c:v>
                </c:pt>
                <c:pt idx="40">
                  <c:v>2.7153249999999993E-3</c:v>
                </c:pt>
                <c:pt idx="41">
                  <c:v>4.1404750000000002E-3</c:v>
                </c:pt>
                <c:pt idx="42">
                  <c:v>4.1158000000000002E-3</c:v>
                </c:pt>
                <c:pt idx="43">
                  <c:v>2.953925E-3</c:v>
                </c:pt>
                <c:pt idx="44">
                  <c:v>3.0565499999999999E-3</c:v>
                </c:pt>
                <c:pt idx="45">
                  <c:v>2.7743749999999999E-3</c:v>
                </c:pt>
                <c:pt idx="46">
                  <c:v>3.1003999999999997E-3</c:v>
                </c:pt>
                <c:pt idx="47">
                  <c:v>4.7930500000000001E-3</c:v>
                </c:pt>
                <c:pt idx="48">
                  <c:v>5.2532500000000001E-3</c:v>
                </c:pt>
                <c:pt idx="49">
                  <c:v>4.6462499999999993E-3</c:v>
                </c:pt>
                <c:pt idx="50">
                  <c:v>4.0955000000000002E-3</c:v>
                </c:pt>
                <c:pt idx="51">
                  <c:v>3.3062500000000002E-3</c:v>
                </c:pt>
                <c:pt idx="52">
                  <c:v>2.9304999999999999E-3</c:v>
                </c:pt>
                <c:pt idx="53">
                  <c:v>2.7726249999999995E-3</c:v>
                </c:pt>
                <c:pt idx="54">
                  <c:v>2.6086249999999998E-3</c:v>
                </c:pt>
                <c:pt idx="55">
                  <c:v>2.4403749999999998E-3</c:v>
                </c:pt>
                <c:pt idx="56">
                  <c:v>2.36725E-3</c:v>
                </c:pt>
                <c:pt idx="57">
                  <c:v>2.2906250000000001E-3</c:v>
                </c:pt>
                <c:pt idx="58">
                  <c:v>2.3440000000000002E-3</c:v>
                </c:pt>
                <c:pt idx="59">
                  <c:v>2.4322499999999995E-3</c:v>
                </c:pt>
                <c:pt idx="60">
                  <c:v>2.6321249999999995E-3</c:v>
                </c:pt>
                <c:pt idx="61">
                  <c:v>2.7813750000000004E-3</c:v>
                </c:pt>
                <c:pt idx="62">
                  <c:v>3.0923750000000001E-3</c:v>
                </c:pt>
                <c:pt idx="63">
                  <c:v>4.6613750000000006E-3</c:v>
                </c:pt>
                <c:pt idx="64">
                  <c:v>6.234875E-3</c:v>
                </c:pt>
                <c:pt idx="65">
                  <c:v>6.4815000000000003E-3</c:v>
                </c:pt>
                <c:pt idx="66">
                  <c:v>7.5656500000000002E-3</c:v>
                </c:pt>
                <c:pt idx="67">
                  <c:v>9.2796000000000007E-3</c:v>
                </c:pt>
                <c:pt idx="68">
                  <c:v>1.0759449999999999E-2</c:v>
                </c:pt>
                <c:pt idx="69">
                  <c:v>1.2244999999999999E-2</c:v>
                </c:pt>
                <c:pt idx="70">
                  <c:v>1.3175825E-2</c:v>
                </c:pt>
                <c:pt idx="71">
                  <c:v>1.5150125E-2</c:v>
                </c:pt>
                <c:pt idx="72">
                  <c:v>1.9799999999999998E-2</c:v>
                </c:pt>
              </c:numCache>
            </c:numRef>
          </c:val>
          <c:smooth val="0"/>
          <c:extLst>
            <c:ext xmlns:c16="http://schemas.microsoft.com/office/drawing/2014/chart" uri="{C3380CC4-5D6E-409C-BE32-E72D297353CC}">
              <c16:uniqueId val="{00000001-2181-4BE2-BF44-8DD6C92AF0C1}"/>
            </c:ext>
          </c:extLst>
        </c:ser>
        <c:ser>
          <c:idx val="2"/>
          <c:order val="2"/>
          <c:tx>
            <c:strRef>
              <c:f>WYKRES!$D$2</c:f>
              <c:strCache>
                <c:ptCount val="1"/>
                <c:pt idx="0">
                  <c:v>LIBOR GBP 3M</c:v>
                </c:pt>
              </c:strCache>
            </c:strRef>
          </c:tx>
          <c:spPr>
            <a:ln w="25400">
              <a:solidFill>
                <a:schemeClr val="accent3"/>
              </a:solidFill>
            </a:ln>
          </c:spPr>
          <c:marker>
            <c:symbol val="none"/>
          </c:marker>
          <c:cat>
            <c:numRef>
              <c:f>WYKRES!$A$3:$A$75</c:f>
              <c:numCache>
                <c:formatCode>m/d/yyyy</c:formatCode>
                <c:ptCount val="73"/>
                <c:pt idx="0">
                  <c:v>36616</c:v>
                </c:pt>
                <c:pt idx="1">
                  <c:v>36707</c:v>
                </c:pt>
                <c:pt idx="2">
                  <c:v>36798</c:v>
                </c:pt>
                <c:pt idx="3">
                  <c:v>36889</c:v>
                </c:pt>
                <c:pt idx="4">
                  <c:v>36980</c:v>
                </c:pt>
                <c:pt idx="5">
                  <c:v>37071</c:v>
                </c:pt>
                <c:pt idx="6">
                  <c:v>37162</c:v>
                </c:pt>
                <c:pt idx="7">
                  <c:v>37256</c:v>
                </c:pt>
                <c:pt idx="8">
                  <c:v>37344</c:v>
                </c:pt>
                <c:pt idx="9">
                  <c:v>37435</c:v>
                </c:pt>
                <c:pt idx="10">
                  <c:v>37529</c:v>
                </c:pt>
                <c:pt idx="11">
                  <c:v>37621</c:v>
                </c:pt>
                <c:pt idx="12">
                  <c:v>37711</c:v>
                </c:pt>
                <c:pt idx="13">
                  <c:v>37802</c:v>
                </c:pt>
                <c:pt idx="14">
                  <c:v>37894</c:v>
                </c:pt>
                <c:pt idx="15">
                  <c:v>37986</c:v>
                </c:pt>
                <c:pt idx="16">
                  <c:v>38077</c:v>
                </c:pt>
                <c:pt idx="17">
                  <c:v>38168</c:v>
                </c:pt>
                <c:pt idx="18">
                  <c:v>38260</c:v>
                </c:pt>
                <c:pt idx="19">
                  <c:v>38352</c:v>
                </c:pt>
                <c:pt idx="20">
                  <c:v>38442</c:v>
                </c:pt>
                <c:pt idx="21">
                  <c:v>38533</c:v>
                </c:pt>
                <c:pt idx="22">
                  <c:v>38625</c:v>
                </c:pt>
                <c:pt idx="23">
                  <c:v>38716</c:v>
                </c:pt>
                <c:pt idx="24">
                  <c:v>38807</c:v>
                </c:pt>
                <c:pt idx="25">
                  <c:v>38898</c:v>
                </c:pt>
                <c:pt idx="26">
                  <c:v>38989</c:v>
                </c:pt>
                <c:pt idx="27">
                  <c:v>39080</c:v>
                </c:pt>
                <c:pt idx="28">
                  <c:v>39171</c:v>
                </c:pt>
                <c:pt idx="29">
                  <c:v>39262</c:v>
                </c:pt>
                <c:pt idx="30">
                  <c:v>39353</c:v>
                </c:pt>
                <c:pt idx="31">
                  <c:v>39447</c:v>
                </c:pt>
                <c:pt idx="32">
                  <c:v>39538</c:v>
                </c:pt>
                <c:pt idx="33">
                  <c:v>39629</c:v>
                </c:pt>
                <c:pt idx="34">
                  <c:v>39721</c:v>
                </c:pt>
                <c:pt idx="35">
                  <c:v>39813</c:v>
                </c:pt>
                <c:pt idx="36">
                  <c:v>39903</c:v>
                </c:pt>
                <c:pt idx="37">
                  <c:v>39994</c:v>
                </c:pt>
                <c:pt idx="38">
                  <c:v>40086</c:v>
                </c:pt>
                <c:pt idx="39">
                  <c:v>40178</c:v>
                </c:pt>
                <c:pt idx="40">
                  <c:v>40268</c:v>
                </c:pt>
                <c:pt idx="41">
                  <c:v>40359</c:v>
                </c:pt>
                <c:pt idx="42">
                  <c:v>40451</c:v>
                </c:pt>
                <c:pt idx="43">
                  <c:v>40543</c:v>
                </c:pt>
                <c:pt idx="44">
                  <c:v>40633</c:v>
                </c:pt>
                <c:pt idx="45">
                  <c:v>40724</c:v>
                </c:pt>
                <c:pt idx="46">
                  <c:v>40816</c:v>
                </c:pt>
                <c:pt idx="47">
                  <c:v>40907</c:v>
                </c:pt>
                <c:pt idx="48">
                  <c:v>40998</c:v>
                </c:pt>
                <c:pt idx="49">
                  <c:v>41089</c:v>
                </c:pt>
                <c:pt idx="50">
                  <c:v>41180</c:v>
                </c:pt>
                <c:pt idx="51">
                  <c:v>41274</c:v>
                </c:pt>
                <c:pt idx="52">
                  <c:v>41362</c:v>
                </c:pt>
                <c:pt idx="53">
                  <c:v>41453</c:v>
                </c:pt>
                <c:pt idx="54">
                  <c:v>41547</c:v>
                </c:pt>
                <c:pt idx="55">
                  <c:v>41639</c:v>
                </c:pt>
                <c:pt idx="56">
                  <c:v>41729</c:v>
                </c:pt>
                <c:pt idx="57">
                  <c:v>41820</c:v>
                </c:pt>
                <c:pt idx="58">
                  <c:v>41912</c:v>
                </c:pt>
                <c:pt idx="59">
                  <c:v>42004</c:v>
                </c:pt>
                <c:pt idx="60">
                  <c:v>42094</c:v>
                </c:pt>
                <c:pt idx="61">
                  <c:v>42185</c:v>
                </c:pt>
                <c:pt idx="62">
                  <c:v>42277</c:v>
                </c:pt>
                <c:pt idx="63">
                  <c:v>42369</c:v>
                </c:pt>
                <c:pt idx="64">
                  <c:v>42460</c:v>
                </c:pt>
                <c:pt idx="65">
                  <c:v>42551</c:v>
                </c:pt>
                <c:pt idx="66">
                  <c:v>42643</c:v>
                </c:pt>
                <c:pt idx="67">
                  <c:v>42734</c:v>
                </c:pt>
                <c:pt idx="68">
                  <c:v>42825</c:v>
                </c:pt>
                <c:pt idx="69">
                  <c:v>42916</c:v>
                </c:pt>
                <c:pt idx="70">
                  <c:v>43007</c:v>
                </c:pt>
                <c:pt idx="71">
                  <c:v>43098</c:v>
                </c:pt>
                <c:pt idx="72">
                  <c:v>43189</c:v>
                </c:pt>
              </c:numCache>
            </c:numRef>
          </c:cat>
          <c:val>
            <c:numRef>
              <c:f>WYKRES!$D$3:$D$75</c:f>
              <c:numCache>
                <c:formatCode>0.00</c:formatCode>
                <c:ptCount val="73"/>
                <c:pt idx="0">
                  <c:v>6.2260000000000003E-2</c:v>
                </c:pt>
                <c:pt idx="1">
                  <c:v>6.2270000000000006E-2</c:v>
                </c:pt>
                <c:pt idx="2">
                  <c:v>6.2060000000000004E-2</c:v>
                </c:pt>
                <c:pt idx="3">
                  <c:v>5.9650000000000002E-2</c:v>
                </c:pt>
                <c:pt idx="4">
                  <c:v>5.5510000000000004E-2</c:v>
                </c:pt>
                <c:pt idx="5">
                  <c:v>5.2590000000000005E-2</c:v>
                </c:pt>
                <c:pt idx="6">
                  <c:v>4.7289999999999999E-2</c:v>
                </c:pt>
                <c:pt idx="7">
                  <c:v>4.0490000000000005E-2</c:v>
                </c:pt>
                <c:pt idx="8">
                  <c:v>4.1280000000000004E-2</c:v>
                </c:pt>
                <c:pt idx="9">
                  <c:v>4.1759999999999999E-2</c:v>
                </c:pt>
                <c:pt idx="10">
                  <c:v>3.9890000000000002E-2</c:v>
                </c:pt>
                <c:pt idx="11">
                  <c:v>4.0160000000000001E-2</c:v>
                </c:pt>
                <c:pt idx="12">
                  <c:v>3.6549999999999999E-2</c:v>
                </c:pt>
                <c:pt idx="13">
                  <c:v>3.6400000000000002E-2</c:v>
                </c:pt>
                <c:pt idx="14">
                  <c:v>3.6970000000000003E-2</c:v>
                </c:pt>
                <c:pt idx="15">
                  <c:v>4.0170000000000004E-2</c:v>
                </c:pt>
                <c:pt idx="16">
                  <c:v>4.2930000000000003E-2</c:v>
                </c:pt>
                <c:pt idx="17">
                  <c:v>4.7899999999999998E-2</c:v>
                </c:pt>
                <c:pt idx="18">
                  <c:v>4.9489999999999999E-2</c:v>
                </c:pt>
                <c:pt idx="19">
                  <c:v>4.87E-2</c:v>
                </c:pt>
                <c:pt idx="20">
                  <c:v>4.9880000000000008E-2</c:v>
                </c:pt>
                <c:pt idx="21">
                  <c:v>4.8460000000000003E-2</c:v>
                </c:pt>
                <c:pt idx="22">
                  <c:v>4.5970000000000004E-2</c:v>
                </c:pt>
                <c:pt idx="23">
                  <c:v>4.6369999999999995E-2</c:v>
                </c:pt>
                <c:pt idx="24">
                  <c:v>4.5860000000000005E-2</c:v>
                </c:pt>
                <c:pt idx="25">
                  <c:v>4.734E-2</c:v>
                </c:pt>
                <c:pt idx="26">
                  <c:v>5.0250000000000003E-2</c:v>
                </c:pt>
                <c:pt idx="27">
                  <c:v>5.2900000000000003E-2</c:v>
                </c:pt>
                <c:pt idx="28">
                  <c:v>5.5460000000000002E-2</c:v>
                </c:pt>
                <c:pt idx="29">
                  <c:v>5.8799999999999998E-2</c:v>
                </c:pt>
                <c:pt idx="30">
                  <c:v>6.6650000000000001E-2</c:v>
                </c:pt>
                <c:pt idx="31">
                  <c:v>6.3909999999999995E-2</c:v>
                </c:pt>
                <c:pt idx="32">
                  <c:v>5.8899999999999994E-2</c:v>
                </c:pt>
                <c:pt idx="33">
                  <c:v>5.9290000000000002E-2</c:v>
                </c:pt>
                <c:pt idx="34">
                  <c:v>5.9109999999999996E-2</c:v>
                </c:pt>
                <c:pt idx="35">
                  <c:v>3.2010000000000004E-2</c:v>
                </c:pt>
                <c:pt idx="36">
                  <c:v>1.831E-2</c:v>
                </c:pt>
                <c:pt idx="37">
                  <c:v>1.2410000000000001E-2</c:v>
                </c:pt>
                <c:pt idx="38">
                  <c:v>6.0599999999999994E-3</c:v>
                </c:pt>
                <c:pt idx="39">
                  <c:v>6.0599999999999994E-3</c:v>
                </c:pt>
                <c:pt idx="40">
                  <c:v>6.45E-3</c:v>
                </c:pt>
                <c:pt idx="41">
                  <c:v>7.28E-3</c:v>
                </c:pt>
                <c:pt idx="42">
                  <c:v>7.2899999999999996E-3</c:v>
                </c:pt>
                <c:pt idx="43">
                  <c:v>7.4900000000000001E-3</c:v>
                </c:pt>
                <c:pt idx="44">
                  <c:v>8.09E-3</c:v>
                </c:pt>
                <c:pt idx="45">
                  <c:v>8.2500000000000004E-3</c:v>
                </c:pt>
                <c:pt idx="46">
                  <c:v>9.1800000000000007E-3</c:v>
                </c:pt>
                <c:pt idx="47">
                  <c:v>1.06E-2</c:v>
                </c:pt>
                <c:pt idx="48">
                  <c:v>1.038E-2</c:v>
                </c:pt>
                <c:pt idx="49">
                  <c:v>9.4500000000000001E-3</c:v>
                </c:pt>
                <c:pt idx="50">
                  <c:v>6.4800000000000005E-3</c:v>
                </c:pt>
                <c:pt idx="51">
                  <c:v>5.1900000000000002E-3</c:v>
                </c:pt>
                <c:pt idx="52">
                  <c:v>5.0699999999999999E-3</c:v>
                </c:pt>
                <c:pt idx="53">
                  <c:v>5.0800000000000003E-3</c:v>
                </c:pt>
                <c:pt idx="54">
                  <c:v>5.1700000000000001E-3</c:v>
                </c:pt>
                <c:pt idx="55">
                  <c:v>5.2399999999999999E-3</c:v>
                </c:pt>
                <c:pt idx="56">
                  <c:v>5.2199999999999998E-3</c:v>
                </c:pt>
                <c:pt idx="57">
                  <c:v>5.4400000000000004E-3</c:v>
                </c:pt>
                <c:pt idx="58">
                  <c:v>5.6299999999999996E-3</c:v>
                </c:pt>
                <c:pt idx="59">
                  <c:v>5.5800000000000008E-3</c:v>
                </c:pt>
                <c:pt idx="60">
                  <c:v>5.6399999999999992E-3</c:v>
                </c:pt>
                <c:pt idx="61">
                  <c:v>5.7199999999999994E-3</c:v>
                </c:pt>
                <c:pt idx="62">
                  <c:v>5.8599999999999998E-3</c:v>
                </c:pt>
                <c:pt idx="63">
                  <c:v>5.8199999999999997E-3</c:v>
                </c:pt>
                <c:pt idx="64">
                  <c:v>5.8799999999999998E-3</c:v>
                </c:pt>
                <c:pt idx="65">
                  <c:v>5.7499999999999999E-3</c:v>
                </c:pt>
                <c:pt idx="66">
                  <c:v>3.79E-3</c:v>
                </c:pt>
                <c:pt idx="67">
                  <c:v>3.7299999999999998E-3</c:v>
                </c:pt>
                <c:pt idx="68">
                  <c:v>3.4599999999999995E-3</c:v>
                </c:pt>
                <c:pt idx="69">
                  <c:v>2.9399999999999999E-3</c:v>
                </c:pt>
                <c:pt idx="70">
                  <c:v>3.0899999999999999E-3</c:v>
                </c:pt>
                <c:pt idx="71">
                  <c:v>5.1900000000000002E-3</c:v>
                </c:pt>
                <c:pt idx="72">
                  <c:v>5.7999999999999996E-3</c:v>
                </c:pt>
              </c:numCache>
            </c:numRef>
          </c:val>
          <c:smooth val="0"/>
          <c:extLst>
            <c:ext xmlns:c16="http://schemas.microsoft.com/office/drawing/2014/chart" uri="{C3380CC4-5D6E-409C-BE32-E72D297353CC}">
              <c16:uniqueId val="{00000002-2181-4BE2-BF44-8DD6C92AF0C1}"/>
            </c:ext>
          </c:extLst>
        </c:ser>
        <c:ser>
          <c:idx val="3"/>
          <c:order val="3"/>
          <c:tx>
            <c:strRef>
              <c:f>WYKRES!$E$2</c:f>
              <c:strCache>
                <c:ptCount val="1"/>
                <c:pt idx="0">
                  <c:v>LIBOR CHF 3M</c:v>
                </c:pt>
              </c:strCache>
            </c:strRef>
          </c:tx>
          <c:spPr>
            <a:ln w="25400">
              <a:solidFill>
                <a:schemeClr val="accent4"/>
              </a:solidFill>
            </a:ln>
          </c:spPr>
          <c:marker>
            <c:symbol val="none"/>
          </c:marker>
          <c:cat>
            <c:numRef>
              <c:f>WYKRES!$A$3:$A$75</c:f>
              <c:numCache>
                <c:formatCode>m/d/yyyy</c:formatCode>
                <c:ptCount val="73"/>
                <c:pt idx="0">
                  <c:v>36616</c:v>
                </c:pt>
                <c:pt idx="1">
                  <c:v>36707</c:v>
                </c:pt>
                <c:pt idx="2">
                  <c:v>36798</c:v>
                </c:pt>
                <c:pt idx="3">
                  <c:v>36889</c:v>
                </c:pt>
                <c:pt idx="4">
                  <c:v>36980</c:v>
                </c:pt>
                <c:pt idx="5">
                  <c:v>37071</c:v>
                </c:pt>
                <c:pt idx="6">
                  <c:v>37162</c:v>
                </c:pt>
                <c:pt idx="7">
                  <c:v>37256</c:v>
                </c:pt>
                <c:pt idx="8">
                  <c:v>37344</c:v>
                </c:pt>
                <c:pt idx="9">
                  <c:v>37435</c:v>
                </c:pt>
                <c:pt idx="10">
                  <c:v>37529</c:v>
                </c:pt>
                <c:pt idx="11">
                  <c:v>37621</c:v>
                </c:pt>
                <c:pt idx="12">
                  <c:v>37711</c:v>
                </c:pt>
                <c:pt idx="13">
                  <c:v>37802</c:v>
                </c:pt>
                <c:pt idx="14">
                  <c:v>37894</c:v>
                </c:pt>
                <c:pt idx="15">
                  <c:v>37986</c:v>
                </c:pt>
                <c:pt idx="16">
                  <c:v>38077</c:v>
                </c:pt>
                <c:pt idx="17">
                  <c:v>38168</c:v>
                </c:pt>
                <c:pt idx="18">
                  <c:v>38260</c:v>
                </c:pt>
                <c:pt idx="19">
                  <c:v>38352</c:v>
                </c:pt>
                <c:pt idx="20">
                  <c:v>38442</c:v>
                </c:pt>
                <c:pt idx="21">
                  <c:v>38533</c:v>
                </c:pt>
                <c:pt idx="22">
                  <c:v>38625</c:v>
                </c:pt>
                <c:pt idx="23">
                  <c:v>38716</c:v>
                </c:pt>
                <c:pt idx="24">
                  <c:v>38807</c:v>
                </c:pt>
                <c:pt idx="25">
                  <c:v>38898</c:v>
                </c:pt>
                <c:pt idx="26">
                  <c:v>38989</c:v>
                </c:pt>
                <c:pt idx="27">
                  <c:v>39080</c:v>
                </c:pt>
                <c:pt idx="28">
                  <c:v>39171</c:v>
                </c:pt>
                <c:pt idx="29">
                  <c:v>39262</c:v>
                </c:pt>
                <c:pt idx="30">
                  <c:v>39353</c:v>
                </c:pt>
                <c:pt idx="31">
                  <c:v>39447</c:v>
                </c:pt>
                <c:pt idx="32">
                  <c:v>39538</c:v>
                </c:pt>
                <c:pt idx="33">
                  <c:v>39629</c:v>
                </c:pt>
                <c:pt idx="34">
                  <c:v>39721</c:v>
                </c:pt>
                <c:pt idx="35">
                  <c:v>39813</c:v>
                </c:pt>
                <c:pt idx="36">
                  <c:v>39903</c:v>
                </c:pt>
                <c:pt idx="37">
                  <c:v>39994</c:v>
                </c:pt>
                <c:pt idx="38">
                  <c:v>40086</c:v>
                </c:pt>
                <c:pt idx="39">
                  <c:v>40178</c:v>
                </c:pt>
                <c:pt idx="40">
                  <c:v>40268</c:v>
                </c:pt>
                <c:pt idx="41">
                  <c:v>40359</c:v>
                </c:pt>
                <c:pt idx="42">
                  <c:v>40451</c:v>
                </c:pt>
                <c:pt idx="43">
                  <c:v>40543</c:v>
                </c:pt>
                <c:pt idx="44">
                  <c:v>40633</c:v>
                </c:pt>
                <c:pt idx="45">
                  <c:v>40724</c:v>
                </c:pt>
                <c:pt idx="46">
                  <c:v>40816</c:v>
                </c:pt>
                <c:pt idx="47">
                  <c:v>40907</c:v>
                </c:pt>
                <c:pt idx="48">
                  <c:v>40998</c:v>
                </c:pt>
                <c:pt idx="49">
                  <c:v>41089</c:v>
                </c:pt>
                <c:pt idx="50">
                  <c:v>41180</c:v>
                </c:pt>
                <c:pt idx="51">
                  <c:v>41274</c:v>
                </c:pt>
                <c:pt idx="52">
                  <c:v>41362</c:v>
                </c:pt>
                <c:pt idx="53">
                  <c:v>41453</c:v>
                </c:pt>
                <c:pt idx="54">
                  <c:v>41547</c:v>
                </c:pt>
                <c:pt idx="55">
                  <c:v>41639</c:v>
                </c:pt>
                <c:pt idx="56">
                  <c:v>41729</c:v>
                </c:pt>
                <c:pt idx="57">
                  <c:v>41820</c:v>
                </c:pt>
                <c:pt idx="58">
                  <c:v>41912</c:v>
                </c:pt>
                <c:pt idx="59">
                  <c:v>42004</c:v>
                </c:pt>
                <c:pt idx="60">
                  <c:v>42094</c:v>
                </c:pt>
                <c:pt idx="61">
                  <c:v>42185</c:v>
                </c:pt>
                <c:pt idx="62">
                  <c:v>42277</c:v>
                </c:pt>
                <c:pt idx="63">
                  <c:v>42369</c:v>
                </c:pt>
                <c:pt idx="64">
                  <c:v>42460</c:v>
                </c:pt>
                <c:pt idx="65">
                  <c:v>42551</c:v>
                </c:pt>
                <c:pt idx="66">
                  <c:v>42643</c:v>
                </c:pt>
                <c:pt idx="67">
                  <c:v>42734</c:v>
                </c:pt>
                <c:pt idx="68">
                  <c:v>42825</c:v>
                </c:pt>
                <c:pt idx="69">
                  <c:v>42916</c:v>
                </c:pt>
                <c:pt idx="70">
                  <c:v>43007</c:v>
                </c:pt>
                <c:pt idx="71">
                  <c:v>43098</c:v>
                </c:pt>
                <c:pt idx="72">
                  <c:v>43189</c:v>
                </c:pt>
              </c:numCache>
            </c:numRef>
          </c:cat>
          <c:val>
            <c:numRef>
              <c:f>WYKRES!$E$3:$E$75</c:f>
              <c:numCache>
                <c:formatCode>0.00</c:formatCode>
                <c:ptCount val="73"/>
                <c:pt idx="0">
                  <c:v>2.3316674999999999E-2</c:v>
                </c:pt>
                <c:pt idx="1">
                  <c:v>3.1349999999999996E-2</c:v>
                </c:pt>
                <c:pt idx="2">
                  <c:v>3.4833249999999996E-2</c:v>
                </c:pt>
                <c:pt idx="3">
                  <c:v>3.467075E-2</c:v>
                </c:pt>
                <c:pt idx="4">
                  <c:v>3.3741500000000001E-2</c:v>
                </c:pt>
                <c:pt idx="5">
                  <c:v>3.2429249999999993E-2</c:v>
                </c:pt>
                <c:pt idx="6">
                  <c:v>2.7504000000000004E-2</c:v>
                </c:pt>
                <c:pt idx="7">
                  <c:v>2.062485E-2</c:v>
                </c:pt>
                <c:pt idx="8">
                  <c:v>1.730835E-2</c:v>
                </c:pt>
                <c:pt idx="9">
                  <c:v>1.430415E-2</c:v>
                </c:pt>
                <c:pt idx="10">
                  <c:v>9.7833E-3</c:v>
                </c:pt>
                <c:pt idx="11">
                  <c:v>7.1374749999999999E-3</c:v>
                </c:pt>
                <c:pt idx="12">
                  <c:v>4.64585E-3</c:v>
                </c:pt>
                <c:pt idx="13">
                  <c:v>2.9125000000000002E-3</c:v>
                </c:pt>
                <c:pt idx="14">
                  <c:v>2.6729250000000005E-3</c:v>
                </c:pt>
                <c:pt idx="15">
                  <c:v>2.5395750000000001E-3</c:v>
                </c:pt>
                <c:pt idx="16">
                  <c:v>2.5416749999999998E-3</c:v>
                </c:pt>
                <c:pt idx="17">
                  <c:v>3.7416499999999996E-3</c:v>
                </c:pt>
                <c:pt idx="18">
                  <c:v>5.9458499999999991E-3</c:v>
                </c:pt>
                <c:pt idx="19">
                  <c:v>7.1833249999999991E-3</c:v>
                </c:pt>
                <c:pt idx="20">
                  <c:v>7.441675E-3</c:v>
                </c:pt>
                <c:pt idx="21">
                  <c:v>7.608325E-3</c:v>
                </c:pt>
                <c:pt idx="22">
                  <c:v>7.591675E-3</c:v>
                </c:pt>
                <c:pt idx="23">
                  <c:v>9.1083250000000004E-3</c:v>
                </c:pt>
                <c:pt idx="24">
                  <c:v>1.1239599999999999E-2</c:v>
                </c:pt>
                <c:pt idx="25">
                  <c:v>1.3887499999999999E-2</c:v>
                </c:pt>
                <c:pt idx="26">
                  <c:v>1.6639575E-2</c:v>
                </c:pt>
                <c:pt idx="27">
                  <c:v>1.9566650000000001E-2</c:v>
                </c:pt>
                <c:pt idx="28">
                  <c:v>2.2041649999999996E-2</c:v>
                </c:pt>
                <c:pt idx="29">
                  <c:v>2.4977099999999995E-2</c:v>
                </c:pt>
                <c:pt idx="30">
                  <c:v>2.76729E-2</c:v>
                </c:pt>
                <c:pt idx="31">
                  <c:v>2.7737499999999998E-2</c:v>
                </c:pt>
                <c:pt idx="32">
                  <c:v>2.7933324999999998E-2</c:v>
                </c:pt>
                <c:pt idx="33">
                  <c:v>2.8449999999999996E-2</c:v>
                </c:pt>
                <c:pt idx="34">
                  <c:v>2.8545824999999997E-2</c:v>
                </c:pt>
                <c:pt idx="35">
                  <c:v>1.8568774999999999E-2</c:v>
                </c:pt>
                <c:pt idx="36">
                  <c:v>5.2583000000000005E-3</c:v>
                </c:pt>
                <c:pt idx="37">
                  <c:v>3.9791499999999999E-3</c:v>
                </c:pt>
                <c:pt idx="38">
                  <c:v>3.4166499999999998E-3</c:v>
                </c:pt>
                <c:pt idx="39">
                  <c:v>2.6875250000000001E-3</c:v>
                </c:pt>
                <c:pt idx="40">
                  <c:v>2.487525E-3</c:v>
                </c:pt>
                <c:pt idx="41">
                  <c:v>1.7104500000000001E-3</c:v>
                </c:pt>
                <c:pt idx="42">
                  <c:v>1.4666499999999999E-3</c:v>
                </c:pt>
                <c:pt idx="43">
                  <c:v>1.7395750000000001E-3</c:v>
                </c:pt>
                <c:pt idx="44">
                  <c:v>1.7437500000000001E-3</c:v>
                </c:pt>
                <c:pt idx="45">
                  <c:v>1.7666500000000003E-3</c:v>
                </c:pt>
                <c:pt idx="46">
                  <c:v>9.4372499999999997E-4</c:v>
                </c:pt>
                <c:pt idx="47">
                  <c:v>3.7500000000000001E-4</c:v>
                </c:pt>
                <c:pt idx="48">
                  <c:v>8.0835E-4</c:v>
                </c:pt>
                <c:pt idx="49">
                  <c:v>9.9332499999999998E-4</c:v>
                </c:pt>
                <c:pt idx="50">
                  <c:v>6.4500000000000007E-4</c:v>
                </c:pt>
                <c:pt idx="51">
                  <c:v>2.7499999999999996E-4</c:v>
                </c:pt>
                <c:pt idx="52">
                  <c:v>1.7500000000000003E-4</c:v>
                </c:pt>
                <c:pt idx="53">
                  <c:v>1.975E-4</c:v>
                </c:pt>
                <c:pt idx="54">
                  <c:v>2.0249999999999996E-4</c:v>
                </c:pt>
                <c:pt idx="55">
                  <c:v>2.1249999999999999E-4</c:v>
                </c:pt>
                <c:pt idx="56">
                  <c:v>2.1499999999999999E-4</c:v>
                </c:pt>
                <c:pt idx="57">
                  <c:v>1.35E-4</c:v>
                </c:pt>
                <c:pt idx="58">
                  <c:v>1.0750000000000001E-4</c:v>
                </c:pt>
                <c:pt idx="59">
                  <c:v>-2.7500000000000002E-4</c:v>
                </c:pt>
                <c:pt idx="60">
                  <c:v>-4.7599999999999995E-3</c:v>
                </c:pt>
                <c:pt idx="61">
                  <c:v>-8.0125000000000005E-3</c:v>
                </c:pt>
                <c:pt idx="62">
                  <c:v>-7.5949999999999993E-3</c:v>
                </c:pt>
                <c:pt idx="63">
                  <c:v>-7.6899999999999989E-3</c:v>
                </c:pt>
                <c:pt idx="64">
                  <c:v>-7.5575E-3</c:v>
                </c:pt>
                <c:pt idx="65">
                  <c:v>-7.5839999999999996E-3</c:v>
                </c:pt>
                <c:pt idx="66">
                  <c:v>-7.6054999999999994E-3</c:v>
                </c:pt>
                <c:pt idx="67">
                  <c:v>-7.3745000000000008E-3</c:v>
                </c:pt>
                <c:pt idx="68">
                  <c:v>-7.2755000000000007E-3</c:v>
                </c:pt>
                <c:pt idx="69">
                  <c:v>-7.2994999999999996E-3</c:v>
                </c:pt>
                <c:pt idx="70">
                  <c:v>-7.2709999999999997E-3</c:v>
                </c:pt>
                <c:pt idx="71">
                  <c:v>-7.4034999999999995E-3</c:v>
                </c:pt>
                <c:pt idx="72">
                  <c:v>-7.4000000000000003E-3</c:v>
                </c:pt>
              </c:numCache>
            </c:numRef>
          </c:val>
          <c:smooth val="0"/>
          <c:extLst>
            <c:ext xmlns:c16="http://schemas.microsoft.com/office/drawing/2014/chart" uri="{C3380CC4-5D6E-409C-BE32-E72D297353CC}">
              <c16:uniqueId val="{00000003-2181-4BE2-BF44-8DD6C92AF0C1}"/>
            </c:ext>
          </c:extLst>
        </c:ser>
        <c:ser>
          <c:idx val="4"/>
          <c:order val="4"/>
          <c:tx>
            <c:strRef>
              <c:f>WYKRES!$F$2</c:f>
              <c:strCache>
                <c:ptCount val="1"/>
                <c:pt idx="0">
                  <c:v>EURIBOR 3M</c:v>
                </c:pt>
              </c:strCache>
            </c:strRef>
          </c:tx>
          <c:spPr>
            <a:ln w="25400">
              <a:solidFill>
                <a:schemeClr val="accent1"/>
              </a:solidFill>
            </a:ln>
          </c:spPr>
          <c:marker>
            <c:symbol val="none"/>
          </c:marker>
          <c:cat>
            <c:numRef>
              <c:f>WYKRES!$A$3:$A$75</c:f>
              <c:numCache>
                <c:formatCode>m/d/yyyy</c:formatCode>
                <c:ptCount val="73"/>
                <c:pt idx="0">
                  <c:v>36616</c:v>
                </c:pt>
                <c:pt idx="1">
                  <c:v>36707</c:v>
                </c:pt>
                <c:pt idx="2">
                  <c:v>36798</c:v>
                </c:pt>
                <c:pt idx="3">
                  <c:v>36889</c:v>
                </c:pt>
                <c:pt idx="4">
                  <c:v>36980</c:v>
                </c:pt>
                <c:pt idx="5">
                  <c:v>37071</c:v>
                </c:pt>
                <c:pt idx="6">
                  <c:v>37162</c:v>
                </c:pt>
                <c:pt idx="7">
                  <c:v>37256</c:v>
                </c:pt>
                <c:pt idx="8">
                  <c:v>37344</c:v>
                </c:pt>
                <c:pt idx="9">
                  <c:v>37435</c:v>
                </c:pt>
                <c:pt idx="10">
                  <c:v>37529</c:v>
                </c:pt>
                <c:pt idx="11">
                  <c:v>37621</c:v>
                </c:pt>
                <c:pt idx="12">
                  <c:v>37711</c:v>
                </c:pt>
                <c:pt idx="13">
                  <c:v>37802</c:v>
                </c:pt>
                <c:pt idx="14">
                  <c:v>37894</c:v>
                </c:pt>
                <c:pt idx="15">
                  <c:v>37986</c:v>
                </c:pt>
                <c:pt idx="16">
                  <c:v>38077</c:v>
                </c:pt>
                <c:pt idx="17">
                  <c:v>38168</c:v>
                </c:pt>
                <c:pt idx="18">
                  <c:v>38260</c:v>
                </c:pt>
                <c:pt idx="19">
                  <c:v>38352</c:v>
                </c:pt>
                <c:pt idx="20">
                  <c:v>38442</c:v>
                </c:pt>
                <c:pt idx="21">
                  <c:v>38533</c:v>
                </c:pt>
                <c:pt idx="22">
                  <c:v>38625</c:v>
                </c:pt>
                <c:pt idx="23">
                  <c:v>38716</c:v>
                </c:pt>
                <c:pt idx="24">
                  <c:v>38807</c:v>
                </c:pt>
                <c:pt idx="25">
                  <c:v>38898</c:v>
                </c:pt>
                <c:pt idx="26">
                  <c:v>38989</c:v>
                </c:pt>
                <c:pt idx="27">
                  <c:v>39080</c:v>
                </c:pt>
                <c:pt idx="28">
                  <c:v>39171</c:v>
                </c:pt>
                <c:pt idx="29">
                  <c:v>39262</c:v>
                </c:pt>
                <c:pt idx="30">
                  <c:v>39353</c:v>
                </c:pt>
                <c:pt idx="31">
                  <c:v>39447</c:v>
                </c:pt>
                <c:pt idx="32">
                  <c:v>39538</c:v>
                </c:pt>
                <c:pt idx="33">
                  <c:v>39629</c:v>
                </c:pt>
                <c:pt idx="34">
                  <c:v>39721</c:v>
                </c:pt>
                <c:pt idx="35">
                  <c:v>39813</c:v>
                </c:pt>
                <c:pt idx="36">
                  <c:v>39903</c:v>
                </c:pt>
                <c:pt idx="37">
                  <c:v>39994</c:v>
                </c:pt>
                <c:pt idx="38">
                  <c:v>40086</c:v>
                </c:pt>
                <c:pt idx="39">
                  <c:v>40178</c:v>
                </c:pt>
                <c:pt idx="40">
                  <c:v>40268</c:v>
                </c:pt>
                <c:pt idx="41">
                  <c:v>40359</c:v>
                </c:pt>
                <c:pt idx="42">
                  <c:v>40451</c:v>
                </c:pt>
                <c:pt idx="43">
                  <c:v>40543</c:v>
                </c:pt>
                <c:pt idx="44">
                  <c:v>40633</c:v>
                </c:pt>
                <c:pt idx="45">
                  <c:v>40724</c:v>
                </c:pt>
                <c:pt idx="46">
                  <c:v>40816</c:v>
                </c:pt>
                <c:pt idx="47">
                  <c:v>40907</c:v>
                </c:pt>
                <c:pt idx="48">
                  <c:v>40998</c:v>
                </c:pt>
                <c:pt idx="49">
                  <c:v>41089</c:v>
                </c:pt>
                <c:pt idx="50">
                  <c:v>41180</c:v>
                </c:pt>
                <c:pt idx="51">
                  <c:v>41274</c:v>
                </c:pt>
                <c:pt idx="52">
                  <c:v>41362</c:v>
                </c:pt>
                <c:pt idx="53">
                  <c:v>41453</c:v>
                </c:pt>
                <c:pt idx="54">
                  <c:v>41547</c:v>
                </c:pt>
                <c:pt idx="55">
                  <c:v>41639</c:v>
                </c:pt>
                <c:pt idx="56">
                  <c:v>41729</c:v>
                </c:pt>
                <c:pt idx="57">
                  <c:v>41820</c:v>
                </c:pt>
                <c:pt idx="58">
                  <c:v>41912</c:v>
                </c:pt>
                <c:pt idx="59">
                  <c:v>42004</c:v>
                </c:pt>
                <c:pt idx="60">
                  <c:v>42094</c:v>
                </c:pt>
                <c:pt idx="61">
                  <c:v>42185</c:v>
                </c:pt>
                <c:pt idx="62">
                  <c:v>42277</c:v>
                </c:pt>
                <c:pt idx="63">
                  <c:v>42369</c:v>
                </c:pt>
                <c:pt idx="64">
                  <c:v>42460</c:v>
                </c:pt>
                <c:pt idx="65">
                  <c:v>42551</c:v>
                </c:pt>
                <c:pt idx="66">
                  <c:v>42643</c:v>
                </c:pt>
                <c:pt idx="67">
                  <c:v>42734</c:v>
                </c:pt>
                <c:pt idx="68">
                  <c:v>42825</c:v>
                </c:pt>
                <c:pt idx="69">
                  <c:v>42916</c:v>
                </c:pt>
                <c:pt idx="70">
                  <c:v>43007</c:v>
                </c:pt>
                <c:pt idx="71">
                  <c:v>43098</c:v>
                </c:pt>
                <c:pt idx="72">
                  <c:v>43189</c:v>
                </c:pt>
              </c:numCache>
            </c:numRef>
          </c:cat>
          <c:val>
            <c:numRef>
              <c:f>WYKRES!$F$3:$F$75</c:f>
              <c:numCache>
                <c:formatCode>0.00</c:formatCode>
                <c:ptCount val="73"/>
                <c:pt idx="0">
                  <c:v>3.5777499999999997E-2</c:v>
                </c:pt>
                <c:pt idx="1">
                  <c:v>4.1909999999999996E-2</c:v>
                </c:pt>
                <c:pt idx="2">
                  <c:v>4.7702500000000009E-2</c:v>
                </c:pt>
                <c:pt idx="3">
                  <c:v>4.9602500000000001E-2</c:v>
                </c:pt>
                <c:pt idx="4">
                  <c:v>4.7007500000000001E-2</c:v>
                </c:pt>
                <c:pt idx="5">
                  <c:v>4.5605E-2</c:v>
                </c:pt>
                <c:pt idx="6">
                  <c:v>4.0594999999999999E-2</c:v>
                </c:pt>
                <c:pt idx="7">
                  <c:v>3.4750000000000003E-2</c:v>
                </c:pt>
                <c:pt idx="8">
                  <c:v>3.3627500000000005E-2</c:v>
                </c:pt>
                <c:pt idx="9">
                  <c:v>3.449E-2</c:v>
                </c:pt>
                <c:pt idx="10">
                  <c:v>3.3652500000000002E-2</c:v>
                </c:pt>
                <c:pt idx="11">
                  <c:v>3.0805000000000003E-2</c:v>
                </c:pt>
                <c:pt idx="12">
                  <c:v>2.6767500000000003E-2</c:v>
                </c:pt>
                <c:pt idx="13">
                  <c:v>2.3362499999999998E-2</c:v>
                </c:pt>
                <c:pt idx="14">
                  <c:v>2.1382500000000002E-2</c:v>
                </c:pt>
                <c:pt idx="15">
                  <c:v>2.13875E-2</c:v>
                </c:pt>
                <c:pt idx="16">
                  <c:v>2.0387499999999999E-2</c:v>
                </c:pt>
                <c:pt idx="17">
                  <c:v>2.0409999999999998E-2</c:v>
                </c:pt>
                <c:pt idx="18">
                  <c:v>2.1317500000000003E-2</c:v>
                </c:pt>
                <c:pt idx="19">
                  <c:v>2.1567500000000003E-2</c:v>
                </c:pt>
                <c:pt idx="20">
                  <c:v>2.1454999999999998E-2</c:v>
                </c:pt>
                <c:pt idx="21">
                  <c:v>2.1257499999999999E-2</c:v>
                </c:pt>
                <c:pt idx="22">
                  <c:v>2.1415000000000003E-2</c:v>
                </c:pt>
                <c:pt idx="23">
                  <c:v>2.33475E-2</c:v>
                </c:pt>
                <c:pt idx="24">
                  <c:v>2.6525E-2</c:v>
                </c:pt>
                <c:pt idx="25">
                  <c:v>2.9247500000000003E-2</c:v>
                </c:pt>
                <c:pt idx="26">
                  <c:v>3.236E-2</c:v>
                </c:pt>
                <c:pt idx="27">
                  <c:v>3.5744999999999999E-2</c:v>
                </c:pt>
                <c:pt idx="28">
                  <c:v>3.8245000000000001E-2</c:v>
                </c:pt>
                <c:pt idx="29">
                  <c:v>4.0510000000000004E-2</c:v>
                </c:pt>
                <c:pt idx="30">
                  <c:v>4.4839999999999998E-2</c:v>
                </c:pt>
                <c:pt idx="31">
                  <c:v>4.7504999999999999E-2</c:v>
                </c:pt>
                <c:pt idx="32">
                  <c:v>4.6027500000000006E-2</c:v>
                </c:pt>
                <c:pt idx="33">
                  <c:v>4.8440000000000004E-2</c:v>
                </c:pt>
                <c:pt idx="34">
                  <c:v>5.1159999999999997E-2</c:v>
                </c:pt>
                <c:pt idx="35">
                  <c:v>4.1169999999999998E-2</c:v>
                </c:pt>
                <c:pt idx="36">
                  <c:v>2.1845E-2</c:v>
                </c:pt>
                <c:pt idx="37">
                  <c:v>1.2985E-2</c:v>
                </c:pt>
                <c:pt idx="38">
                  <c:v>9.1549999999999999E-3</c:v>
                </c:pt>
                <c:pt idx="39">
                  <c:v>7.2700000000000013E-3</c:v>
                </c:pt>
                <c:pt idx="40">
                  <c:v>6.6699999999999988E-3</c:v>
                </c:pt>
                <c:pt idx="41">
                  <c:v>7.0099999999999997E-3</c:v>
                </c:pt>
                <c:pt idx="42">
                  <c:v>8.4025000000000002E-3</c:v>
                </c:pt>
                <c:pt idx="43">
                  <c:v>9.8500000000000011E-3</c:v>
                </c:pt>
                <c:pt idx="44">
                  <c:v>1.1185E-2</c:v>
                </c:pt>
                <c:pt idx="45">
                  <c:v>1.3979999999999999E-2</c:v>
                </c:pt>
                <c:pt idx="46">
                  <c:v>1.5630000000000002E-2</c:v>
                </c:pt>
                <c:pt idx="47">
                  <c:v>1.4652499999999999E-2</c:v>
                </c:pt>
                <c:pt idx="48">
                  <c:v>1.06E-2</c:v>
                </c:pt>
                <c:pt idx="49">
                  <c:v>7.1174999999999997E-3</c:v>
                </c:pt>
                <c:pt idx="50">
                  <c:v>4.3600000000000002E-3</c:v>
                </c:pt>
                <c:pt idx="51">
                  <c:v>2.0350000000000004E-3</c:v>
                </c:pt>
                <c:pt idx="52">
                  <c:v>2.0525000000000001E-3</c:v>
                </c:pt>
                <c:pt idx="53">
                  <c:v>2.1275000000000001E-3</c:v>
                </c:pt>
                <c:pt idx="54">
                  <c:v>2.2300000000000002E-3</c:v>
                </c:pt>
                <c:pt idx="55">
                  <c:v>2.5674999999999999E-3</c:v>
                </c:pt>
                <c:pt idx="56">
                  <c:v>2.9925000000000004E-3</c:v>
                </c:pt>
                <c:pt idx="57">
                  <c:v>2.6849999999999995E-3</c:v>
                </c:pt>
                <c:pt idx="58">
                  <c:v>1.4475E-3</c:v>
                </c:pt>
                <c:pt idx="59">
                  <c:v>8.1500000000000008E-4</c:v>
                </c:pt>
                <c:pt idx="60">
                  <c:v>4.6749999999999993E-4</c:v>
                </c:pt>
                <c:pt idx="61">
                  <c:v>1.4999999999999992E-5</c:v>
                </c:pt>
                <c:pt idx="62">
                  <c:v>-2.7250000000000001E-4</c:v>
                </c:pt>
                <c:pt idx="63">
                  <c:v>-8.7499999999999991E-4</c:v>
                </c:pt>
                <c:pt idx="64">
                  <c:v>-1.8799999999999999E-3</c:v>
                </c:pt>
                <c:pt idx="65">
                  <c:v>-2.6550000000000002E-3</c:v>
                </c:pt>
                <c:pt idx="66">
                  <c:v>-2.9624999999999994E-3</c:v>
                </c:pt>
                <c:pt idx="67">
                  <c:v>-3.0999999999999999E-3</c:v>
                </c:pt>
                <c:pt idx="68">
                  <c:v>-3.2374999999999999E-3</c:v>
                </c:pt>
                <c:pt idx="69">
                  <c:v>-3.3050000000000002E-3</c:v>
                </c:pt>
                <c:pt idx="70">
                  <c:v>-3.3E-3</c:v>
                </c:pt>
                <c:pt idx="71">
                  <c:v>-3.2850000000000002E-3</c:v>
                </c:pt>
                <c:pt idx="72">
                  <c:v>-3.3E-3</c:v>
                </c:pt>
              </c:numCache>
            </c:numRef>
          </c:val>
          <c:smooth val="0"/>
          <c:extLst>
            <c:ext xmlns:c16="http://schemas.microsoft.com/office/drawing/2014/chart" uri="{C3380CC4-5D6E-409C-BE32-E72D297353CC}">
              <c16:uniqueId val="{00000004-2181-4BE2-BF44-8DD6C92AF0C1}"/>
            </c:ext>
          </c:extLst>
        </c:ser>
        <c:dLbls>
          <c:showLegendKey val="0"/>
          <c:showVal val="0"/>
          <c:showCatName val="0"/>
          <c:showSerName val="0"/>
          <c:showPercent val="0"/>
          <c:showBubbleSize val="0"/>
        </c:dLbls>
        <c:smooth val="0"/>
        <c:axId val="95615616"/>
        <c:axId val="95682944"/>
      </c:lineChart>
      <c:dateAx>
        <c:axId val="95615616"/>
        <c:scaling>
          <c:orientation val="minMax"/>
        </c:scaling>
        <c:delete val="0"/>
        <c:axPos val="b"/>
        <c:majorGridlines>
          <c:spPr>
            <a:ln>
              <a:solidFill>
                <a:schemeClr val="bg1">
                  <a:lumMod val="85000"/>
                </a:schemeClr>
              </a:solidFill>
            </a:ln>
          </c:spPr>
        </c:majorGridlines>
        <c:numFmt formatCode="m/d/yyyy" sourceLinked="1"/>
        <c:majorTickMark val="out"/>
        <c:minorTickMark val="none"/>
        <c:tickLblPos val="low"/>
        <c:spPr>
          <a:ln>
            <a:solidFill>
              <a:schemeClr val="tx1">
                <a:lumMod val="65000"/>
                <a:lumOff val="35000"/>
              </a:schemeClr>
            </a:solidFill>
          </a:ln>
        </c:spPr>
        <c:txPr>
          <a:bodyPr rot="-5400000" vert="horz"/>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crossAx val="95682944"/>
        <c:crosses val="autoZero"/>
        <c:auto val="1"/>
        <c:lblOffset val="100"/>
        <c:baseTimeUnit val="months"/>
        <c:majorUnit val="12"/>
        <c:majorTimeUnit val="months"/>
      </c:dateAx>
      <c:valAx>
        <c:axId val="95682944"/>
        <c:scaling>
          <c:orientation val="minMax"/>
          <c:max val="0.2"/>
          <c:min val="-1.0000000000000002E-2"/>
        </c:scaling>
        <c:delete val="0"/>
        <c:axPos val="l"/>
        <c:majorGridlines>
          <c:spPr>
            <a:ln>
              <a:solidFill>
                <a:schemeClr val="bg1">
                  <a:lumMod val="85000"/>
                </a:schemeClr>
              </a:solidFill>
            </a:ln>
          </c:spPr>
        </c:majorGridlines>
        <c:numFmt formatCode="0.0%" sourceLinked="0"/>
        <c:majorTickMark val="out"/>
        <c:minorTickMark val="none"/>
        <c:tickLblPos val="nextTo"/>
        <c:spPr>
          <a:ln>
            <a:solidFill>
              <a:schemeClr val="tx1">
                <a:lumMod val="65000"/>
                <a:lumOff val="35000"/>
              </a:schemeClr>
            </a:solidFill>
          </a:ln>
        </c:spPr>
        <c:txPr>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crossAx val="95615616"/>
        <c:crossesAt val="36586"/>
        <c:crossBetween val="midCat"/>
        <c:majorUnit val="3.0000000000000006E-2"/>
        <c:minorUnit val="1.0000000000000002E-2"/>
      </c:valAx>
    </c:plotArea>
    <c:legend>
      <c:legendPos val="r"/>
      <c:layout>
        <c:manualLayout>
          <c:xMode val="edge"/>
          <c:yMode val="edge"/>
          <c:x val="0.74889207364127441"/>
          <c:y val="8.2914009544568013E-2"/>
          <c:w val="0.21803549774005071"/>
          <c:h val="0.36318075847455483"/>
        </c:manualLayout>
      </c:layout>
      <c:overlay val="0"/>
      <c:txPr>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legend>
    <c:plotVisOnly val="1"/>
    <c:dispBlanksAs val="gap"/>
    <c:showDLblsOverMax val="0"/>
  </c:chart>
  <c:spPr>
    <a:ln>
      <a:solidFill>
        <a:schemeClr val="bg1">
          <a:lumMod val="85000"/>
        </a:schemeClr>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0519514706679364E-2"/>
          <c:y val="6.2280368700203273E-2"/>
          <c:w val="0.91784823357257339"/>
          <c:h val="0.83855814388186645"/>
        </c:manualLayout>
      </c:layout>
      <c:lineChart>
        <c:grouping val="standard"/>
        <c:varyColors val="0"/>
        <c:ser>
          <c:idx val="0"/>
          <c:order val="0"/>
          <c:tx>
            <c:strRef>
              <c:f>DANE!$P$3</c:f>
              <c:strCache>
                <c:ptCount val="1"/>
                <c:pt idx="0">
                  <c:v>USD/PLN</c:v>
                </c:pt>
              </c:strCache>
            </c:strRef>
          </c:tx>
          <c:spPr>
            <a:ln w="25400" cap="rnd">
              <a:solidFill>
                <a:schemeClr val="accent6"/>
              </a:solidFill>
              <a:round/>
            </a:ln>
            <a:effectLst/>
          </c:spPr>
          <c:marker>
            <c:symbol val="none"/>
          </c:marker>
          <c:cat>
            <c:numRef>
              <c:f>DANE!$Q$2:$AI$2</c:f>
              <c:numCache>
                <c:formatCode>General</c:formatCode>
                <c:ptCount val="19"/>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numCache>
            </c:numRef>
          </c:cat>
          <c:val>
            <c:numRef>
              <c:f>DANE!$Q$3:$AI$3</c:f>
              <c:numCache>
                <c:formatCode>#,##0.00</c:formatCode>
                <c:ptCount val="19"/>
                <c:pt idx="0">
                  <c:v>4.3460749999999999</c:v>
                </c:pt>
                <c:pt idx="1">
                  <c:v>4.0937000000000001</c:v>
                </c:pt>
                <c:pt idx="2">
                  <c:v>4.386755</c:v>
                </c:pt>
                <c:pt idx="3">
                  <c:v>3.8890750000000001</c:v>
                </c:pt>
                <c:pt idx="4">
                  <c:v>3.6549999999999998</c:v>
                </c:pt>
                <c:pt idx="5">
                  <c:v>3.2338166666666663</c:v>
                </c:pt>
                <c:pt idx="6">
                  <c:v>3.1031583333333335</c:v>
                </c:pt>
                <c:pt idx="7">
                  <c:v>2.7679499999999995</c:v>
                </c:pt>
                <c:pt idx="8">
                  <c:v>2.4092416666666661</c:v>
                </c:pt>
                <c:pt idx="9">
                  <c:v>3.1196999999999999</c:v>
                </c:pt>
                <c:pt idx="10">
                  <c:v>3.0152999999999999</c:v>
                </c:pt>
                <c:pt idx="11">
                  <c:v>2.96285</c:v>
                </c:pt>
                <c:pt idx="12">
                  <c:v>3.2565416666666667</c:v>
                </c:pt>
                <c:pt idx="13">
                  <c:v>3.1606166666666664</c:v>
                </c:pt>
                <c:pt idx="14">
                  <c:v>3.1545416666666664</c:v>
                </c:pt>
                <c:pt idx="15">
                  <c:v>3.7694999999999994</c:v>
                </c:pt>
                <c:pt idx="16">
                  <c:v>3.9427833333333342</c:v>
                </c:pt>
                <c:pt idx="17">
                  <c:v>3.7793333333333332</c:v>
                </c:pt>
                <c:pt idx="18">
                  <c:v>3.41</c:v>
                </c:pt>
              </c:numCache>
            </c:numRef>
          </c:val>
          <c:smooth val="0"/>
          <c:extLst>
            <c:ext xmlns:c16="http://schemas.microsoft.com/office/drawing/2014/chart" uri="{C3380CC4-5D6E-409C-BE32-E72D297353CC}">
              <c16:uniqueId val="{00000000-674A-4CF6-8BE5-556AC8069078}"/>
            </c:ext>
          </c:extLst>
        </c:ser>
        <c:ser>
          <c:idx val="1"/>
          <c:order val="1"/>
          <c:tx>
            <c:strRef>
              <c:f>DANE!$P$4</c:f>
              <c:strCache>
                <c:ptCount val="1"/>
                <c:pt idx="0">
                  <c:v>CHF/PLN</c:v>
                </c:pt>
              </c:strCache>
            </c:strRef>
          </c:tx>
          <c:spPr>
            <a:ln w="25400" cap="rnd">
              <a:solidFill>
                <a:schemeClr val="accent4"/>
              </a:solidFill>
              <a:round/>
            </a:ln>
            <a:effectLst/>
          </c:spPr>
          <c:marker>
            <c:symbol val="none"/>
          </c:marker>
          <c:cat>
            <c:numRef>
              <c:f>DANE!$Q$2:$AI$2</c:f>
              <c:numCache>
                <c:formatCode>General</c:formatCode>
                <c:ptCount val="19"/>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numCache>
            </c:numRef>
          </c:cat>
          <c:val>
            <c:numRef>
              <c:f>DANE!$Q$4:$AI$4</c:f>
              <c:numCache>
                <c:formatCode>#,##0.00</c:formatCode>
                <c:ptCount val="19"/>
                <c:pt idx="0">
                  <c:v>2.5746250000000002</c:v>
                </c:pt>
                <c:pt idx="1">
                  <c:v>2.4297</c:v>
                </c:pt>
                <c:pt idx="2">
                  <c:v>2.5725950000000006</c:v>
                </c:pt>
                <c:pt idx="3">
                  <c:v>2.8907416666666665</c:v>
                </c:pt>
                <c:pt idx="4">
                  <c:v>2.9369750000000003</c:v>
                </c:pt>
                <c:pt idx="5">
                  <c:v>2.5996916666666667</c:v>
                </c:pt>
                <c:pt idx="6">
                  <c:v>2.4759083333333334</c:v>
                </c:pt>
                <c:pt idx="7">
                  <c:v>2.3041083333333336</c:v>
                </c:pt>
                <c:pt idx="8">
                  <c:v>2.2201083333333331</c:v>
                </c:pt>
                <c:pt idx="9">
                  <c:v>2.8676166666666667</c:v>
                </c:pt>
                <c:pt idx="10">
                  <c:v>2.8940166666666669</c:v>
                </c:pt>
                <c:pt idx="11">
                  <c:v>3.3462333333333336</c:v>
                </c:pt>
                <c:pt idx="12">
                  <c:v>3.4721500000000005</c:v>
                </c:pt>
                <c:pt idx="13">
                  <c:v>3.4100750000000004</c:v>
                </c:pt>
                <c:pt idx="14">
                  <c:v>3.4458000000000002</c:v>
                </c:pt>
                <c:pt idx="15">
                  <c:v>3.920033333333333</c:v>
                </c:pt>
                <c:pt idx="16">
                  <c:v>4.0019916666666662</c:v>
                </c:pt>
                <c:pt idx="17">
                  <c:v>3.8361833333333339</c:v>
                </c:pt>
                <c:pt idx="18">
                  <c:v>3.57</c:v>
                </c:pt>
              </c:numCache>
            </c:numRef>
          </c:val>
          <c:smooth val="0"/>
          <c:extLst>
            <c:ext xmlns:c16="http://schemas.microsoft.com/office/drawing/2014/chart" uri="{C3380CC4-5D6E-409C-BE32-E72D297353CC}">
              <c16:uniqueId val="{00000001-674A-4CF6-8BE5-556AC8069078}"/>
            </c:ext>
          </c:extLst>
        </c:ser>
        <c:ser>
          <c:idx val="2"/>
          <c:order val="2"/>
          <c:tx>
            <c:strRef>
              <c:f>DANE!$P$5</c:f>
              <c:strCache>
                <c:ptCount val="1"/>
                <c:pt idx="0">
                  <c:v>EUR/PLN</c:v>
                </c:pt>
              </c:strCache>
            </c:strRef>
          </c:tx>
          <c:spPr>
            <a:ln w="25400" cap="rnd">
              <a:solidFill>
                <a:schemeClr val="accent1"/>
              </a:solidFill>
              <a:round/>
            </a:ln>
            <a:effectLst/>
          </c:spPr>
          <c:marker>
            <c:symbol val="none"/>
          </c:marker>
          <c:cat>
            <c:numRef>
              <c:f>DANE!$Q$2:$AI$2</c:f>
              <c:numCache>
                <c:formatCode>General</c:formatCode>
                <c:ptCount val="19"/>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numCache>
            </c:numRef>
          </c:cat>
          <c:val>
            <c:numRef>
              <c:f>DANE!$Q$5:$AI$5</c:f>
              <c:numCache>
                <c:formatCode>#,##0.00</c:formatCode>
                <c:ptCount val="19"/>
                <c:pt idx="0">
                  <c:v>4.0112750000000004</c:v>
                </c:pt>
                <c:pt idx="1">
                  <c:v>3.6685916666666674</c:v>
                </c:pt>
                <c:pt idx="2">
                  <c:v>3.9550841666666665</c:v>
                </c:pt>
                <c:pt idx="3">
                  <c:v>4.3965333333333332</c:v>
                </c:pt>
                <c:pt idx="4">
                  <c:v>4.5353499999999993</c:v>
                </c:pt>
                <c:pt idx="5">
                  <c:v>4.0251416666666664</c:v>
                </c:pt>
                <c:pt idx="6">
                  <c:v>3.8947500000000002</c:v>
                </c:pt>
                <c:pt idx="7">
                  <c:v>3.7836916666666665</c:v>
                </c:pt>
                <c:pt idx="8">
                  <c:v>3.5165583333333337</c:v>
                </c:pt>
                <c:pt idx="9">
                  <c:v>4.329766666666667</c:v>
                </c:pt>
                <c:pt idx="10">
                  <c:v>3.9945333333333335</c:v>
                </c:pt>
                <c:pt idx="11">
                  <c:v>4.1188583333333337</c:v>
                </c:pt>
                <c:pt idx="12">
                  <c:v>4.1850166666666659</c:v>
                </c:pt>
                <c:pt idx="13">
                  <c:v>4.197425</c:v>
                </c:pt>
                <c:pt idx="14">
                  <c:v>4.1851000000000003</c:v>
                </c:pt>
                <c:pt idx="15">
                  <c:v>4.1836250000000001</c:v>
                </c:pt>
                <c:pt idx="16">
                  <c:v>4.3625583333333333</c:v>
                </c:pt>
                <c:pt idx="17">
                  <c:v>4.2578083333333341</c:v>
                </c:pt>
                <c:pt idx="18">
                  <c:v>4.1900000000000004</c:v>
                </c:pt>
              </c:numCache>
            </c:numRef>
          </c:val>
          <c:smooth val="0"/>
          <c:extLst>
            <c:ext xmlns:c16="http://schemas.microsoft.com/office/drawing/2014/chart" uri="{C3380CC4-5D6E-409C-BE32-E72D297353CC}">
              <c16:uniqueId val="{00000002-674A-4CF6-8BE5-556AC8069078}"/>
            </c:ext>
          </c:extLst>
        </c:ser>
        <c:ser>
          <c:idx val="3"/>
          <c:order val="3"/>
          <c:tx>
            <c:strRef>
              <c:f>DANE!$P$6</c:f>
              <c:strCache>
                <c:ptCount val="1"/>
                <c:pt idx="0">
                  <c:v>GBP/PLN</c:v>
                </c:pt>
              </c:strCache>
            </c:strRef>
          </c:tx>
          <c:spPr>
            <a:ln w="25400" cap="rnd">
              <a:solidFill>
                <a:schemeClr val="accent3"/>
              </a:solidFill>
              <a:round/>
            </a:ln>
            <a:effectLst/>
          </c:spPr>
          <c:marker>
            <c:symbol val="none"/>
          </c:marker>
          <c:cat>
            <c:numRef>
              <c:f>DANE!$Q$2:$AI$2</c:f>
              <c:numCache>
                <c:formatCode>General</c:formatCode>
                <c:ptCount val="19"/>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numCache>
            </c:numRef>
          </c:cat>
          <c:val>
            <c:numRef>
              <c:f>DANE!$Q$6:$AI$6</c:f>
              <c:numCache>
                <c:formatCode>#,##0.00</c:formatCode>
                <c:ptCount val="19"/>
                <c:pt idx="0">
                  <c:v>6.5789333333333344</c:v>
                </c:pt>
                <c:pt idx="1">
                  <c:v>5.8969416666666667</c:v>
                </c:pt>
                <c:pt idx="2">
                  <c:v>6.4696608333333332</c:v>
                </c:pt>
                <c:pt idx="3">
                  <c:v>6.3565499999999995</c:v>
                </c:pt>
                <c:pt idx="4">
                  <c:v>6.6878000000000002</c:v>
                </c:pt>
                <c:pt idx="5">
                  <c:v>5.8831083333333325</c:v>
                </c:pt>
                <c:pt idx="6">
                  <c:v>5.7109166666666669</c:v>
                </c:pt>
                <c:pt idx="7">
                  <c:v>5.5328750000000007</c:v>
                </c:pt>
                <c:pt idx="8">
                  <c:v>4.416433333333333</c:v>
                </c:pt>
                <c:pt idx="9">
                  <c:v>4.8597583333333327</c:v>
                </c:pt>
                <c:pt idx="10">
                  <c:v>4.6571000000000007</c:v>
                </c:pt>
                <c:pt idx="11">
                  <c:v>4.7454166666666673</c:v>
                </c:pt>
                <c:pt idx="12">
                  <c:v>5.1590833333333341</c:v>
                </c:pt>
                <c:pt idx="13">
                  <c:v>4.9432083333333336</c:v>
                </c:pt>
                <c:pt idx="14">
                  <c:v>5.1925750000000006</c:v>
                </c:pt>
                <c:pt idx="15">
                  <c:v>5.7628416666666666</c:v>
                </c:pt>
                <c:pt idx="16">
                  <c:v>5.3441916666666662</c:v>
                </c:pt>
                <c:pt idx="17">
                  <c:v>4.8612916666666663</c:v>
                </c:pt>
                <c:pt idx="18">
                  <c:v>4.75</c:v>
                </c:pt>
              </c:numCache>
            </c:numRef>
          </c:val>
          <c:smooth val="0"/>
          <c:extLst>
            <c:ext xmlns:c16="http://schemas.microsoft.com/office/drawing/2014/chart" uri="{C3380CC4-5D6E-409C-BE32-E72D297353CC}">
              <c16:uniqueId val="{00000003-674A-4CF6-8BE5-556AC8069078}"/>
            </c:ext>
          </c:extLst>
        </c:ser>
        <c:dLbls>
          <c:showLegendKey val="0"/>
          <c:showVal val="0"/>
          <c:showCatName val="0"/>
          <c:showSerName val="0"/>
          <c:showPercent val="0"/>
          <c:showBubbleSize val="0"/>
        </c:dLbls>
        <c:smooth val="0"/>
        <c:axId val="457736552"/>
        <c:axId val="1"/>
      </c:lineChart>
      <c:catAx>
        <c:axId val="457736552"/>
        <c:scaling>
          <c:orientation val="minMax"/>
        </c:scaling>
        <c:delete val="0"/>
        <c:axPos val="b"/>
        <c:majorGridlines>
          <c:spPr>
            <a:ln w="9525" cap="flat" cmpd="sng" algn="ctr">
              <a:solidFill>
                <a:schemeClr val="bg1">
                  <a:lumMod val="85000"/>
                </a:schemeClr>
              </a:solidFill>
              <a:round/>
            </a:ln>
            <a:effectLst/>
          </c:spPr>
        </c:majorGridlines>
        <c:numFmt formatCode="General" sourceLinked="1"/>
        <c:majorTickMark val="out"/>
        <c:minorTickMark val="none"/>
        <c:tickLblPos val="nextTo"/>
        <c:spPr>
          <a:noFill/>
          <a:ln w="9525" cap="flat" cmpd="sng" algn="ctr">
            <a:solidFill>
              <a:schemeClr val="tx1">
                <a:lumMod val="65000"/>
                <a:lumOff val="35000"/>
              </a:schemeClr>
            </a:solidFill>
            <a:round/>
          </a:ln>
          <a:effectLst/>
        </c:spPr>
        <c:txPr>
          <a:bodyPr rot="0" spcFirstLastPara="1" vertOverflow="ellipsis" wrap="square" anchor="ctr" anchorCtr="1"/>
          <a:lstStyle/>
          <a:p>
            <a:pPr>
              <a:defRPr sz="1000" b="0" i="0" u="none" strike="noStrike" kern="1200" cap="none" spc="0" normalizeH="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crossAx val="1"/>
        <c:crosses val="autoZero"/>
        <c:auto val="1"/>
        <c:lblAlgn val="ctr"/>
        <c:lblOffset val="100"/>
        <c:noMultiLvlLbl val="0"/>
      </c:catAx>
      <c:valAx>
        <c:axId val="1"/>
        <c:scaling>
          <c:orientation val="minMax"/>
          <c:max val="7"/>
          <c:min val="1"/>
        </c:scaling>
        <c:delete val="0"/>
        <c:axPos val="l"/>
        <c:majorGridlines>
          <c:spPr>
            <a:ln w="9525" cap="flat" cmpd="sng" algn="ctr">
              <a:solidFill>
                <a:schemeClr val="bg1">
                  <a:lumMod val="85000"/>
                </a:schemeClr>
              </a:solidFill>
              <a:round/>
            </a:ln>
            <a:effectLst/>
          </c:spPr>
        </c:majorGridlines>
        <c:numFmt formatCode="#,##0.00" sourceLinked="1"/>
        <c:majorTickMark val="out"/>
        <c:minorTickMark val="none"/>
        <c:tickLblPos val="nextTo"/>
        <c:spPr>
          <a:noFill/>
          <a:ln>
            <a:solidFill>
              <a:schemeClr val="tx1">
                <a:lumMod val="65000"/>
                <a:lumOff val="35000"/>
              </a:schemeClr>
            </a:solid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crossAx val="457736552"/>
        <c:crosses val="autoZero"/>
        <c:crossBetween val="midCat"/>
        <c:majorUnit val="0.5"/>
      </c:valAx>
      <c:spPr>
        <a:noFill/>
        <a:ln>
          <a:solidFill>
            <a:schemeClr val="bg1">
              <a:lumMod val="85000"/>
            </a:schemeClr>
          </a:solidFill>
        </a:ln>
        <a:effectLst/>
      </c:spPr>
    </c:plotArea>
    <c:legend>
      <c:legendPos val="t"/>
      <c:layout>
        <c:manualLayout>
          <c:xMode val="edge"/>
          <c:yMode val="edge"/>
          <c:x val="0.33704901924190361"/>
          <c:y val="0.83717811869261027"/>
          <c:w val="0.61761571226813494"/>
          <c:h val="5.7692711487987089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8156790301378721E-2"/>
          <c:y val="8.8281611857341374E-2"/>
          <c:w val="0.87743943820666348"/>
          <c:h val="0.79095235837530498"/>
        </c:manualLayout>
      </c:layout>
      <c:barChart>
        <c:barDir val="col"/>
        <c:grouping val="clustered"/>
        <c:varyColors val="0"/>
        <c:ser>
          <c:idx val="0"/>
          <c:order val="0"/>
          <c:tx>
            <c:strRef>
              <c:f>[WYKRES_3_statystyki_udzielonych_kredytów_walutowych.xlsx]Arkusz1!$B$2</c:f>
              <c:strCache>
                <c:ptCount val="1"/>
                <c:pt idx="0">
                  <c:v>CHF</c:v>
                </c:pt>
              </c:strCache>
            </c:strRef>
          </c:tx>
          <c:spPr>
            <a:solidFill>
              <a:srgbClr val="FFC000"/>
            </a:solidFill>
            <a:ln>
              <a:noFill/>
            </a:ln>
            <a:effectLst/>
          </c:spPr>
          <c:invertIfNegative val="0"/>
          <c:cat>
            <c:numRef>
              <c:f>[WYKRES_3_statystyki_udzielonych_kredytów_walutowych.xlsx]Arkusz1!$A$3:$A$13</c:f>
              <c:numCache>
                <c:formatCode>General</c:formatCode>
                <c:ptCount val="11"/>
                <c:pt idx="0">
                  <c:v>2005</c:v>
                </c:pt>
                <c:pt idx="1">
                  <c:v>2006</c:v>
                </c:pt>
                <c:pt idx="2">
                  <c:v>2007</c:v>
                </c:pt>
                <c:pt idx="3">
                  <c:v>2008</c:v>
                </c:pt>
                <c:pt idx="4">
                  <c:v>2009</c:v>
                </c:pt>
                <c:pt idx="5">
                  <c:v>2010</c:v>
                </c:pt>
                <c:pt idx="6">
                  <c:v>2011</c:v>
                </c:pt>
                <c:pt idx="7">
                  <c:v>2012</c:v>
                </c:pt>
                <c:pt idx="8">
                  <c:v>2013</c:v>
                </c:pt>
                <c:pt idx="9">
                  <c:v>2014</c:v>
                </c:pt>
                <c:pt idx="10">
                  <c:v>2015</c:v>
                </c:pt>
              </c:numCache>
            </c:numRef>
          </c:cat>
          <c:val>
            <c:numRef>
              <c:f>[WYKRES_3_statystyki_udzielonych_kredytów_walutowych.xlsx]Arkusz1!$B$3:$B$13</c:f>
              <c:numCache>
                <c:formatCode>#,##0</c:formatCode>
                <c:ptCount val="11"/>
                <c:pt idx="0">
                  <c:v>128209</c:v>
                </c:pt>
                <c:pt idx="1">
                  <c:v>148653</c:v>
                </c:pt>
                <c:pt idx="2">
                  <c:v>109371</c:v>
                </c:pt>
                <c:pt idx="3">
                  <c:v>177686</c:v>
                </c:pt>
                <c:pt idx="4">
                  <c:v>20755</c:v>
                </c:pt>
                <c:pt idx="5">
                  <c:v>8914</c:v>
                </c:pt>
                <c:pt idx="6">
                  <c:v>10129</c:v>
                </c:pt>
                <c:pt idx="7">
                  <c:v>565</c:v>
                </c:pt>
                <c:pt idx="8">
                  <c:v>245</c:v>
                </c:pt>
                <c:pt idx="9">
                  <c:v>187</c:v>
                </c:pt>
                <c:pt idx="10">
                  <c:v>73</c:v>
                </c:pt>
              </c:numCache>
            </c:numRef>
          </c:val>
          <c:extLst>
            <c:ext xmlns:c16="http://schemas.microsoft.com/office/drawing/2014/chart" uri="{C3380CC4-5D6E-409C-BE32-E72D297353CC}">
              <c16:uniqueId val="{00000000-19BF-45B7-8035-960B95058DBF}"/>
            </c:ext>
          </c:extLst>
        </c:ser>
        <c:ser>
          <c:idx val="1"/>
          <c:order val="1"/>
          <c:tx>
            <c:strRef>
              <c:f>[WYKRES_3_statystyki_udzielonych_kredytów_walutowych.xlsx]Arkusz1!$C$2</c:f>
              <c:strCache>
                <c:ptCount val="1"/>
                <c:pt idx="0">
                  <c:v>PLN</c:v>
                </c:pt>
              </c:strCache>
            </c:strRef>
          </c:tx>
          <c:spPr>
            <a:solidFill>
              <a:schemeClr val="accent6"/>
            </a:solidFill>
            <a:ln>
              <a:noFill/>
            </a:ln>
            <a:effectLst/>
          </c:spPr>
          <c:invertIfNegative val="0"/>
          <c:cat>
            <c:numRef>
              <c:f>[WYKRES_3_statystyki_udzielonych_kredytów_walutowych.xlsx]Arkusz1!$A$3:$A$13</c:f>
              <c:numCache>
                <c:formatCode>General</c:formatCode>
                <c:ptCount val="11"/>
                <c:pt idx="0">
                  <c:v>2005</c:v>
                </c:pt>
                <c:pt idx="1">
                  <c:v>2006</c:v>
                </c:pt>
                <c:pt idx="2">
                  <c:v>2007</c:v>
                </c:pt>
                <c:pt idx="3">
                  <c:v>2008</c:v>
                </c:pt>
                <c:pt idx="4">
                  <c:v>2009</c:v>
                </c:pt>
                <c:pt idx="5">
                  <c:v>2010</c:v>
                </c:pt>
                <c:pt idx="6">
                  <c:v>2011</c:v>
                </c:pt>
                <c:pt idx="7">
                  <c:v>2012</c:v>
                </c:pt>
                <c:pt idx="8">
                  <c:v>2013</c:v>
                </c:pt>
                <c:pt idx="9">
                  <c:v>2014</c:v>
                </c:pt>
                <c:pt idx="10">
                  <c:v>2015</c:v>
                </c:pt>
              </c:numCache>
            </c:numRef>
          </c:cat>
          <c:val>
            <c:numRef>
              <c:f>[WYKRES_3_statystyki_udzielonych_kredytów_walutowych.xlsx]Arkusz1!$C$3:$C$13</c:f>
              <c:numCache>
                <c:formatCode>#,##0</c:formatCode>
                <c:ptCount val="11"/>
                <c:pt idx="0">
                  <c:v>82112</c:v>
                </c:pt>
                <c:pt idx="1">
                  <c:v>155775</c:v>
                </c:pt>
                <c:pt idx="2">
                  <c:v>208918</c:v>
                </c:pt>
                <c:pt idx="3">
                  <c:v>119775</c:v>
                </c:pt>
                <c:pt idx="4">
                  <c:v>157559</c:v>
                </c:pt>
                <c:pt idx="5">
                  <c:v>199315</c:v>
                </c:pt>
                <c:pt idx="6">
                  <c:v>209311</c:v>
                </c:pt>
                <c:pt idx="7">
                  <c:v>202187</c:v>
                </c:pt>
                <c:pt idx="8">
                  <c:v>197813</c:v>
                </c:pt>
                <c:pt idx="9">
                  <c:v>195031</c:v>
                </c:pt>
                <c:pt idx="10">
                  <c:v>194947</c:v>
                </c:pt>
              </c:numCache>
            </c:numRef>
          </c:val>
          <c:extLst>
            <c:ext xmlns:c16="http://schemas.microsoft.com/office/drawing/2014/chart" uri="{C3380CC4-5D6E-409C-BE32-E72D297353CC}">
              <c16:uniqueId val="{00000001-19BF-45B7-8035-960B95058DBF}"/>
            </c:ext>
          </c:extLst>
        </c:ser>
        <c:ser>
          <c:idx val="2"/>
          <c:order val="2"/>
          <c:tx>
            <c:strRef>
              <c:f>[WYKRES_3_statystyki_udzielonych_kredytów_walutowych.xlsx]Arkusz1!$D$2</c:f>
              <c:strCache>
                <c:ptCount val="1"/>
                <c:pt idx="0">
                  <c:v>USD</c:v>
                </c:pt>
              </c:strCache>
            </c:strRef>
          </c:tx>
          <c:spPr>
            <a:solidFill>
              <a:schemeClr val="accent2"/>
            </a:solidFill>
            <a:ln>
              <a:noFill/>
            </a:ln>
            <a:effectLst/>
          </c:spPr>
          <c:invertIfNegative val="0"/>
          <c:cat>
            <c:numRef>
              <c:f>[WYKRES_3_statystyki_udzielonych_kredytów_walutowych.xlsx]Arkusz1!$A$3:$A$13</c:f>
              <c:numCache>
                <c:formatCode>General</c:formatCode>
                <c:ptCount val="11"/>
                <c:pt idx="0">
                  <c:v>2005</c:v>
                </c:pt>
                <c:pt idx="1">
                  <c:v>2006</c:v>
                </c:pt>
                <c:pt idx="2">
                  <c:v>2007</c:v>
                </c:pt>
                <c:pt idx="3">
                  <c:v>2008</c:v>
                </c:pt>
                <c:pt idx="4">
                  <c:v>2009</c:v>
                </c:pt>
                <c:pt idx="5">
                  <c:v>2010</c:v>
                </c:pt>
                <c:pt idx="6">
                  <c:v>2011</c:v>
                </c:pt>
                <c:pt idx="7">
                  <c:v>2012</c:v>
                </c:pt>
                <c:pt idx="8">
                  <c:v>2013</c:v>
                </c:pt>
                <c:pt idx="9">
                  <c:v>2014</c:v>
                </c:pt>
                <c:pt idx="10">
                  <c:v>2015</c:v>
                </c:pt>
              </c:numCache>
            </c:numRef>
          </c:cat>
          <c:val>
            <c:numRef>
              <c:f>[WYKRES_3_statystyki_udzielonych_kredytów_walutowych.xlsx]Arkusz1!$D$3:$D$13</c:f>
              <c:numCache>
                <c:formatCode>#,##0</c:formatCode>
                <c:ptCount val="11"/>
                <c:pt idx="0">
                  <c:v>294</c:v>
                </c:pt>
                <c:pt idx="1">
                  <c:v>64</c:v>
                </c:pt>
                <c:pt idx="2">
                  <c:v>55</c:v>
                </c:pt>
                <c:pt idx="3">
                  <c:v>858</c:v>
                </c:pt>
                <c:pt idx="4">
                  <c:v>791</c:v>
                </c:pt>
                <c:pt idx="5">
                  <c:v>142</c:v>
                </c:pt>
                <c:pt idx="6">
                  <c:v>113</c:v>
                </c:pt>
                <c:pt idx="7">
                  <c:v>74</c:v>
                </c:pt>
                <c:pt idx="8">
                  <c:v>36</c:v>
                </c:pt>
                <c:pt idx="9">
                  <c:v>106</c:v>
                </c:pt>
                <c:pt idx="10">
                  <c:v>254</c:v>
                </c:pt>
              </c:numCache>
            </c:numRef>
          </c:val>
          <c:extLst>
            <c:ext xmlns:c16="http://schemas.microsoft.com/office/drawing/2014/chart" uri="{C3380CC4-5D6E-409C-BE32-E72D297353CC}">
              <c16:uniqueId val="{00000002-19BF-45B7-8035-960B95058DBF}"/>
            </c:ext>
          </c:extLst>
        </c:ser>
        <c:ser>
          <c:idx val="3"/>
          <c:order val="3"/>
          <c:tx>
            <c:strRef>
              <c:f>[WYKRES_3_statystyki_udzielonych_kredytów_walutowych.xlsx]Arkusz1!$E$2</c:f>
              <c:strCache>
                <c:ptCount val="1"/>
                <c:pt idx="0">
                  <c:v>EUR</c:v>
                </c:pt>
              </c:strCache>
            </c:strRef>
          </c:tx>
          <c:spPr>
            <a:solidFill>
              <a:schemeClr val="accent1"/>
            </a:solidFill>
            <a:ln>
              <a:noFill/>
            </a:ln>
            <a:effectLst/>
          </c:spPr>
          <c:invertIfNegative val="0"/>
          <c:cat>
            <c:numRef>
              <c:f>[WYKRES_3_statystyki_udzielonych_kredytów_walutowych.xlsx]Arkusz1!$A$3:$A$13</c:f>
              <c:numCache>
                <c:formatCode>General</c:formatCode>
                <c:ptCount val="11"/>
                <c:pt idx="0">
                  <c:v>2005</c:v>
                </c:pt>
                <c:pt idx="1">
                  <c:v>2006</c:v>
                </c:pt>
                <c:pt idx="2">
                  <c:v>2007</c:v>
                </c:pt>
                <c:pt idx="3">
                  <c:v>2008</c:v>
                </c:pt>
                <c:pt idx="4">
                  <c:v>2009</c:v>
                </c:pt>
                <c:pt idx="5">
                  <c:v>2010</c:v>
                </c:pt>
                <c:pt idx="6">
                  <c:v>2011</c:v>
                </c:pt>
                <c:pt idx="7">
                  <c:v>2012</c:v>
                </c:pt>
                <c:pt idx="8">
                  <c:v>2013</c:v>
                </c:pt>
                <c:pt idx="9">
                  <c:v>2014</c:v>
                </c:pt>
                <c:pt idx="10">
                  <c:v>2015</c:v>
                </c:pt>
              </c:numCache>
            </c:numRef>
          </c:cat>
          <c:val>
            <c:numRef>
              <c:f>[WYKRES_3_statystyki_udzielonych_kredytów_walutowych.xlsx]Arkusz1!$E$3:$E$13</c:f>
              <c:numCache>
                <c:formatCode>#,##0</c:formatCode>
                <c:ptCount val="11"/>
                <c:pt idx="0">
                  <c:v>1012</c:v>
                </c:pt>
                <c:pt idx="1">
                  <c:v>1046</c:v>
                </c:pt>
                <c:pt idx="2">
                  <c:v>809</c:v>
                </c:pt>
                <c:pt idx="3">
                  <c:v>1032</c:v>
                </c:pt>
                <c:pt idx="4">
                  <c:v>18679</c:v>
                </c:pt>
                <c:pt idx="5">
                  <c:v>42648</c:v>
                </c:pt>
                <c:pt idx="6">
                  <c:v>29197</c:v>
                </c:pt>
                <c:pt idx="7">
                  <c:v>8325</c:v>
                </c:pt>
                <c:pt idx="8">
                  <c:v>894</c:v>
                </c:pt>
                <c:pt idx="9">
                  <c:v>753</c:v>
                </c:pt>
                <c:pt idx="10">
                  <c:v>1647</c:v>
                </c:pt>
              </c:numCache>
            </c:numRef>
          </c:val>
          <c:extLst>
            <c:ext xmlns:c16="http://schemas.microsoft.com/office/drawing/2014/chart" uri="{C3380CC4-5D6E-409C-BE32-E72D297353CC}">
              <c16:uniqueId val="{00000003-19BF-45B7-8035-960B95058DBF}"/>
            </c:ext>
          </c:extLst>
        </c:ser>
        <c:ser>
          <c:idx val="4"/>
          <c:order val="4"/>
          <c:tx>
            <c:strRef>
              <c:f>[WYKRES_3_statystyki_udzielonych_kredytów_walutowych.xlsx]Arkusz1!$F$2</c:f>
              <c:strCache>
                <c:ptCount val="1"/>
                <c:pt idx="0">
                  <c:v>Inne</c:v>
                </c:pt>
              </c:strCache>
            </c:strRef>
          </c:tx>
          <c:spPr>
            <a:solidFill>
              <a:schemeClr val="accent3"/>
            </a:solidFill>
            <a:ln>
              <a:noFill/>
            </a:ln>
            <a:effectLst/>
          </c:spPr>
          <c:invertIfNegative val="0"/>
          <c:cat>
            <c:numRef>
              <c:f>[WYKRES_3_statystyki_udzielonych_kredytów_walutowych.xlsx]Arkusz1!$A$3:$A$13</c:f>
              <c:numCache>
                <c:formatCode>General</c:formatCode>
                <c:ptCount val="11"/>
                <c:pt idx="0">
                  <c:v>2005</c:v>
                </c:pt>
                <c:pt idx="1">
                  <c:v>2006</c:v>
                </c:pt>
                <c:pt idx="2">
                  <c:v>2007</c:v>
                </c:pt>
                <c:pt idx="3">
                  <c:v>2008</c:v>
                </c:pt>
                <c:pt idx="4">
                  <c:v>2009</c:v>
                </c:pt>
                <c:pt idx="5">
                  <c:v>2010</c:v>
                </c:pt>
                <c:pt idx="6">
                  <c:v>2011</c:v>
                </c:pt>
                <c:pt idx="7">
                  <c:v>2012</c:v>
                </c:pt>
                <c:pt idx="8">
                  <c:v>2013</c:v>
                </c:pt>
                <c:pt idx="9">
                  <c:v>2014</c:v>
                </c:pt>
                <c:pt idx="10">
                  <c:v>2015</c:v>
                </c:pt>
              </c:numCache>
            </c:numRef>
          </c:cat>
          <c:val>
            <c:numRef>
              <c:f>[WYKRES_3_statystyki_udzielonych_kredytów_walutowych.xlsx]Arkusz1!$F$3:$F$13</c:f>
              <c:numCache>
                <c:formatCode>#,##0</c:formatCode>
                <c:ptCount val="11"/>
                <c:pt idx="0">
                  <c:v>16</c:v>
                </c:pt>
                <c:pt idx="1">
                  <c:v>12</c:v>
                </c:pt>
                <c:pt idx="2">
                  <c:v>32</c:v>
                </c:pt>
                <c:pt idx="3">
                  <c:v>123</c:v>
                </c:pt>
                <c:pt idx="4">
                  <c:v>120</c:v>
                </c:pt>
                <c:pt idx="5">
                  <c:v>78</c:v>
                </c:pt>
                <c:pt idx="6">
                  <c:v>34</c:v>
                </c:pt>
                <c:pt idx="7">
                  <c:v>23</c:v>
                </c:pt>
                <c:pt idx="8">
                  <c:v>39</c:v>
                </c:pt>
                <c:pt idx="9">
                  <c:v>176</c:v>
                </c:pt>
                <c:pt idx="10">
                  <c:v>601</c:v>
                </c:pt>
              </c:numCache>
            </c:numRef>
          </c:val>
          <c:extLst>
            <c:ext xmlns:c16="http://schemas.microsoft.com/office/drawing/2014/chart" uri="{C3380CC4-5D6E-409C-BE32-E72D297353CC}">
              <c16:uniqueId val="{00000004-19BF-45B7-8035-960B95058DBF}"/>
            </c:ext>
          </c:extLst>
        </c:ser>
        <c:dLbls>
          <c:showLegendKey val="0"/>
          <c:showVal val="0"/>
          <c:showCatName val="0"/>
          <c:showSerName val="0"/>
          <c:showPercent val="0"/>
          <c:showBubbleSize val="0"/>
        </c:dLbls>
        <c:gapWidth val="119"/>
        <c:overlap val="-20"/>
        <c:axId val="77186176"/>
        <c:axId val="77187712"/>
      </c:barChart>
      <c:catAx>
        <c:axId val="77186176"/>
        <c:scaling>
          <c:orientation val="minMax"/>
        </c:scaling>
        <c:delete val="0"/>
        <c:axPos val="b"/>
        <c:majorGridlines>
          <c:spPr>
            <a:ln>
              <a:solidFill>
                <a:schemeClr val="bg1">
                  <a:lumMod val="85000"/>
                </a:schemeClr>
              </a:solidFill>
            </a:ln>
          </c:spPr>
        </c:majorGridlines>
        <c:numFmt formatCode="General" sourceLinked="1"/>
        <c:majorTickMark val="out"/>
        <c:minorTickMark val="none"/>
        <c:tickLblPos val="nextTo"/>
        <c:spPr>
          <a:noFill/>
          <a:ln w="9525" cap="flat" cmpd="sng" algn="ctr">
            <a:solidFill>
              <a:schemeClr val="tx1">
                <a:lumMod val="65000"/>
                <a:lumOff val="3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crossAx val="77187712"/>
        <c:crosses val="autoZero"/>
        <c:auto val="1"/>
        <c:lblAlgn val="ctr"/>
        <c:lblOffset val="100"/>
        <c:noMultiLvlLbl val="0"/>
      </c:catAx>
      <c:valAx>
        <c:axId val="77187712"/>
        <c:scaling>
          <c:orientation val="minMax"/>
          <c:max val="250000"/>
          <c:min val="0"/>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a:solidFill>
              <a:schemeClr val="tx1">
                <a:lumMod val="65000"/>
                <a:lumOff val="35000"/>
              </a:schemeClr>
            </a:solid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crossAx val="77186176"/>
        <c:crosses val="autoZero"/>
        <c:crossBetween val="between"/>
      </c:valAx>
      <c:spPr>
        <a:noFill/>
        <a:ln>
          <a:solidFill>
            <a:schemeClr val="bg1">
              <a:lumMod val="85000"/>
            </a:schemeClr>
          </a:solidFill>
        </a:ln>
        <a:effectLst/>
      </c:spPr>
    </c:plotArea>
    <c:legend>
      <c:legendPos val="b"/>
      <c:layout>
        <c:manualLayout>
          <c:xMode val="edge"/>
          <c:yMode val="edge"/>
          <c:x val="0.62655172263200876"/>
          <c:y val="0.11127782255564511"/>
          <c:w val="0.33258707054297082"/>
          <c:h val="7.816173279405382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6139743240496919E-2"/>
          <c:y val="6.7923533849766737E-2"/>
          <c:w val="0.88330475165068945"/>
          <c:h val="0.75755724866375507"/>
        </c:manualLayout>
      </c:layout>
      <c:barChart>
        <c:barDir val="col"/>
        <c:grouping val="stacked"/>
        <c:varyColors val="0"/>
        <c:ser>
          <c:idx val="0"/>
          <c:order val="0"/>
          <c:tx>
            <c:strRef>
              <c:f>[WYKRES_4_struktura_udzielonych_kredytów.xlsx]Arkusz1!$D$5</c:f>
              <c:strCache>
                <c:ptCount val="1"/>
                <c:pt idx="0">
                  <c:v>Kredyty walutowe</c:v>
                </c:pt>
              </c:strCache>
            </c:strRef>
          </c:tx>
          <c:spPr>
            <a:solidFill>
              <a:schemeClr val="accent4"/>
            </a:solidFill>
            <a:ln>
              <a:noFill/>
            </a:ln>
            <a:effectLst/>
          </c:spPr>
          <c:invertIfNegative val="0"/>
          <c:dLbls>
            <c:dLbl>
              <c:idx val="3"/>
              <c:dLblPos val="inBase"/>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A4E-4D0F-A155-EFC4F5F77F2C}"/>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[WYKRES_4_struktura_udzielonych_kredytów.xlsx]Arkusz1!$E$4:$H$4</c:f>
              <c:numCache>
                <c:formatCode>General</c:formatCode>
                <c:ptCount val="4"/>
                <c:pt idx="0">
                  <c:v>2005</c:v>
                </c:pt>
                <c:pt idx="1">
                  <c:v>2008</c:v>
                </c:pt>
                <c:pt idx="2">
                  <c:v>2011</c:v>
                </c:pt>
                <c:pt idx="3">
                  <c:v>2015</c:v>
                </c:pt>
              </c:numCache>
            </c:numRef>
          </c:cat>
          <c:val>
            <c:numRef>
              <c:f>[WYKRES_4_struktura_udzielonych_kredytów.xlsx]Arkusz1!$E$5:$H$5</c:f>
              <c:numCache>
                <c:formatCode>0%</c:formatCode>
                <c:ptCount val="4"/>
                <c:pt idx="0">
                  <c:v>0.61</c:v>
                </c:pt>
                <c:pt idx="1">
                  <c:v>0.6</c:v>
                </c:pt>
                <c:pt idx="2">
                  <c:v>0.16000000000000003</c:v>
                </c:pt>
                <c:pt idx="3">
                  <c:v>1.0000000000000009E-2</c:v>
                </c:pt>
              </c:numCache>
            </c:numRef>
          </c:val>
          <c:extLst>
            <c:ext xmlns:c16="http://schemas.microsoft.com/office/drawing/2014/chart" uri="{C3380CC4-5D6E-409C-BE32-E72D297353CC}">
              <c16:uniqueId val="{00000000-4AE1-464A-9662-AFB50BF889B8}"/>
            </c:ext>
          </c:extLst>
        </c:ser>
        <c:ser>
          <c:idx val="1"/>
          <c:order val="1"/>
          <c:tx>
            <c:strRef>
              <c:f>[WYKRES_4_struktura_udzielonych_kredytów.xlsx]Arkusz1!$D$6</c:f>
              <c:strCache>
                <c:ptCount val="1"/>
                <c:pt idx="0">
                  <c:v>Kredyty złotowe</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[WYKRES_4_struktura_udzielonych_kredytów.xlsx]Arkusz1!$E$4:$H$4</c:f>
              <c:numCache>
                <c:formatCode>General</c:formatCode>
                <c:ptCount val="4"/>
                <c:pt idx="0">
                  <c:v>2005</c:v>
                </c:pt>
                <c:pt idx="1">
                  <c:v>2008</c:v>
                </c:pt>
                <c:pt idx="2">
                  <c:v>2011</c:v>
                </c:pt>
                <c:pt idx="3">
                  <c:v>2015</c:v>
                </c:pt>
              </c:numCache>
            </c:numRef>
          </c:cat>
          <c:val>
            <c:numRef>
              <c:f>[WYKRES_4_struktura_udzielonych_kredytów.xlsx]Arkusz1!$E$6:$H$6</c:f>
              <c:numCache>
                <c:formatCode>0%</c:formatCode>
                <c:ptCount val="4"/>
                <c:pt idx="0">
                  <c:v>0.39</c:v>
                </c:pt>
                <c:pt idx="1">
                  <c:v>0.4</c:v>
                </c:pt>
                <c:pt idx="2">
                  <c:v>0.84</c:v>
                </c:pt>
                <c:pt idx="3">
                  <c:v>0.99</c:v>
                </c:pt>
              </c:numCache>
            </c:numRef>
          </c:val>
          <c:extLst>
            <c:ext xmlns:c16="http://schemas.microsoft.com/office/drawing/2014/chart" uri="{C3380CC4-5D6E-409C-BE32-E72D297353CC}">
              <c16:uniqueId val="{00000001-4AE1-464A-9662-AFB50BF889B8}"/>
            </c:ext>
          </c:extLst>
        </c:ser>
        <c:dLbls>
          <c:showLegendKey val="0"/>
          <c:showVal val="0"/>
          <c:showCatName val="0"/>
          <c:showSerName val="0"/>
          <c:showPercent val="0"/>
          <c:showBubbleSize val="0"/>
        </c:dLbls>
        <c:gapWidth val="150"/>
        <c:overlap val="100"/>
        <c:axId val="77218944"/>
        <c:axId val="77220480"/>
      </c:barChart>
      <c:catAx>
        <c:axId val="77218944"/>
        <c:scaling>
          <c:orientation val="minMax"/>
        </c:scaling>
        <c:delete val="0"/>
        <c:axPos val="b"/>
        <c:minorGridlines>
          <c:spPr>
            <a:ln>
              <a:solidFill>
                <a:schemeClr val="bg1">
                  <a:lumMod val="85000"/>
                </a:schemeClr>
              </a:solidFill>
            </a:ln>
          </c:spPr>
        </c:minorGridlines>
        <c:numFmt formatCode="General" sourceLinked="1"/>
        <c:majorTickMark val="out"/>
        <c:minorTickMark val="none"/>
        <c:tickLblPos val="nextTo"/>
        <c:spPr>
          <a:noFill/>
          <a:ln w="9525" cap="flat" cmpd="sng" algn="ctr">
            <a:solidFill>
              <a:schemeClr val="tx1">
                <a:lumMod val="65000"/>
                <a:lumOff val="35000"/>
              </a:schemeClr>
            </a:solidFill>
            <a:round/>
          </a:ln>
          <a:effectLst/>
        </c:spPr>
        <c:txPr>
          <a:bodyPr rot="-60000000" spcFirstLastPara="1" vertOverflow="ellipsis" vert="horz" wrap="square" anchor="ctr" anchorCtr="1"/>
          <a:lstStyle/>
          <a:p>
            <a:pPr>
              <a:defRPr sz="1000" b="0" i="0" u="none" strike="noStrike" kern="1200" cap="none" spc="0" normalizeH="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crossAx val="77220480"/>
        <c:crosses val="autoZero"/>
        <c:auto val="1"/>
        <c:lblAlgn val="ctr"/>
        <c:lblOffset val="100"/>
        <c:noMultiLvlLbl val="0"/>
      </c:catAx>
      <c:valAx>
        <c:axId val="7722048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a:solidFill>
              <a:schemeClr val="tx1">
                <a:lumMod val="65000"/>
                <a:lumOff val="35000"/>
              </a:schemeClr>
            </a:solid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crossAx val="77218944"/>
        <c:crosses val="autoZero"/>
        <c:crossBetween val="between"/>
      </c:valAx>
      <c:spPr>
        <a:noFill/>
        <a:ln>
          <a:noFill/>
        </a:ln>
        <a:effectLst/>
      </c:spPr>
    </c:plotArea>
    <c:legend>
      <c:legendPos val="b"/>
      <c:layout>
        <c:manualLayout>
          <c:xMode val="edge"/>
          <c:yMode val="edge"/>
          <c:x val="0.3080475813669914"/>
          <c:y val="0.91835937053586736"/>
          <c:w val="0.38390466430575915"/>
          <c:h val="8.1640629464132669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vert="horz"/>
    <a:lstStyle/>
    <a:p>
      <a:pPr>
        <a:defRPr/>
      </a:pPr>
      <a:endParaRPr lang="pl-PL"/>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617942459469268E-2"/>
          <c:y val="5.0925925925925923E-2"/>
          <c:w val="0.90769612642552777"/>
          <c:h val="0.72172061825605127"/>
        </c:manualLayout>
      </c:layout>
      <c:barChart>
        <c:barDir val="col"/>
        <c:grouping val="stacked"/>
        <c:varyColors val="0"/>
        <c:ser>
          <c:idx val="0"/>
          <c:order val="0"/>
          <c:tx>
            <c:strRef>
              <c:f>'Stosunek wartości'!$F$9</c:f>
              <c:strCache>
                <c:ptCount val="1"/>
                <c:pt idx="0">
                  <c:v>CHF</c:v>
                </c:pt>
              </c:strCache>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'Stosunek wartości'!$E$10:$E$18</c:f>
              <c:numCache>
                <c:formatCode>General</c:formatCode>
                <c:ptCount val="9"/>
                <c:pt idx="0">
                  <c:v>40148</c:v>
                </c:pt>
                <c:pt idx="1">
                  <c:v>40513</c:v>
                </c:pt>
                <c:pt idx="2">
                  <c:v>40878</c:v>
                </c:pt>
                <c:pt idx="3">
                  <c:v>41244</c:v>
                </c:pt>
                <c:pt idx="4">
                  <c:v>41609</c:v>
                </c:pt>
                <c:pt idx="5">
                  <c:v>41974</c:v>
                </c:pt>
                <c:pt idx="6">
                  <c:v>42339</c:v>
                </c:pt>
                <c:pt idx="7">
                  <c:v>42705</c:v>
                </c:pt>
                <c:pt idx="8">
                  <c:v>43070</c:v>
                </c:pt>
              </c:numCache>
            </c:numRef>
          </c:cat>
          <c:val>
            <c:numRef>
              <c:f>'Stosunek wartości'!$F$10:$F$18</c:f>
              <c:numCache>
                <c:formatCode>#,##0</c:formatCode>
                <c:ptCount val="9"/>
                <c:pt idx="0">
                  <c:v>132890000000</c:v>
                </c:pt>
                <c:pt idx="1">
                  <c:v>147402000000</c:v>
                </c:pt>
                <c:pt idx="2">
                  <c:v>163527000000</c:v>
                </c:pt>
                <c:pt idx="3">
                  <c:v>144571000000</c:v>
                </c:pt>
                <c:pt idx="4">
                  <c:v>135703000000</c:v>
                </c:pt>
                <c:pt idx="5">
                  <c:v>132719000000</c:v>
                </c:pt>
                <c:pt idx="6">
                  <c:v>137674000000</c:v>
                </c:pt>
                <c:pt idx="7">
                  <c:v>134260000000</c:v>
                </c:pt>
                <c:pt idx="8">
                  <c:v>107146000000</c:v>
                </c:pt>
              </c:numCache>
            </c:numRef>
          </c:val>
          <c:extLst>
            <c:ext xmlns:c16="http://schemas.microsoft.com/office/drawing/2014/chart" uri="{C3380CC4-5D6E-409C-BE32-E72D297353CC}">
              <c16:uniqueId val="{00000000-9B11-44EB-A1E7-D06EDA744E8A}"/>
            </c:ext>
          </c:extLst>
        </c:ser>
        <c:ser>
          <c:idx val="1"/>
          <c:order val="1"/>
          <c:tx>
            <c:strRef>
              <c:f>'Stosunek wartości'!$G$9</c:f>
              <c:strCache>
                <c:ptCount val="1"/>
                <c:pt idx="0">
                  <c:v>PLN</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'Stosunek wartości'!$E$10:$E$18</c:f>
              <c:numCache>
                <c:formatCode>General</c:formatCode>
                <c:ptCount val="9"/>
                <c:pt idx="0">
                  <c:v>40148</c:v>
                </c:pt>
                <c:pt idx="1">
                  <c:v>40513</c:v>
                </c:pt>
                <c:pt idx="2">
                  <c:v>40878</c:v>
                </c:pt>
                <c:pt idx="3">
                  <c:v>41244</c:v>
                </c:pt>
                <c:pt idx="4">
                  <c:v>41609</c:v>
                </c:pt>
                <c:pt idx="5">
                  <c:v>41974</c:v>
                </c:pt>
                <c:pt idx="6">
                  <c:v>42339</c:v>
                </c:pt>
                <c:pt idx="7">
                  <c:v>42705</c:v>
                </c:pt>
                <c:pt idx="8">
                  <c:v>43070</c:v>
                </c:pt>
              </c:numCache>
            </c:numRef>
          </c:cat>
          <c:val>
            <c:numRef>
              <c:f>'Stosunek wartości'!$G$10:$G$18</c:f>
              <c:numCache>
                <c:formatCode>#,##0</c:formatCode>
                <c:ptCount val="9"/>
                <c:pt idx="0">
                  <c:v>75640000000</c:v>
                </c:pt>
                <c:pt idx="1">
                  <c:v>98225000000</c:v>
                </c:pt>
                <c:pt idx="2">
                  <c:v>121157000000</c:v>
                </c:pt>
                <c:pt idx="3">
                  <c:v>143462000000</c:v>
                </c:pt>
                <c:pt idx="4">
                  <c:v>166953000000</c:v>
                </c:pt>
                <c:pt idx="5">
                  <c:v>190399000000</c:v>
                </c:pt>
                <c:pt idx="6">
                  <c:v>211963000000</c:v>
                </c:pt>
                <c:pt idx="7">
                  <c:v>234394000000</c:v>
                </c:pt>
                <c:pt idx="8">
                  <c:v>259049000000</c:v>
                </c:pt>
              </c:numCache>
            </c:numRef>
          </c:val>
          <c:extLst>
            <c:ext xmlns:c16="http://schemas.microsoft.com/office/drawing/2014/chart" uri="{C3380CC4-5D6E-409C-BE32-E72D297353CC}">
              <c16:uniqueId val="{00000001-9B11-44EB-A1E7-D06EDA744E8A}"/>
            </c:ext>
          </c:extLst>
        </c:ser>
        <c:ser>
          <c:idx val="2"/>
          <c:order val="2"/>
          <c:tx>
            <c:strRef>
              <c:f>'Stosunek wartości'!$H$9</c:f>
              <c:strCache>
                <c:ptCount val="1"/>
                <c:pt idx="0">
                  <c:v>Inne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'Stosunek wartości'!$E$10:$E$18</c:f>
              <c:numCache>
                <c:formatCode>General</c:formatCode>
                <c:ptCount val="9"/>
                <c:pt idx="0">
                  <c:v>40148</c:v>
                </c:pt>
                <c:pt idx="1">
                  <c:v>40513</c:v>
                </c:pt>
                <c:pt idx="2">
                  <c:v>40878</c:v>
                </c:pt>
                <c:pt idx="3">
                  <c:v>41244</c:v>
                </c:pt>
                <c:pt idx="4">
                  <c:v>41609</c:v>
                </c:pt>
                <c:pt idx="5">
                  <c:v>41974</c:v>
                </c:pt>
                <c:pt idx="6">
                  <c:v>42339</c:v>
                </c:pt>
                <c:pt idx="7">
                  <c:v>42705</c:v>
                </c:pt>
                <c:pt idx="8">
                  <c:v>43070</c:v>
                </c:pt>
              </c:numCache>
            </c:numRef>
          </c:cat>
          <c:val>
            <c:numRef>
              <c:f>'Stosunek wartości'!$H$10:$H$18</c:f>
              <c:numCache>
                <c:formatCode>#,##0</c:formatCode>
                <c:ptCount val="9"/>
                <c:pt idx="0">
                  <c:v>8426000000</c:v>
                </c:pt>
                <c:pt idx="1">
                  <c:v>20749000000</c:v>
                </c:pt>
                <c:pt idx="2">
                  <c:v>32962000000</c:v>
                </c:pt>
                <c:pt idx="3">
                  <c:v>32281000000</c:v>
                </c:pt>
                <c:pt idx="4">
                  <c:v>31246000000</c:v>
                </c:pt>
                <c:pt idx="5">
                  <c:v>30355000000</c:v>
                </c:pt>
                <c:pt idx="6">
                  <c:v>28494000000</c:v>
                </c:pt>
                <c:pt idx="7">
                  <c:v>28156000000</c:v>
                </c:pt>
                <c:pt idx="8">
                  <c:v>24707000000</c:v>
                </c:pt>
              </c:numCache>
            </c:numRef>
          </c:val>
          <c:extLst>
            <c:ext xmlns:c16="http://schemas.microsoft.com/office/drawing/2014/chart" uri="{C3380CC4-5D6E-409C-BE32-E72D297353CC}">
              <c16:uniqueId val="{00000002-9B11-44EB-A1E7-D06EDA744E8A}"/>
            </c:ext>
          </c:extLst>
        </c:ser>
        <c:dLbls>
          <c:showLegendKey val="0"/>
          <c:showVal val="0"/>
          <c:showCatName val="0"/>
          <c:showSerName val="0"/>
          <c:showPercent val="0"/>
          <c:showBubbleSize val="0"/>
        </c:dLbls>
        <c:gapWidth val="150"/>
        <c:overlap val="100"/>
        <c:axId val="77240576"/>
        <c:axId val="77242368"/>
      </c:barChart>
      <c:catAx>
        <c:axId val="77240576"/>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0"/>
        <c:majorTickMark val="out"/>
        <c:minorTickMark val="out"/>
        <c:tickLblPos val="low"/>
        <c:spPr>
          <a:noFill/>
          <a:ln w="9525" cap="flat" cmpd="sng" algn="ctr">
            <a:solidFill>
              <a:schemeClr val="tx1">
                <a:lumMod val="65000"/>
                <a:lumOff val="35000"/>
              </a:schemeClr>
            </a:solidFill>
            <a:round/>
          </a:ln>
          <a:effectLst/>
        </c:spPr>
        <c:txPr>
          <a:bodyPr rot="-5400000" spcFirstLastPara="1" vertOverflow="ellipsis" wrap="square" anchor="ctr" anchorCtr="0"/>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crossAx val="77242368"/>
        <c:crosses val="autoZero"/>
        <c:auto val="1"/>
        <c:lblAlgn val="ctr"/>
        <c:lblOffset val="100"/>
        <c:noMultiLvlLbl val="0"/>
      </c:catAx>
      <c:valAx>
        <c:axId val="772423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a:solidFill>
              <a:schemeClr val="tx1">
                <a:lumMod val="65000"/>
                <a:lumOff val="35000"/>
              </a:schemeClr>
            </a:solid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crossAx val="77240576"/>
        <c:crosses val="autoZero"/>
        <c:crossBetween val="between"/>
        <c:dispUnits>
          <c:builtInUnit val="billions"/>
        </c:dispUnits>
      </c:valAx>
      <c:spPr>
        <a:noFill/>
        <a:ln>
          <a:noFill/>
        </a:ln>
        <a:effectLst/>
      </c:spPr>
    </c:plotArea>
    <c:legend>
      <c:legendPos val="b"/>
      <c:layout>
        <c:manualLayout>
          <c:xMode val="edge"/>
          <c:yMode val="edge"/>
          <c:x val="7.3305477796011029E-2"/>
          <c:y val="5.150408282298042E-2"/>
          <c:w val="0.2836283905842768"/>
          <c:h val="7.8125546806649168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explosion val="1"/>
          <c:dPt>
            <c:idx val="0"/>
            <c:bubble3D val="0"/>
            <c:spPr>
              <a:solidFill>
                <a:srgbClr val="92D050"/>
              </a:solidFill>
              <a:ln w="19050">
                <a:solidFill>
                  <a:schemeClr val="lt1"/>
                </a:solidFill>
              </a:ln>
              <a:effectLst/>
            </c:spPr>
            <c:extLst>
              <c:ext xmlns:c16="http://schemas.microsoft.com/office/drawing/2014/chart" uri="{C3380CC4-5D6E-409C-BE32-E72D297353CC}">
                <c16:uniqueId val="{00000001-7E0B-41F2-A1CA-4C900DCC2244}"/>
              </c:ext>
            </c:extLst>
          </c:dPt>
          <c:dPt>
            <c:idx val="1"/>
            <c:bubble3D val="0"/>
            <c:spPr>
              <a:solidFill>
                <a:schemeClr val="accent4"/>
              </a:solidFill>
              <a:ln w="19050">
                <a:solidFill>
                  <a:schemeClr val="lt1"/>
                </a:solidFill>
              </a:ln>
              <a:effectLst/>
            </c:spPr>
            <c:extLst>
              <c:ext xmlns:c16="http://schemas.microsoft.com/office/drawing/2014/chart" uri="{C3380CC4-5D6E-409C-BE32-E72D297353CC}">
                <c16:uniqueId val="{00000003-7E0B-41F2-A1CA-4C900DCC2244}"/>
              </c:ext>
            </c:extLst>
          </c:dPt>
          <c:dPt>
            <c:idx val="2"/>
            <c:bubble3D val="0"/>
            <c:spPr>
              <a:solidFill>
                <a:srgbClr val="C00000"/>
              </a:solidFill>
              <a:ln w="19050">
                <a:solidFill>
                  <a:schemeClr val="lt1"/>
                </a:solidFill>
              </a:ln>
              <a:effectLst/>
            </c:spPr>
            <c:extLst>
              <c:ext xmlns:c16="http://schemas.microsoft.com/office/drawing/2014/chart" uri="{C3380CC4-5D6E-409C-BE32-E72D297353CC}">
                <c16:uniqueId val="{00000005-7E0B-41F2-A1CA-4C900DCC2244}"/>
              </c:ext>
            </c:extLst>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'C:\Users\mmandz01\Desktop\Accenture\Marcin\Licencjat\WYKRES_WARTOŚĆ_KREDYTÓW_WALUTOWYCH\[Wykres_wartość_kredytów_walutowych.xlsx]Liczba osób'!$A$1:$C$2</c:f>
              <c:strCache>
                <c:ptCount val="3"/>
                <c:pt idx="0">
                  <c:v>Kredytobiorcy złotowi</c:v>
                </c:pt>
                <c:pt idx="1">
                  <c:v>Kredytobiorcy walutowi</c:v>
                </c:pt>
                <c:pt idx="2">
                  <c:v>Kredytobiorcy obsługujący kredyty walutowe i złotowe</c:v>
                </c:pt>
              </c:strCache>
            </c:strRef>
          </c:cat>
          <c:val>
            <c:numRef>
              <c:f>'C:\Users\mmandz01\Desktop\Accenture\Marcin\Licencjat\WYKRES_WARTOŚĆ_KREDYTÓW_WALUTOWYCH\[Wykres_wartość_kredytów_walutowych.xlsx]Liczba osób'!$A$3:$C$3</c:f>
              <c:numCache>
                <c:formatCode>General</c:formatCode>
                <c:ptCount val="3"/>
                <c:pt idx="0">
                  <c:v>2781</c:v>
                </c:pt>
                <c:pt idx="1">
                  <c:v>1047</c:v>
                </c:pt>
                <c:pt idx="2">
                  <c:v>128</c:v>
                </c:pt>
              </c:numCache>
            </c:numRef>
          </c:val>
          <c:extLst>
            <c:ext xmlns:c16="http://schemas.microsoft.com/office/drawing/2014/chart" uri="{C3380CC4-5D6E-409C-BE32-E72D297353CC}">
              <c16:uniqueId val="{00000006-7E0B-41F2-A1CA-4C900DCC2244}"/>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67758231226121857"/>
          <c:y val="0.3283762988530543"/>
          <c:w val="0.30591839336665838"/>
          <c:h val="0.3488511177482124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342515778847015E-2"/>
          <c:y val="4.6423296054019833E-2"/>
          <c:w val="0.89132955503260802"/>
          <c:h val="0.76041358936484493"/>
        </c:manualLayout>
      </c:layout>
      <c:lineChart>
        <c:grouping val="standard"/>
        <c:varyColors val="0"/>
        <c:ser>
          <c:idx val="0"/>
          <c:order val="0"/>
          <c:tx>
            <c:strRef>
              <c:f>'[WYKRES_9_(7).xlsx]Arkusz1'!$M$3</c:f>
              <c:strCache>
                <c:ptCount val="1"/>
                <c:pt idx="0">
                  <c:v>PLN</c:v>
                </c:pt>
              </c:strCache>
            </c:strRef>
          </c:tx>
          <c:spPr>
            <a:ln w="25400">
              <a:solidFill>
                <a:schemeClr val="accent6"/>
              </a:solidFill>
            </a:ln>
          </c:spPr>
          <c:marker>
            <c:symbol val="none"/>
          </c:marker>
          <c:cat>
            <c:strRef>
              <c:f>'[WYKRES_9_(7).xlsx]Arkusz1'!$L$4:$L$109</c:f>
              <c:strCache>
                <c:ptCount val="106"/>
                <c:pt idx="0">
                  <c:v>2009-03</c:v>
                </c:pt>
                <c:pt idx="1">
                  <c:v>2009-04</c:v>
                </c:pt>
                <c:pt idx="2">
                  <c:v>2009-05</c:v>
                </c:pt>
                <c:pt idx="3">
                  <c:v>2009-06</c:v>
                </c:pt>
                <c:pt idx="4">
                  <c:v>2009-07</c:v>
                </c:pt>
                <c:pt idx="5">
                  <c:v>2009-08</c:v>
                </c:pt>
                <c:pt idx="6">
                  <c:v>2009-09</c:v>
                </c:pt>
                <c:pt idx="7">
                  <c:v>2009-10</c:v>
                </c:pt>
                <c:pt idx="8">
                  <c:v>2009-11</c:v>
                </c:pt>
                <c:pt idx="9">
                  <c:v>2009-12</c:v>
                </c:pt>
                <c:pt idx="10">
                  <c:v>2010-01</c:v>
                </c:pt>
                <c:pt idx="11">
                  <c:v>2010-02</c:v>
                </c:pt>
                <c:pt idx="12">
                  <c:v>2010-03</c:v>
                </c:pt>
                <c:pt idx="13">
                  <c:v>2010-04</c:v>
                </c:pt>
                <c:pt idx="14">
                  <c:v>2010-05</c:v>
                </c:pt>
                <c:pt idx="15">
                  <c:v>2010-06</c:v>
                </c:pt>
                <c:pt idx="16">
                  <c:v>2010-07</c:v>
                </c:pt>
                <c:pt idx="17">
                  <c:v>2010-08</c:v>
                </c:pt>
                <c:pt idx="18">
                  <c:v>2010-09</c:v>
                </c:pt>
                <c:pt idx="19">
                  <c:v>2010-10</c:v>
                </c:pt>
                <c:pt idx="20">
                  <c:v>2010-11</c:v>
                </c:pt>
                <c:pt idx="21">
                  <c:v>2010-12</c:v>
                </c:pt>
                <c:pt idx="22">
                  <c:v>2011-01</c:v>
                </c:pt>
                <c:pt idx="23">
                  <c:v>2011-02</c:v>
                </c:pt>
                <c:pt idx="24">
                  <c:v>2011-03</c:v>
                </c:pt>
                <c:pt idx="25">
                  <c:v>2011-04</c:v>
                </c:pt>
                <c:pt idx="26">
                  <c:v>2011-05</c:v>
                </c:pt>
                <c:pt idx="27">
                  <c:v>2011-06</c:v>
                </c:pt>
                <c:pt idx="28">
                  <c:v>2011-07</c:v>
                </c:pt>
                <c:pt idx="29">
                  <c:v>2011-08</c:v>
                </c:pt>
                <c:pt idx="30">
                  <c:v>2011-09</c:v>
                </c:pt>
                <c:pt idx="31">
                  <c:v>2011-10</c:v>
                </c:pt>
                <c:pt idx="32">
                  <c:v>2011-11</c:v>
                </c:pt>
                <c:pt idx="33">
                  <c:v>2011-12</c:v>
                </c:pt>
                <c:pt idx="34">
                  <c:v>2012-01</c:v>
                </c:pt>
                <c:pt idx="35">
                  <c:v>2012-02</c:v>
                </c:pt>
                <c:pt idx="36">
                  <c:v>2012-03</c:v>
                </c:pt>
                <c:pt idx="37">
                  <c:v>2012-04</c:v>
                </c:pt>
                <c:pt idx="38">
                  <c:v>2012-05</c:v>
                </c:pt>
                <c:pt idx="39">
                  <c:v>2012-06</c:v>
                </c:pt>
                <c:pt idx="40">
                  <c:v>2012-07</c:v>
                </c:pt>
                <c:pt idx="41">
                  <c:v>2012-08</c:v>
                </c:pt>
                <c:pt idx="42">
                  <c:v>2012-09</c:v>
                </c:pt>
                <c:pt idx="43">
                  <c:v>2012-10</c:v>
                </c:pt>
                <c:pt idx="44">
                  <c:v>2012-11</c:v>
                </c:pt>
                <c:pt idx="45">
                  <c:v>2012-12</c:v>
                </c:pt>
                <c:pt idx="46">
                  <c:v>2013-01</c:v>
                </c:pt>
                <c:pt idx="47">
                  <c:v>2013-02</c:v>
                </c:pt>
                <c:pt idx="48">
                  <c:v>2013-03</c:v>
                </c:pt>
                <c:pt idx="49">
                  <c:v>2013-04</c:v>
                </c:pt>
                <c:pt idx="50">
                  <c:v>2013-05</c:v>
                </c:pt>
                <c:pt idx="51">
                  <c:v>2013-06</c:v>
                </c:pt>
                <c:pt idx="52">
                  <c:v>2013-07</c:v>
                </c:pt>
                <c:pt idx="53">
                  <c:v>2013-08</c:v>
                </c:pt>
                <c:pt idx="54">
                  <c:v>2013-09</c:v>
                </c:pt>
                <c:pt idx="55">
                  <c:v>2013-10</c:v>
                </c:pt>
                <c:pt idx="56">
                  <c:v>2013-11</c:v>
                </c:pt>
                <c:pt idx="57">
                  <c:v>2013-12</c:v>
                </c:pt>
                <c:pt idx="58">
                  <c:v>2014-01</c:v>
                </c:pt>
                <c:pt idx="59">
                  <c:v>2014-02</c:v>
                </c:pt>
                <c:pt idx="60">
                  <c:v>2014-03</c:v>
                </c:pt>
                <c:pt idx="61">
                  <c:v>2014-04</c:v>
                </c:pt>
                <c:pt idx="62">
                  <c:v>2014-05</c:v>
                </c:pt>
                <c:pt idx="63">
                  <c:v>2014-06</c:v>
                </c:pt>
                <c:pt idx="64">
                  <c:v>2014-07</c:v>
                </c:pt>
                <c:pt idx="65">
                  <c:v>2014-08</c:v>
                </c:pt>
                <c:pt idx="66">
                  <c:v>2014-09</c:v>
                </c:pt>
                <c:pt idx="67">
                  <c:v>2014-10</c:v>
                </c:pt>
                <c:pt idx="68">
                  <c:v>2014-11</c:v>
                </c:pt>
                <c:pt idx="69">
                  <c:v>2014-12</c:v>
                </c:pt>
                <c:pt idx="70">
                  <c:v>2015-01</c:v>
                </c:pt>
                <c:pt idx="71">
                  <c:v>2015-02</c:v>
                </c:pt>
                <c:pt idx="72">
                  <c:v>2015-03</c:v>
                </c:pt>
                <c:pt idx="73">
                  <c:v>2015-04</c:v>
                </c:pt>
                <c:pt idx="74">
                  <c:v>2015-05</c:v>
                </c:pt>
                <c:pt idx="75">
                  <c:v>2015-06</c:v>
                </c:pt>
                <c:pt idx="76">
                  <c:v>2015-07</c:v>
                </c:pt>
                <c:pt idx="77">
                  <c:v>2015-08</c:v>
                </c:pt>
                <c:pt idx="78">
                  <c:v>2015-09</c:v>
                </c:pt>
                <c:pt idx="79">
                  <c:v>2015-10</c:v>
                </c:pt>
                <c:pt idx="80">
                  <c:v>2015-11</c:v>
                </c:pt>
                <c:pt idx="81">
                  <c:v>2015-12*</c:v>
                </c:pt>
                <c:pt idx="82">
                  <c:v>2016-01*</c:v>
                </c:pt>
                <c:pt idx="83">
                  <c:v>2016-02</c:v>
                </c:pt>
                <c:pt idx="84">
                  <c:v>2016-03</c:v>
                </c:pt>
                <c:pt idx="85">
                  <c:v>2016-04</c:v>
                </c:pt>
                <c:pt idx="86">
                  <c:v>2016-05</c:v>
                </c:pt>
                <c:pt idx="87">
                  <c:v>2016-06</c:v>
                </c:pt>
                <c:pt idx="88">
                  <c:v>2016-07</c:v>
                </c:pt>
                <c:pt idx="89">
                  <c:v>2016-08</c:v>
                </c:pt>
                <c:pt idx="90">
                  <c:v>2016-09</c:v>
                </c:pt>
                <c:pt idx="91">
                  <c:v>2016-10</c:v>
                </c:pt>
                <c:pt idx="92">
                  <c:v>2016-11</c:v>
                </c:pt>
                <c:pt idx="93">
                  <c:v>2016-12*</c:v>
                </c:pt>
                <c:pt idx="94">
                  <c:v>2017-01</c:v>
                </c:pt>
                <c:pt idx="95">
                  <c:v>2017-02</c:v>
                </c:pt>
                <c:pt idx="96">
                  <c:v>2017-03</c:v>
                </c:pt>
                <c:pt idx="97">
                  <c:v>2017-04</c:v>
                </c:pt>
                <c:pt idx="98">
                  <c:v>2017-05</c:v>
                </c:pt>
                <c:pt idx="99">
                  <c:v>2017-06</c:v>
                </c:pt>
                <c:pt idx="100">
                  <c:v>2017-07</c:v>
                </c:pt>
                <c:pt idx="101">
                  <c:v>2017-08</c:v>
                </c:pt>
                <c:pt idx="102">
                  <c:v>2017-09</c:v>
                </c:pt>
                <c:pt idx="103">
                  <c:v>2017-10</c:v>
                </c:pt>
                <c:pt idx="104">
                  <c:v>2017-11</c:v>
                </c:pt>
                <c:pt idx="105">
                  <c:v>2017-12</c:v>
                </c:pt>
              </c:strCache>
            </c:strRef>
          </c:cat>
          <c:val>
            <c:numRef>
              <c:f>'[WYKRES_9_(7).xlsx]Arkusz1'!$M$4:$M$109</c:f>
              <c:numCache>
                <c:formatCode>0.00%</c:formatCode>
                <c:ptCount val="106"/>
                <c:pt idx="0">
                  <c:v>2.1972808036517726E-2</c:v>
                </c:pt>
                <c:pt idx="1">
                  <c:v>2.4252262098005496E-2</c:v>
                </c:pt>
                <c:pt idx="2">
                  <c:v>2.5695593915031133E-2</c:v>
                </c:pt>
                <c:pt idx="3">
                  <c:v>2.2114837101217318E-2</c:v>
                </c:pt>
                <c:pt idx="4">
                  <c:v>2.0630157539384845E-2</c:v>
                </c:pt>
                <c:pt idx="5">
                  <c:v>2.0210150441959843E-2</c:v>
                </c:pt>
                <c:pt idx="6">
                  <c:v>2.0870109902625136E-2</c:v>
                </c:pt>
                <c:pt idx="7">
                  <c:v>2.1363554496460189E-2</c:v>
                </c:pt>
                <c:pt idx="8">
                  <c:v>2.2196040193927576E-2</c:v>
                </c:pt>
                <c:pt idx="9">
                  <c:v>2.2686409307244845E-2</c:v>
                </c:pt>
                <c:pt idx="10">
                  <c:v>2.2528909064894184E-2</c:v>
                </c:pt>
                <c:pt idx="11">
                  <c:v>2.2984382406826129E-2</c:v>
                </c:pt>
                <c:pt idx="12">
                  <c:v>2.3550065834848581E-2</c:v>
                </c:pt>
                <c:pt idx="13">
                  <c:v>2.4527513578608467E-2</c:v>
                </c:pt>
                <c:pt idx="14">
                  <c:v>2.517123906056265E-2</c:v>
                </c:pt>
                <c:pt idx="15">
                  <c:v>2.527291935673201E-2</c:v>
                </c:pt>
                <c:pt idx="16">
                  <c:v>2.6101496913403504E-2</c:v>
                </c:pt>
                <c:pt idx="17">
                  <c:v>2.7239357178029455E-2</c:v>
                </c:pt>
                <c:pt idx="18">
                  <c:v>2.7755593238881899E-2</c:v>
                </c:pt>
                <c:pt idx="19">
                  <c:v>2.7903049992519288E-2</c:v>
                </c:pt>
                <c:pt idx="20">
                  <c:v>2.8204485129684202E-2</c:v>
                </c:pt>
                <c:pt idx="21">
                  <c:v>2.847543904301349E-2</c:v>
                </c:pt>
                <c:pt idx="22">
                  <c:v>2.909214852835031E-2</c:v>
                </c:pt>
                <c:pt idx="23">
                  <c:v>2.9799784245999147E-2</c:v>
                </c:pt>
                <c:pt idx="24">
                  <c:v>3.0399612496972633E-2</c:v>
                </c:pt>
                <c:pt idx="25">
                  <c:v>3.0560642143514522E-2</c:v>
                </c:pt>
                <c:pt idx="26">
                  <c:v>3.128341997340351E-2</c:v>
                </c:pt>
                <c:pt idx="27">
                  <c:v>3.1073678069767654E-2</c:v>
                </c:pt>
                <c:pt idx="28">
                  <c:v>3.1492612071124471E-2</c:v>
                </c:pt>
                <c:pt idx="29">
                  <c:v>3.1924923998766355E-2</c:v>
                </c:pt>
                <c:pt idx="30">
                  <c:v>3.275209014590038E-2</c:v>
                </c:pt>
                <c:pt idx="31">
                  <c:v>3.3368437144361593E-2</c:v>
                </c:pt>
                <c:pt idx="32">
                  <c:v>3.4304266850114937E-2</c:v>
                </c:pt>
                <c:pt idx="33">
                  <c:v>3.5309557021055323E-2</c:v>
                </c:pt>
                <c:pt idx="34">
                  <c:v>3.5866360956436291E-2</c:v>
                </c:pt>
                <c:pt idx="35">
                  <c:v>3.6398747221005147E-2</c:v>
                </c:pt>
                <c:pt idx="36">
                  <c:v>3.7060140754958414E-2</c:v>
                </c:pt>
                <c:pt idx="37">
                  <c:v>3.7678850309980909E-2</c:v>
                </c:pt>
                <c:pt idx="38">
                  <c:v>3.9205034882547861E-2</c:v>
                </c:pt>
                <c:pt idx="39">
                  <c:v>3.8850926708869436E-2</c:v>
                </c:pt>
                <c:pt idx="40">
                  <c:v>3.9352909882435803E-2</c:v>
                </c:pt>
                <c:pt idx="41">
                  <c:v>3.9465628019858222E-2</c:v>
                </c:pt>
                <c:pt idx="42">
                  <c:v>3.8815325436472446E-2</c:v>
                </c:pt>
                <c:pt idx="43">
                  <c:v>3.9657380838229082E-2</c:v>
                </c:pt>
                <c:pt idx="44">
                  <c:v>3.9811075654457656E-2</c:v>
                </c:pt>
                <c:pt idx="45">
                  <c:v>4.0665820914249071E-2</c:v>
                </c:pt>
                <c:pt idx="46">
                  <c:v>4.0976262027515094E-2</c:v>
                </c:pt>
                <c:pt idx="47">
                  <c:v>4.128380824856364E-2</c:v>
                </c:pt>
                <c:pt idx="48">
                  <c:v>4.1644973054843708E-2</c:v>
                </c:pt>
                <c:pt idx="49">
                  <c:v>4.1543125784651545E-2</c:v>
                </c:pt>
                <c:pt idx="50">
                  <c:v>4.1731779848212108E-2</c:v>
                </c:pt>
                <c:pt idx="51">
                  <c:v>4.1742829821696907E-2</c:v>
                </c:pt>
                <c:pt idx="52">
                  <c:v>4.1458445452448679E-2</c:v>
                </c:pt>
                <c:pt idx="53">
                  <c:v>4.1101689560613143E-2</c:v>
                </c:pt>
                <c:pt idx="54">
                  <c:v>4.0358688545007314E-2</c:v>
                </c:pt>
                <c:pt idx="55">
                  <c:v>3.984703445401841E-2</c:v>
                </c:pt>
                <c:pt idx="56">
                  <c:v>3.9894936877398111E-2</c:v>
                </c:pt>
                <c:pt idx="57">
                  <c:v>3.968182662186364E-2</c:v>
                </c:pt>
                <c:pt idx="58">
                  <c:v>3.9588211641713382E-2</c:v>
                </c:pt>
                <c:pt idx="59">
                  <c:v>3.9327754761932704E-2</c:v>
                </c:pt>
                <c:pt idx="60">
                  <c:v>3.7998652447666176E-2</c:v>
                </c:pt>
                <c:pt idx="61">
                  <c:v>3.8023926327566918E-2</c:v>
                </c:pt>
                <c:pt idx="62">
                  <c:v>3.7339338181075654E-2</c:v>
                </c:pt>
                <c:pt idx="63">
                  <c:v>3.696298660931803E-2</c:v>
                </c:pt>
                <c:pt idx="64">
                  <c:v>3.6920303678759626E-2</c:v>
                </c:pt>
                <c:pt idx="65">
                  <c:v>3.6787082649151613E-2</c:v>
                </c:pt>
                <c:pt idx="66">
                  <c:v>3.6682072488445634E-2</c:v>
                </c:pt>
                <c:pt idx="67">
                  <c:v>3.6807552899162807E-2</c:v>
                </c:pt>
                <c:pt idx="68">
                  <c:v>3.6406814880781992E-2</c:v>
                </c:pt>
                <c:pt idx="69">
                  <c:v>3.4091565606962221E-2</c:v>
                </c:pt>
                <c:pt idx="70">
                  <c:v>3.3646595943414438E-2</c:v>
                </c:pt>
                <c:pt idx="71">
                  <c:v>3.3612618074230674E-2</c:v>
                </c:pt>
                <c:pt idx="72">
                  <c:v>3.5083852714449727E-2</c:v>
                </c:pt>
                <c:pt idx="73">
                  <c:v>3.3983445526834924E-2</c:v>
                </c:pt>
                <c:pt idx="74">
                  <c:v>3.3908627397687748E-2</c:v>
                </c:pt>
                <c:pt idx="75">
                  <c:v>3.4724295066961175E-2</c:v>
                </c:pt>
                <c:pt idx="76">
                  <c:v>3.4574834280768699E-2</c:v>
                </c:pt>
                <c:pt idx="77">
                  <c:v>3.4745874201517299E-2</c:v>
                </c:pt>
                <c:pt idx="78">
                  <c:v>3.271102600925483E-2</c:v>
                </c:pt>
                <c:pt idx="79">
                  <c:v>3.2613844615318362E-2</c:v>
                </c:pt>
                <c:pt idx="80">
                  <c:v>3.2092913012562216E-2</c:v>
                </c:pt>
                <c:pt idx="81">
                  <c:v>2.7009430891240454E-2</c:v>
                </c:pt>
                <c:pt idx="82">
                  <c:v>2.7093134406687536E-2</c:v>
                </c:pt>
                <c:pt idx="83">
                  <c:v>2.6987559586094639E-2</c:v>
                </c:pt>
                <c:pt idx="84">
                  <c:v>2.6732718894009216E-2</c:v>
                </c:pt>
                <c:pt idx="85">
                  <c:v>2.6469864025608053E-2</c:v>
                </c:pt>
                <c:pt idx="86">
                  <c:v>2.6581677629348342E-2</c:v>
                </c:pt>
                <c:pt idx="87">
                  <c:v>2.6310369222778438E-2</c:v>
                </c:pt>
                <c:pt idx="88">
                  <c:v>2.6298373951240746E-2</c:v>
                </c:pt>
                <c:pt idx="89">
                  <c:v>2.6216568589449946E-2</c:v>
                </c:pt>
                <c:pt idx="90">
                  <c:v>2.6063753128043429E-2</c:v>
                </c:pt>
                <c:pt idx="91">
                  <c:v>2.6237047108901717E-2</c:v>
                </c:pt>
                <c:pt idx="92">
                  <c:v>2.5923664909761571E-2</c:v>
                </c:pt>
                <c:pt idx="93">
                  <c:v>2.5926431563947881E-2</c:v>
                </c:pt>
                <c:pt idx="94">
                  <c:v>2.6058120846920732E-2</c:v>
                </c:pt>
                <c:pt idx="95">
                  <c:v>2.5861742384381933E-2</c:v>
                </c:pt>
                <c:pt idx="96">
                  <c:v>2.5985170374073149E-2</c:v>
                </c:pt>
                <c:pt idx="97">
                  <c:v>2.590429618126399E-2</c:v>
                </c:pt>
                <c:pt idx="98">
                  <c:v>2.5923530904417725E-2</c:v>
                </c:pt>
                <c:pt idx="99">
                  <c:v>2.5621174658505937E-2</c:v>
                </c:pt>
                <c:pt idx="100">
                  <c:v>2.563196466218251E-2</c:v>
                </c:pt>
                <c:pt idx="101">
                  <c:v>2.5641229791757068E-2</c:v>
                </c:pt>
                <c:pt idx="102">
                  <c:v>2.5479240160680604E-2</c:v>
                </c:pt>
                <c:pt idx="103">
                  <c:v>2.5175383027146243E-2</c:v>
                </c:pt>
                <c:pt idx="104">
                  <c:v>2.5383565256511691E-2</c:v>
                </c:pt>
                <c:pt idx="105">
                  <c:v>2.5153542380013046E-2</c:v>
                </c:pt>
              </c:numCache>
            </c:numRef>
          </c:val>
          <c:smooth val="0"/>
          <c:extLst>
            <c:ext xmlns:c16="http://schemas.microsoft.com/office/drawing/2014/chart" uri="{C3380CC4-5D6E-409C-BE32-E72D297353CC}">
              <c16:uniqueId val="{00000000-A374-449D-A0F8-ECDF26564ECB}"/>
            </c:ext>
          </c:extLst>
        </c:ser>
        <c:ser>
          <c:idx val="1"/>
          <c:order val="1"/>
          <c:tx>
            <c:strRef>
              <c:f>'[WYKRES_9_(7).xlsx]Arkusz1'!$N$3</c:f>
              <c:strCache>
                <c:ptCount val="1"/>
                <c:pt idx="0">
                  <c:v>CHF</c:v>
                </c:pt>
              </c:strCache>
            </c:strRef>
          </c:tx>
          <c:spPr>
            <a:ln w="25400">
              <a:solidFill>
                <a:schemeClr val="accent4"/>
              </a:solidFill>
            </a:ln>
          </c:spPr>
          <c:marker>
            <c:symbol val="none"/>
          </c:marker>
          <c:cat>
            <c:strRef>
              <c:f>'[WYKRES_9_(7).xlsx]Arkusz1'!$L$4:$L$109</c:f>
              <c:strCache>
                <c:ptCount val="106"/>
                <c:pt idx="0">
                  <c:v>2009-03</c:v>
                </c:pt>
                <c:pt idx="1">
                  <c:v>2009-04</c:v>
                </c:pt>
                <c:pt idx="2">
                  <c:v>2009-05</c:v>
                </c:pt>
                <c:pt idx="3">
                  <c:v>2009-06</c:v>
                </c:pt>
                <c:pt idx="4">
                  <c:v>2009-07</c:v>
                </c:pt>
                <c:pt idx="5">
                  <c:v>2009-08</c:v>
                </c:pt>
                <c:pt idx="6">
                  <c:v>2009-09</c:v>
                </c:pt>
                <c:pt idx="7">
                  <c:v>2009-10</c:v>
                </c:pt>
                <c:pt idx="8">
                  <c:v>2009-11</c:v>
                </c:pt>
                <c:pt idx="9">
                  <c:v>2009-12</c:v>
                </c:pt>
                <c:pt idx="10">
                  <c:v>2010-01</c:v>
                </c:pt>
                <c:pt idx="11">
                  <c:v>2010-02</c:v>
                </c:pt>
                <c:pt idx="12">
                  <c:v>2010-03</c:v>
                </c:pt>
                <c:pt idx="13">
                  <c:v>2010-04</c:v>
                </c:pt>
                <c:pt idx="14">
                  <c:v>2010-05</c:v>
                </c:pt>
                <c:pt idx="15">
                  <c:v>2010-06</c:v>
                </c:pt>
                <c:pt idx="16">
                  <c:v>2010-07</c:v>
                </c:pt>
                <c:pt idx="17">
                  <c:v>2010-08</c:v>
                </c:pt>
                <c:pt idx="18">
                  <c:v>2010-09</c:v>
                </c:pt>
                <c:pt idx="19">
                  <c:v>2010-10</c:v>
                </c:pt>
                <c:pt idx="20">
                  <c:v>2010-11</c:v>
                </c:pt>
                <c:pt idx="21">
                  <c:v>2010-12</c:v>
                </c:pt>
                <c:pt idx="22">
                  <c:v>2011-01</c:v>
                </c:pt>
                <c:pt idx="23">
                  <c:v>2011-02</c:v>
                </c:pt>
                <c:pt idx="24">
                  <c:v>2011-03</c:v>
                </c:pt>
                <c:pt idx="25">
                  <c:v>2011-04</c:v>
                </c:pt>
                <c:pt idx="26">
                  <c:v>2011-05</c:v>
                </c:pt>
                <c:pt idx="27">
                  <c:v>2011-06</c:v>
                </c:pt>
                <c:pt idx="28">
                  <c:v>2011-07</c:v>
                </c:pt>
                <c:pt idx="29">
                  <c:v>2011-08</c:v>
                </c:pt>
                <c:pt idx="30">
                  <c:v>2011-09</c:v>
                </c:pt>
                <c:pt idx="31">
                  <c:v>2011-10</c:v>
                </c:pt>
                <c:pt idx="32">
                  <c:v>2011-11</c:v>
                </c:pt>
                <c:pt idx="33">
                  <c:v>2011-12</c:v>
                </c:pt>
                <c:pt idx="34">
                  <c:v>2012-01</c:v>
                </c:pt>
                <c:pt idx="35">
                  <c:v>2012-02</c:v>
                </c:pt>
                <c:pt idx="36">
                  <c:v>2012-03</c:v>
                </c:pt>
                <c:pt idx="37">
                  <c:v>2012-04</c:v>
                </c:pt>
                <c:pt idx="38">
                  <c:v>2012-05</c:v>
                </c:pt>
                <c:pt idx="39">
                  <c:v>2012-06</c:v>
                </c:pt>
                <c:pt idx="40">
                  <c:v>2012-07</c:v>
                </c:pt>
                <c:pt idx="41">
                  <c:v>2012-08</c:v>
                </c:pt>
                <c:pt idx="42">
                  <c:v>2012-09</c:v>
                </c:pt>
                <c:pt idx="43">
                  <c:v>2012-10</c:v>
                </c:pt>
                <c:pt idx="44">
                  <c:v>2012-11</c:v>
                </c:pt>
                <c:pt idx="45">
                  <c:v>2012-12</c:v>
                </c:pt>
                <c:pt idx="46">
                  <c:v>2013-01</c:v>
                </c:pt>
                <c:pt idx="47">
                  <c:v>2013-02</c:v>
                </c:pt>
                <c:pt idx="48">
                  <c:v>2013-03</c:v>
                </c:pt>
                <c:pt idx="49">
                  <c:v>2013-04</c:v>
                </c:pt>
                <c:pt idx="50">
                  <c:v>2013-05</c:v>
                </c:pt>
                <c:pt idx="51">
                  <c:v>2013-06</c:v>
                </c:pt>
                <c:pt idx="52">
                  <c:v>2013-07</c:v>
                </c:pt>
                <c:pt idx="53">
                  <c:v>2013-08</c:v>
                </c:pt>
                <c:pt idx="54">
                  <c:v>2013-09</c:v>
                </c:pt>
                <c:pt idx="55">
                  <c:v>2013-10</c:v>
                </c:pt>
                <c:pt idx="56">
                  <c:v>2013-11</c:v>
                </c:pt>
                <c:pt idx="57">
                  <c:v>2013-12</c:v>
                </c:pt>
                <c:pt idx="58">
                  <c:v>2014-01</c:v>
                </c:pt>
                <c:pt idx="59">
                  <c:v>2014-02</c:v>
                </c:pt>
                <c:pt idx="60">
                  <c:v>2014-03</c:v>
                </c:pt>
                <c:pt idx="61">
                  <c:v>2014-04</c:v>
                </c:pt>
                <c:pt idx="62">
                  <c:v>2014-05</c:v>
                </c:pt>
                <c:pt idx="63">
                  <c:v>2014-06</c:v>
                </c:pt>
                <c:pt idx="64">
                  <c:v>2014-07</c:v>
                </c:pt>
                <c:pt idx="65">
                  <c:v>2014-08</c:v>
                </c:pt>
                <c:pt idx="66">
                  <c:v>2014-09</c:v>
                </c:pt>
                <c:pt idx="67">
                  <c:v>2014-10</c:v>
                </c:pt>
                <c:pt idx="68">
                  <c:v>2014-11</c:v>
                </c:pt>
                <c:pt idx="69">
                  <c:v>2014-12</c:v>
                </c:pt>
                <c:pt idx="70">
                  <c:v>2015-01</c:v>
                </c:pt>
                <c:pt idx="71">
                  <c:v>2015-02</c:v>
                </c:pt>
                <c:pt idx="72">
                  <c:v>2015-03</c:v>
                </c:pt>
                <c:pt idx="73">
                  <c:v>2015-04</c:v>
                </c:pt>
                <c:pt idx="74">
                  <c:v>2015-05</c:v>
                </c:pt>
                <c:pt idx="75">
                  <c:v>2015-06</c:v>
                </c:pt>
                <c:pt idx="76">
                  <c:v>2015-07</c:v>
                </c:pt>
                <c:pt idx="77">
                  <c:v>2015-08</c:v>
                </c:pt>
                <c:pt idx="78">
                  <c:v>2015-09</c:v>
                </c:pt>
                <c:pt idx="79">
                  <c:v>2015-10</c:v>
                </c:pt>
                <c:pt idx="80">
                  <c:v>2015-11</c:v>
                </c:pt>
                <c:pt idx="81">
                  <c:v>2015-12*</c:v>
                </c:pt>
                <c:pt idx="82">
                  <c:v>2016-01*</c:v>
                </c:pt>
                <c:pt idx="83">
                  <c:v>2016-02</c:v>
                </c:pt>
                <c:pt idx="84">
                  <c:v>2016-03</c:v>
                </c:pt>
                <c:pt idx="85">
                  <c:v>2016-04</c:v>
                </c:pt>
                <c:pt idx="86">
                  <c:v>2016-05</c:v>
                </c:pt>
                <c:pt idx="87">
                  <c:v>2016-06</c:v>
                </c:pt>
                <c:pt idx="88">
                  <c:v>2016-07</c:v>
                </c:pt>
                <c:pt idx="89">
                  <c:v>2016-08</c:v>
                </c:pt>
                <c:pt idx="90">
                  <c:v>2016-09</c:v>
                </c:pt>
                <c:pt idx="91">
                  <c:v>2016-10</c:v>
                </c:pt>
                <c:pt idx="92">
                  <c:v>2016-11</c:v>
                </c:pt>
                <c:pt idx="93">
                  <c:v>2016-12*</c:v>
                </c:pt>
                <c:pt idx="94">
                  <c:v>2017-01</c:v>
                </c:pt>
                <c:pt idx="95">
                  <c:v>2017-02</c:v>
                </c:pt>
                <c:pt idx="96">
                  <c:v>2017-03</c:v>
                </c:pt>
                <c:pt idx="97">
                  <c:v>2017-04</c:v>
                </c:pt>
                <c:pt idx="98">
                  <c:v>2017-05</c:v>
                </c:pt>
                <c:pt idx="99">
                  <c:v>2017-06</c:v>
                </c:pt>
                <c:pt idx="100">
                  <c:v>2017-07</c:v>
                </c:pt>
                <c:pt idx="101">
                  <c:v>2017-08</c:v>
                </c:pt>
                <c:pt idx="102">
                  <c:v>2017-09</c:v>
                </c:pt>
                <c:pt idx="103">
                  <c:v>2017-10</c:v>
                </c:pt>
                <c:pt idx="104">
                  <c:v>2017-11</c:v>
                </c:pt>
                <c:pt idx="105">
                  <c:v>2017-12</c:v>
                </c:pt>
              </c:strCache>
            </c:strRef>
          </c:cat>
          <c:val>
            <c:numRef>
              <c:f>'[WYKRES_9_(7).xlsx]Arkusz1'!$N$4:$N$109</c:f>
              <c:numCache>
                <c:formatCode>0.00%</c:formatCode>
                <c:ptCount val="106"/>
                <c:pt idx="0">
                  <c:v>7.9609569326385757E-3</c:v>
                </c:pt>
                <c:pt idx="1">
                  <c:v>8.3868421996628039E-3</c:v>
                </c:pt>
                <c:pt idx="2">
                  <c:v>8.6061197502315945E-3</c:v>
                </c:pt>
                <c:pt idx="3">
                  <c:v>8.5165828718116003E-3</c:v>
                </c:pt>
                <c:pt idx="4">
                  <c:v>9.280564503758245E-3</c:v>
                </c:pt>
                <c:pt idx="5">
                  <c:v>9.2023597369876482E-3</c:v>
                </c:pt>
                <c:pt idx="6">
                  <c:v>9.3601543942992867E-3</c:v>
                </c:pt>
                <c:pt idx="7">
                  <c:v>9.7515895312731034E-3</c:v>
                </c:pt>
                <c:pt idx="8">
                  <c:v>1.0220910879104251E-2</c:v>
                </c:pt>
                <c:pt idx="9">
                  <c:v>1.0437203702310181E-2</c:v>
                </c:pt>
                <c:pt idx="10">
                  <c:v>9.3555171919878777E-3</c:v>
                </c:pt>
                <c:pt idx="11">
                  <c:v>9.7571485733632928E-3</c:v>
                </c:pt>
                <c:pt idx="12">
                  <c:v>1.009481359538434E-2</c:v>
                </c:pt>
                <c:pt idx="13">
                  <c:v>1.0723694884612115E-2</c:v>
                </c:pt>
                <c:pt idx="14">
                  <c:v>1.1120829688866674E-2</c:v>
                </c:pt>
                <c:pt idx="15">
                  <c:v>1.1336081474296799E-2</c:v>
                </c:pt>
                <c:pt idx="16">
                  <c:v>1.1731631769831108E-2</c:v>
                </c:pt>
                <c:pt idx="17">
                  <c:v>1.2196621003318902E-2</c:v>
                </c:pt>
                <c:pt idx="18">
                  <c:v>1.2903956081272285E-2</c:v>
                </c:pt>
                <c:pt idx="19">
                  <c:v>1.2980040195317318E-2</c:v>
                </c:pt>
                <c:pt idx="20">
                  <c:v>1.3204296991563357E-2</c:v>
                </c:pt>
                <c:pt idx="21">
                  <c:v>1.3371596043472952E-2</c:v>
                </c:pt>
                <c:pt idx="22">
                  <c:v>1.3975493676581206E-2</c:v>
                </c:pt>
                <c:pt idx="23">
                  <c:v>1.4400877661975156E-2</c:v>
                </c:pt>
                <c:pt idx="24">
                  <c:v>1.4557427580650812E-2</c:v>
                </c:pt>
                <c:pt idx="25">
                  <c:v>1.4623945558942369E-2</c:v>
                </c:pt>
                <c:pt idx="26">
                  <c:v>1.4826430484702462E-2</c:v>
                </c:pt>
                <c:pt idx="27">
                  <c:v>1.5303937651112385E-2</c:v>
                </c:pt>
                <c:pt idx="28">
                  <c:v>1.5833576624199468E-2</c:v>
                </c:pt>
                <c:pt idx="29">
                  <c:v>1.6594243774834025E-2</c:v>
                </c:pt>
                <c:pt idx="30">
                  <c:v>1.7811906269791008E-2</c:v>
                </c:pt>
                <c:pt idx="31">
                  <c:v>1.7945697991569552E-2</c:v>
                </c:pt>
                <c:pt idx="32">
                  <c:v>1.818951687450426E-2</c:v>
                </c:pt>
                <c:pt idx="33">
                  <c:v>1.8235520739694363E-2</c:v>
                </c:pt>
                <c:pt idx="34">
                  <c:v>1.8882929653452434E-2</c:v>
                </c:pt>
                <c:pt idx="35">
                  <c:v>1.9104333533355944E-2</c:v>
                </c:pt>
                <c:pt idx="36">
                  <c:v>1.9457531821849703E-2</c:v>
                </c:pt>
                <c:pt idx="37">
                  <c:v>1.9425115432138908E-2</c:v>
                </c:pt>
                <c:pt idx="38">
                  <c:v>1.9846958723538938E-2</c:v>
                </c:pt>
                <c:pt idx="39">
                  <c:v>1.9208307127546238E-2</c:v>
                </c:pt>
                <c:pt idx="40">
                  <c:v>1.9443961540004547E-2</c:v>
                </c:pt>
                <c:pt idx="41">
                  <c:v>1.9878119558908881E-2</c:v>
                </c:pt>
                <c:pt idx="42">
                  <c:v>1.9841889186713264E-2</c:v>
                </c:pt>
                <c:pt idx="43">
                  <c:v>1.9817806224389584E-2</c:v>
                </c:pt>
                <c:pt idx="44">
                  <c:v>2.0022011224357265E-2</c:v>
                </c:pt>
                <c:pt idx="45">
                  <c:v>2.0557373193794054E-2</c:v>
                </c:pt>
                <c:pt idx="46">
                  <c:v>2.0525149213804796E-2</c:v>
                </c:pt>
                <c:pt idx="47">
                  <c:v>2.0698514095264547E-2</c:v>
                </c:pt>
                <c:pt idx="48">
                  <c:v>2.0808326105810928E-2</c:v>
                </c:pt>
                <c:pt idx="49">
                  <c:v>2.1205088655242191E-2</c:v>
                </c:pt>
                <c:pt idx="50">
                  <c:v>2.1380068460746388E-2</c:v>
                </c:pt>
                <c:pt idx="51">
                  <c:v>2.1544777044618626E-2</c:v>
                </c:pt>
                <c:pt idx="52">
                  <c:v>2.1862159857353285E-2</c:v>
                </c:pt>
                <c:pt idx="53">
                  <c:v>2.172304700436152E-2</c:v>
                </c:pt>
                <c:pt idx="54">
                  <c:v>2.2023957629829737E-2</c:v>
                </c:pt>
                <c:pt idx="55">
                  <c:v>2.2300179041907453E-2</c:v>
                </c:pt>
                <c:pt idx="56">
                  <c:v>2.5800918658061514E-2</c:v>
                </c:pt>
                <c:pt idx="57">
                  <c:v>2.6196915322432075E-2</c:v>
                </c:pt>
                <c:pt idx="58">
                  <c:v>2.663727049298829E-2</c:v>
                </c:pt>
                <c:pt idx="59">
                  <c:v>2.6621732987991524E-2</c:v>
                </c:pt>
                <c:pt idx="60">
                  <c:v>2.698402125565251E-2</c:v>
                </c:pt>
                <c:pt idx="61">
                  <c:v>2.8737330457137791E-2</c:v>
                </c:pt>
                <c:pt idx="62">
                  <c:v>2.9226110667530395E-2</c:v>
                </c:pt>
                <c:pt idx="63">
                  <c:v>2.8903816564716477E-2</c:v>
                </c:pt>
                <c:pt idx="64">
                  <c:v>2.8952556481278657E-2</c:v>
                </c:pt>
                <c:pt idx="65">
                  <c:v>2.9292343387470998E-2</c:v>
                </c:pt>
                <c:pt idx="66">
                  <c:v>2.9543446911641461E-2</c:v>
                </c:pt>
                <c:pt idx="67">
                  <c:v>3.0930878645884587E-2</c:v>
                </c:pt>
                <c:pt idx="68">
                  <c:v>3.0653300860430138E-2</c:v>
                </c:pt>
                <c:pt idx="69">
                  <c:v>3.0568343643336673E-2</c:v>
                </c:pt>
                <c:pt idx="70">
                  <c:v>3.0990396118347623E-2</c:v>
                </c:pt>
                <c:pt idx="71">
                  <c:v>3.1508511597267967E-2</c:v>
                </c:pt>
                <c:pt idx="72">
                  <c:v>3.527656325907419E-2</c:v>
                </c:pt>
                <c:pt idx="73">
                  <c:v>3.4267448055407566E-2</c:v>
                </c:pt>
                <c:pt idx="74">
                  <c:v>3.468013236376645E-2</c:v>
                </c:pt>
                <c:pt idx="75">
                  <c:v>3.6137250480075996E-2</c:v>
                </c:pt>
                <c:pt idx="76">
                  <c:v>3.6032220033744906E-2</c:v>
                </c:pt>
                <c:pt idx="77">
                  <c:v>3.6293854183726514E-2</c:v>
                </c:pt>
                <c:pt idx="78">
                  <c:v>3.4531549312126313E-2</c:v>
                </c:pt>
                <c:pt idx="79">
                  <c:v>3.4655749048552648E-2</c:v>
                </c:pt>
                <c:pt idx="80">
                  <c:v>3.4176469304467383E-2</c:v>
                </c:pt>
                <c:pt idx="81">
                  <c:v>3.4044191350581808E-2</c:v>
                </c:pt>
                <c:pt idx="82">
                  <c:v>3.4495418127371023E-2</c:v>
                </c:pt>
                <c:pt idx="83">
                  <c:v>3.4728812454270834E-2</c:v>
                </c:pt>
                <c:pt idx="84">
                  <c:v>3.529929118188526E-2</c:v>
                </c:pt>
                <c:pt idx="85">
                  <c:v>3.5579161816065193E-2</c:v>
                </c:pt>
                <c:pt idx="86">
                  <c:v>3.6595126578526115E-2</c:v>
                </c:pt>
                <c:pt idx="87">
                  <c:v>3.6064285662318389E-2</c:v>
                </c:pt>
                <c:pt idx="88">
                  <c:v>3.6082588543168259E-2</c:v>
                </c:pt>
                <c:pt idx="89">
                  <c:v>3.6141310489794999E-2</c:v>
                </c:pt>
                <c:pt idx="90">
                  <c:v>3.6763759923112434E-2</c:v>
                </c:pt>
                <c:pt idx="91">
                  <c:v>3.7181120514453846E-2</c:v>
                </c:pt>
                <c:pt idx="92">
                  <c:v>3.7070497630331753E-2</c:v>
                </c:pt>
                <c:pt idx="93">
                  <c:v>3.7278415015641296E-2</c:v>
                </c:pt>
                <c:pt idx="94">
                  <c:v>3.7678099462283926E-2</c:v>
                </c:pt>
                <c:pt idx="95">
                  <c:v>3.7976524994831826E-2</c:v>
                </c:pt>
                <c:pt idx="96">
                  <c:v>3.7842247408146616E-2</c:v>
                </c:pt>
                <c:pt idx="97">
                  <c:v>3.7862454882391414E-2</c:v>
                </c:pt>
                <c:pt idx="98">
                  <c:v>3.8531443111595787E-2</c:v>
                </c:pt>
                <c:pt idx="99">
                  <c:v>3.8528463397135108E-2</c:v>
                </c:pt>
                <c:pt idx="100">
                  <c:v>3.8506457818081888E-2</c:v>
                </c:pt>
                <c:pt idx="101">
                  <c:v>3.8383293921268602E-2</c:v>
                </c:pt>
                <c:pt idx="102">
                  <c:v>3.8035249227787539E-2</c:v>
                </c:pt>
                <c:pt idx="103">
                  <c:v>3.7960624137869263E-2</c:v>
                </c:pt>
                <c:pt idx="104">
                  <c:v>3.7527877458493564E-2</c:v>
                </c:pt>
                <c:pt idx="105">
                  <c:v>3.7136244003509233E-2</c:v>
                </c:pt>
              </c:numCache>
            </c:numRef>
          </c:val>
          <c:smooth val="0"/>
          <c:extLst>
            <c:ext xmlns:c16="http://schemas.microsoft.com/office/drawing/2014/chart" uri="{C3380CC4-5D6E-409C-BE32-E72D297353CC}">
              <c16:uniqueId val="{00000001-A374-449D-A0F8-ECDF26564ECB}"/>
            </c:ext>
          </c:extLst>
        </c:ser>
        <c:ser>
          <c:idx val="2"/>
          <c:order val="2"/>
          <c:tx>
            <c:strRef>
              <c:f>'[WYKRES_9_(7).xlsx]Arkusz1'!$O$3</c:f>
              <c:strCache>
                <c:ptCount val="1"/>
                <c:pt idx="0">
                  <c:v>Inne</c:v>
                </c:pt>
              </c:strCache>
            </c:strRef>
          </c:tx>
          <c:spPr>
            <a:ln w="25400">
              <a:solidFill>
                <a:schemeClr val="accent3"/>
              </a:solidFill>
            </a:ln>
          </c:spPr>
          <c:marker>
            <c:symbol val="none"/>
          </c:marker>
          <c:cat>
            <c:strRef>
              <c:f>'[WYKRES_9_(7).xlsx]Arkusz1'!$L$4:$L$109</c:f>
              <c:strCache>
                <c:ptCount val="106"/>
                <c:pt idx="0">
                  <c:v>2009-03</c:v>
                </c:pt>
                <c:pt idx="1">
                  <c:v>2009-04</c:v>
                </c:pt>
                <c:pt idx="2">
                  <c:v>2009-05</c:v>
                </c:pt>
                <c:pt idx="3">
                  <c:v>2009-06</c:v>
                </c:pt>
                <c:pt idx="4">
                  <c:v>2009-07</c:v>
                </c:pt>
                <c:pt idx="5">
                  <c:v>2009-08</c:v>
                </c:pt>
                <c:pt idx="6">
                  <c:v>2009-09</c:v>
                </c:pt>
                <c:pt idx="7">
                  <c:v>2009-10</c:v>
                </c:pt>
                <c:pt idx="8">
                  <c:v>2009-11</c:v>
                </c:pt>
                <c:pt idx="9">
                  <c:v>2009-12</c:v>
                </c:pt>
                <c:pt idx="10">
                  <c:v>2010-01</c:v>
                </c:pt>
                <c:pt idx="11">
                  <c:v>2010-02</c:v>
                </c:pt>
                <c:pt idx="12">
                  <c:v>2010-03</c:v>
                </c:pt>
                <c:pt idx="13">
                  <c:v>2010-04</c:v>
                </c:pt>
                <c:pt idx="14">
                  <c:v>2010-05</c:v>
                </c:pt>
                <c:pt idx="15">
                  <c:v>2010-06</c:v>
                </c:pt>
                <c:pt idx="16">
                  <c:v>2010-07</c:v>
                </c:pt>
                <c:pt idx="17">
                  <c:v>2010-08</c:v>
                </c:pt>
                <c:pt idx="18">
                  <c:v>2010-09</c:v>
                </c:pt>
                <c:pt idx="19">
                  <c:v>2010-10</c:v>
                </c:pt>
                <c:pt idx="20">
                  <c:v>2010-11</c:v>
                </c:pt>
                <c:pt idx="21">
                  <c:v>2010-12</c:v>
                </c:pt>
                <c:pt idx="22">
                  <c:v>2011-01</c:v>
                </c:pt>
                <c:pt idx="23">
                  <c:v>2011-02</c:v>
                </c:pt>
                <c:pt idx="24">
                  <c:v>2011-03</c:v>
                </c:pt>
                <c:pt idx="25">
                  <c:v>2011-04</c:v>
                </c:pt>
                <c:pt idx="26">
                  <c:v>2011-05</c:v>
                </c:pt>
                <c:pt idx="27">
                  <c:v>2011-06</c:v>
                </c:pt>
                <c:pt idx="28">
                  <c:v>2011-07</c:v>
                </c:pt>
                <c:pt idx="29">
                  <c:v>2011-08</c:v>
                </c:pt>
                <c:pt idx="30">
                  <c:v>2011-09</c:v>
                </c:pt>
                <c:pt idx="31">
                  <c:v>2011-10</c:v>
                </c:pt>
                <c:pt idx="32">
                  <c:v>2011-11</c:v>
                </c:pt>
                <c:pt idx="33">
                  <c:v>2011-12</c:v>
                </c:pt>
                <c:pt idx="34">
                  <c:v>2012-01</c:v>
                </c:pt>
                <c:pt idx="35">
                  <c:v>2012-02</c:v>
                </c:pt>
                <c:pt idx="36">
                  <c:v>2012-03</c:v>
                </c:pt>
                <c:pt idx="37">
                  <c:v>2012-04</c:v>
                </c:pt>
                <c:pt idx="38">
                  <c:v>2012-05</c:v>
                </c:pt>
                <c:pt idx="39">
                  <c:v>2012-06</c:v>
                </c:pt>
                <c:pt idx="40">
                  <c:v>2012-07</c:v>
                </c:pt>
                <c:pt idx="41">
                  <c:v>2012-08</c:v>
                </c:pt>
                <c:pt idx="42">
                  <c:v>2012-09</c:v>
                </c:pt>
                <c:pt idx="43">
                  <c:v>2012-10</c:v>
                </c:pt>
                <c:pt idx="44">
                  <c:v>2012-11</c:v>
                </c:pt>
                <c:pt idx="45">
                  <c:v>2012-12</c:v>
                </c:pt>
                <c:pt idx="46">
                  <c:v>2013-01</c:v>
                </c:pt>
                <c:pt idx="47">
                  <c:v>2013-02</c:v>
                </c:pt>
                <c:pt idx="48">
                  <c:v>2013-03</c:v>
                </c:pt>
                <c:pt idx="49">
                  <c:v>2013-04</c:v>
                </c:pt>
                <c:pt idx="50">
                  <c:v>2013-05</c:v>
                </c:pt>
                <c:pt idx="51">
                  <c:v>2013-06</c:v>
                </c:pt>
                <c:pt idx="52">
                  <c:v>2013-07</c:v>
                </c:pt>
                <c:pt idx="53">
                  <c:v>2013-08</c:v>
                </c:pt>
                <c:pt idx="54">
                  <c:v>2013-09</c:v>
                </c:pt>
                <c:pt idx="55">
                  <c:v>2013-10</c:v>
                </c:pt>
                <c:pt idx="56">
                  <c:v>2013-11</c:v>
                </c:pt>
                <c:pt idx="57">
                  <c:v>2013-12</c:v>
                </c:pt>
                <c:pt idx="58">
                  <c:v>2014-01</c:v>
                </c:pt>
                <c:pt idx="59">
                  <c:v>2014-02</c:v>
                </c:pt>
                <c:pt idx="60">
                  <c:v>2014-03</c:v>
                </c:pt>
                <c:pt idx="61">
                  <c:v>2014-04</c:v>
                </c:pt>
                <c:pt idx="62">
                  <c:v>2014-05</c:v>
                </c:pt>
                <c:pt idx="63">
                  <c:v>2014-06</c:v>
                </c:pt>
                <c:pt idx="64">
                  <c:v>2014-07</c:v>
                </c:pt>
                <c:pt idx="65">
                  <c:v>2014-08</c:v>
                </c:pt>
                <c:pt idx="66">
                  <c:v>2014-09</c:v>
                </c:pt>
                <c:pt idx="67">
                  <c:v>2014-10</c:v>
                </c:pt>
                <c:pt idx="68">
                  <c:v>2014-11</c:v>
                </c:pt>
                <c:pt idx="69">
                  <c:v>2014-12</c:v>
                </c:pt>
                <c:pt idx="70">
                  <c:v>2015-01</c:v>
                </c:pt>
                <c:pt idx="71">
                  <c:v>2015-02</c:v>
                </c:pt>
                <c:pt idx="72">
                  <c:v>2015-03</c:v>
                </c:pt>
                <c:pt idx="73">
                  <c:v>2015-04</c:v>
                </c:pt>
                <c:pt idx="74">
                  <c:v>2015-05</c:v>
                </c:pt>
                <c:pt idx="75">
                  <c:v>2015-06</c:v>
                </c:pt>
                <c:pt idx="76">
                  <c:v>2015-07</c:v>
                </c:pt>
                <c:pt idx="77">
                  <c:v>2015-08</c:v>
                </c:pt>
                <c:pt idx="78">
                  <c:v>2015-09</c:v>
                </c:pt>
                <c:pt idx="79">
                  <c:v>2015-10</c:v>
                </c:pt>
                <c:pt idx="80">
                  <c:v>2015-11</c:v>
                </c:pt>
                <c:pt idx="81">
                  <c:v>2015-12*</c:v>
                </c:pt>
                <c:pt idx="82">
                  <c:v>2016-01*</c:v>
                </c:pt>
                <c:pt idx="83">
                  <c:v>2016-02</c:v>
                </c:pt>
                <c:pt idx="84">
                  <c:v>2016-03</c:v>
                </c:pt>
                <c:pt idx="85">
                  <c:v>2016-04</c:v>
                </c:pt>
                <c:pt idx="86">
                  <c:v>2016-05</c:v>
                </c:pt>
                <c:pt idx="87">
                  <c:v>2016-06</c:v>
                </c:pt>
                <c:pt idx="88">
                  <c:v>2016-07</c:v>
                </c:pt>
                <c:pt idx="89">
                  <c:v>2016-08</c:v>
                </c:pt>
                <c:pt idx="90">
                  <c:v>2016-09</c:v>
                </c:pt>
                <c:pt idx="91">
                  <c:v>2016-10</c:v>
                </c:pt>
                <c:pt idx="92">
                  <c:v>2016-11</c:v>
                </c:pt>
                <c:pt idx="93">
                  <c:v>2016-12*</c:v>
                </c:pt>
                <c:pt idx="94">
                  <c:v>2017-01</c:v>
                </c:pt>
                <c:pt idx="95">
                  <c:v>2017-02</c:v>
                </c:pt>
                <c:pt idx="96">
                  <c:v>2017-03</c:v>
                </c:pt>
                <c:pt idx="97">
                  <c:v>2017-04</c:v>
                </c:pt>
                <c:pt idx="98">
                  <c:v>2017-05</c:v>
                </c:pt>
                <c:pt idx="99">
                  <c:v>2017-06</c:v>
                </c:pt>
                <c:pt idx="100">
                  <c:v>2017-07</c:v>
                </c:pt>
                <c:pt idx="101">
                  <c:v>2017-08</c:v>
                </c:pt>
                <c:pt idx="102">
                  <c:v>2017-09</c:v>
                </c:pt>
                <c:pt idx="103">
                  <c:v>2017-10</c:v>
                </c:pt>
                <c:pt idx="104">
                  <c:v>2017-11</c:v>
                </c:pt>
                <c:pt idx="105">
                  <c:v>2017-12</c:v>
                </c:pt>
              </c:strCache>
            </c:strRef>
          </c:cat>
          <c:val>
            <c:numRef>
              <c:f>'[WYKRES_9_(7).xlsx]Arkusz1'!$O$4:$O$109</c:f>
              <c:numCache>
                <c:formatCode>0.00%</c:formatCode>
                <c:ptCount val="106"/>
                <c:pt idx="0">
                  <c:v>3.0483612193444878E-2</c:v>
                </c:pt>
                <c:pt idx="1">
                  <c:v>3.050058207217695E-2</c:v>
                </c:pt>
                <c:pt idx="2">
                  <c:v>2.8263214670981661E-2</c:v>
                </c:pt>
                <c:pt idx="3">
                  <c:v>2.5595589683008468E-2</c:v>
                </c:pt>
                <c:pt idx="4">
                  <c:v>2.414059482425647E-2</c:v>
                </c:pt>
                <c:pt idx="5">
                  <c:v>2.1401819154628143E-2</c:v>
                </c:pt>
                <c:pt idx="6">
                  <c:v>1.8815114290157052E-2</c:v>
                </c:pt>
                <c:pt idx="7">
                  <c:v>1.707009934238142E-2</c:v>
                </c:pt>
                <c:pt idx="8">
                  <c:v>1.3329848405645583E-2</c:v>
                </c:pt>
                <c:pt idx="9">
                  <c:v>1.2580109185853311E-2</c:v>
                </c:pt>
                <c:pt idx="10">
                  <c:v>1.0695776822141361E-2</c:v>
                </c:pt>
                <c:pt idx="11">
                  <c:v>9.9574732911523692E-3</c:v>
                </c:pt>
                <c:pt idx="12">
                  <c:v>9.5605987445678414E-3</c:v>
                </c:pt>
                <c:pt idx="13">
                  <c:v>8.8966419537723513E-3</c:v>
                </c:pt>
                <c:pt idx="14">
                  <c:v>8.4816993963475213E-3</c:v>
                </c:pt>
                <c:pt idx="15">
                  <c:v>8.0164439876670088E-3</c:v>
                </c:pt>
                <c:pt idx="16">
                  <c:v>7.7616259948694337E-3</c:v>
                </c:pt>
                <c:pt idx="17">
                  <c:v>7.5878105495043443E-3</c:v>
                </c:pt>
                <c:pt idx="18">
                  <c:v>7.0295706733282982E-3</c:v>
                </c:pt>
                <c:pt idx="19">
                  <c:v>6.9713400464756006E-3</c:v>
                </c:pt>
                <c:pt idx="20">
                  <c:v>7.0689744789230206E-3</c:v>
                </c:pt>
                <c:pt idx="21">
                  <c:v>7.5666297170947994E-3</c:v>
                </c:pt>
                <c:pt idx="22">
                  <c:v>7.4680112258003143E-3</c:v>
                </c:pt>
                <c:pt idx="23">
                  <c:v>7.5834175935288167E-3</c:v>
                </c:pt>
                <c:pt idx="24">
                  <c:v>7.3668887026335523E-3</c:v>
                </c:pt>
                <c:pt idx="25">
                  <c:v>7.346510407556411E-3</c:v>
                </c:pt>
                <c:pt idx="26">
                  <c:v>7.4658166261219695E-3</c:v>
                </c:pt>
                <c:pt idx="27">
                  <c:v>7.6749979908382225E-3</c:v>
                </c:pt>
                <c:pt idx="28">
                  <c:v>8.1021644353563016E-3</c:v>
                </c:pt>
                <c:pt idx="29">
                  <c:v>7.7238450838275127E-3</c:v>
                </c:pt>
                <c:pt idx="30">
                  <c:v>6.1825835306498289E-3</c:v>
                </c:pt>
                <c:pt idx="31">
                  <c:v>5.2780764343661425E-3</c:v>
                </c:pt>
                <c:pt idx="32">
                  <c:v>5.50314465408805E-3</c:v>
                </c:pt>
                <c:pt idx="33">
                  <c:v>6.2496207754383836E-3</c:v>
                </c:pt>
                <c:pt idx="34">
                  <c:v>6.8663394022245696E-3</c:v>
                </c:pt>
                <c:pt idx="35">
                  <c:v>6.2981323854955883E-3</c:v>
                </c:pt>
                <c:pt idx="36">
                  <c:v>6.2764068336292941E-3</c:v>
                </c:pt>
                <c:pt idx="37">
                  <c:v>6.5462480300642499E-3</c:v>
                </c:pt>
                <c:pt idx="38">
                  <c:v>6.3504777161164823E-3</c:v>
                </c:pt>
                <c:pt idx="39">
                  <c:v>6.3525674960296452E-3</c:v>
                </c:pt>
                <c:pt idx="40">
                  <c:v>6.6952737453969992E-3</c:v>
                </c:pt>
                <c:pt idx="41">
                  <c:v>6.8538249730635704E-3</c:v>
                </c:pt>
                <c:pt idx="42">
                  <c:v>6.9224201024640159E-3</c:v>
                </c:pt>
                <c:pt idx="43">
                  <c:v>7.180673035964218E-3</c:v>
                </c:pt>
                <c:pt idx="44">
                  <c:v>7.1268393082050806E-3</c:v>
                </c:pt>
                <c:pt idx="45">
                  <c:v>7.2178680957838979E-3</c:v>
                </c:pt>
                <c:pt idx="46">
                  <c:v>7.0193564070618981E-3</c:v>
                </c:pt>
                <c:pt idx="47">
                  <c:v>7.2090312289097491E-3</c:v>
                </c:pt>
                <c:pt idx="48">
                  <c:v>7.4506091789062262E-3</c:v>
                </c:pt>
                <c:pt idx="49">
                  <c:v>7.5844348822090828E-3</c:v>
                </c:pt>
                <c:pt idx="50">
                  <c:v>7.7400774007740075E-3</c:v>
                </c:pt>
                <c:pt idx="51">
                  <c:v>7.7246562677085505E-3</c:v>
                </c:pt>
                <c:pt idx="52">
                  <c:v>7.914438502673796E-3</c:v>
                </c:pt>
                <c:pt idx="53">
                  <c:v>8.0864178694577526E-3</c:v>
                </c:pt>
                <c:pt idx="54">
                  <c:v>8.3754691813754389E-3</c:v>
                </c:pt>
                <c:pt idx="55">
                  <c:v>8.7178196009315787E-3</c:v>
                </c:pt>
                <c:pt idx="56">
                  <c:v>1.0057832537088257E-2</c:v>
                </c:pt>
                <c:pt idx="57">
                  <c:v>1.0177302694744927E-2</c:v>
                </c:pt>
                <c:pt idx="58">
                  <c:v>1.0504796351627614E-2</c:v>
                </c:pt>
                <c:pt idx="59">
                  <c:v>1.0503930918932852E-2</c:v>
                </c:pt>
                <c:pt idx="60">
                  <c:v>1.069363228120053E-2</c:v>
                </c:pt>
                <c:pt idx="61">
                  <c:v>1.1350444989036501E-2</c:v>
                </c:pt>
                <c:pt idx="62">
                  <c:v>1.144285150598448E-2</c:v>
                </c:pt>
                <c:pt idx="63">
                  <c:v>1.168378093733544E-2</c:v>
                </c:pt>
                <c:pt idx="64">
                  <c:v>1.2060533967750463E-2</c:v>
                </c:pt>
                <c:pt idx="65">
                  <c:v>1.2484026344244569E-2</c:v>
                </c:pt>
                <c:pt idx="66">
                  <c:v>1.254938415059261E-2</c:v>
                </c:pt>
                <c:pt idx="67">
                  <c:v>1.3706340009932131E-2</c:v>
                </c:pt>
                <c:pt idx="68">
                  <c:v>1.401431533881865E-2</c:v>
                </c:pt>
                <c:pt idx="69">
                  <c:v>1.3605666282325811E-2</c:v>
                </c:pt>
                <c:pt idx="70">
                  <c:v>1.3917232611822957E-2</c:v>
                </c:pt>
                <c:pt idx="71">
                  <c:v>1.4061913375883136E-2</c:v>
                </c:pt>
                <c:pt idx="72">
                  <c:v>1.5191637630662022E-2</c:v>
                </c:pt>
                <c:pt idx="73">
                  <c:v>1.4978601997146932E-2</c:v>
                </c:pt>
                <c:pt idx="74">
                  <c:v>1.5139302610828806E-2</c:v>
                </c:pt>
                <c:pt idx="75">
                  <c:v>1.5273004963726614E-2</c:v>
                </c:pt>
                <c:pt idx="76">
                  <c:v>1.5244010021525107E-2</c:v>
                </c:pt>
                <c:pt idx="77">
                  <c:v>1.5363225582203684E-2</c:v>
                </c:pt>
                <c:pt idx="78">
                  <c:v>1.3788529339895975E-2</c:v>
                </c:pt>
                <c:pt idx="79">
                  <c:v>1.3609941174423056E-2</c:v>
                </c:pt>
                <c:pt idx="80">
                  <c:v>1.3332867962723814E-2</c:v>
                </c:pt>
                <c:pt idx="81">
                  <c:v>1.4038043096792307E-2</c:v>
                </c:pt>
                <c:pt idx="82">
                  <c:v>1.3803369646119494E-2</c:v>
                </c:pt>
                <c:pt idx="83">
                  <c:v>1.4325755216443475E-2</c:v>
                </c:pt>
                <c:pt idx="84">
                  <c:v>1.4934926392148495E-2</c:v>
                </c:pt>
                <c:pt idx="85">
                  <c:v>1.4617963161350521E-2</c:v>
                </c:pt>
                <c:pt idx="86">
                  <c:v>1.4755127668480536E-2</c:v>
                </c:pt>
                <c:pt idx="87">
                  <c:v>1.5529134458733405E-2</c:v>
                </c:pt>
                <c:pt idx="88">
                  <c:v>1.5941313394935458E-2</c:v>
                </c:pt>
                <c:pt idx="89">
                  <c:v>1.610094188732895E-2</c:v>
                </c:pt>
                <c:pt idx="90">
                  <c:v>1.6111591695501731E-2</c:v>
                </c:pt>
                <c:pt idx="91">
                  <c:v>1.6018471751208602E-2</c:v>
                </c:pt>
                <c:pt idx="92">
                  <c:v>1.6117655357268817E-2</c:v>
                </c:pt>
                <c:pt idx="93">
                  <c:v>1.6763744850120756E-2</c:v>
                </c:pt>
                <c:pt idx="94">
                  <c:v>1.7087477684264218E-2</c:v>
                </c:pt>
                <c:pt idx="95">
                  <c:v>1.7472378225599237E-2</c:v>
                </c:pt>
                <c:pt idx="96">
                  <c:v>1.7453721193804308E-2</c:v>
                </c:pt>
                <c:pt idx="97">
                  <c:v>1.7756653992395437E-2</c:v>
                </c:pt>
                <c:pt idx="98">
                  <c:v>1.7145953477570926E-2</c:v>
                </c:pt>
                <c:pt idx="99">
                  <c:v>1.7194291649036426E-2</c:v>
                </c:pt>
                <c:pt idx="100">
                  <c:v>1.6695518368917098E-2</c:v>
                </c:pt>
                <c:pt idx="101">
                  <c:v>1.6535950237607695E-2</c:v>
                </c:pt>
                <c:pt idx="102">
                  <c:v>1.6507351529809207E-2</c:v>
                </c:pt>
                <c:pt idx="103">
                  <c:v>1.635431746155953E-2</c:v>
                </c:pt>
                <c:pt idx="104">
                  <c:v>1.5928639694170119E-2</c:v>
                </c:pt>
                <c:pt idx="105">
                  <c:v>1.6675436111223539E-2</c:v>
                </c:pt>
              </c:numCache>
            </c:numRef>
          </c:val>
          <c:smooth val="0"/>
          <c:extLst>
            <c:ext xmlns:c16="http://schemas.microsoft.com/office/drawing/2014/chart" uri="{C3380CC4-5D6E-409C-BE32-E72D297353CC}">
              <c16:uniqueId val="{00000002-A374-449D-A0F8-ECDF26564ECB}"/>
            </c:ext>
          </c:extLst>
        </c:ser>
        <c:dLbls>
          <c:showLegendKey val="0"/>
          <c:showVal val="0"/>
          <c:showCatName val="0"/>
          <c:showSerName val="0"/>
          <c:showPercent val="0"/>
          <c:showBubbleSize val="0"/>
        </c:dLbls>
        <c:smooth val="0"/>
        <c:axId val="223139328"/>
        <c:axId val="223140864"/>
      </c:lineChart>
      <c:catAx>
        <c:axId val="223139328"/>
        <c:scaling>
          <c:orientation val="minMax"/>
        </c:scaling>
        <c:delete val="0"/>
        <c:axPos val="b"/>
        <c:majorGridlines>
          <c:spPr>
            <a:ln>
              <a:solidFill>
                <a:schemeClr val="bg1">
                  <a:lumMod val="85000"/>
                </a:schemeClr>
              </a:solidFill>
            </a:ln>
          </c:spPr>
        </c:majorGridlines>
        <c:numFmt formatCode="General" sourceLinked="0"/>
        <c:majorTickMark val="out"/>
        <c:minorTickMark val="none"/>
        <c:tickLblPos val="nextTo"/>
        <c:spPr>
          <a:ln>
            <a:solidFill>
              <a:schemeClr val="tx1">
                <a:lumMod val="65000"/>
                <a:lumOff val="35000"/>
              </a:schemeClr>
            </a:solidFill>
          </a:ln>
        </c:spPr>
        <c:txPr>
          <a:bodyPr rot="-5400000" vert="horz" anchor="ctr" anchorCtr="0"/>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crossAx val="223140864"/>
        <c:crosses val="autoZero"/>
        <c:auto val="1"/>
        <c:lblAlgn val="ctr"/>
        <c:lblOffset val="100"/>
        <c:tickLblSkip val="5"/>
        <c:tickMarkSkip val="5"/>
        <c:noMultiLvlLbl val="0"/>
      </c:catAx>
      <c:valAx>
        <c:axId val="223140864"/>
        <c:scaling>
          <c:orientation val="minMax"/>
        </c:scaling>
        <c:delete val="0"/>
        <c:axPos val="l"/>
        <c:majorGridlines>
          <c:spPr>
            <a:ln>
              <a:solidFill>
                <a:schemeClr val="bg1">
                  <a:lumMod val="85000"/>
                </a:schemeClr>
              </a:solidFill>
            </a:ln>
          </c:spPr>
        </c:majorGridlines>
        <c:numFmt formatCode="0.00%" sourceLinked="1"/>
        <c:majorTickMark val="out"/>
        <c:minorTickMark val="none"/>
        <c:tickLblPos val="nextTo"/>
        <c:spPr>
          <a:ln>
            <a:solidFill>
              <a:schemeClr val="tx1">
                <a:lumMod val="65000"/>
                <a:lumOff val="35000"/>
              </a:schemeClr>
            </a:solidFill>
          </a:ln>
        </c:spPr>
        <c:txPr>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crossAx val="223139328"/>
        <c:crosses val="autoZero"/>
        <c:crossBetween val="between"/>
      </c:valAx>
    </c:plotArea>
    <c:legend>
      <c:legendPos val="r"/>
      <c:layout>
        <c:manualLayout>
          <c:xMode val="edge"/>
          <c:yMode val="edge"/>
          <c:x val="0.84907948407011358"/>
          <c:y val="0.57408204328964052"/>
          <c:w val="0.10902877301289825"/>
          <c:h val="0.21478168257032865"/>
        </c:manualLayout>
      </c:layout>
      <c:overlay val="0"/>
      <c:txPr>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legend>
    <c:plotVisOnly val="1"/>
    <c:dispBlanksAs val="gap"/>
    <c:showDLblsOverMax val="0"/>
  </c:chart>
  <c:spPr>
    <a:ln>
      <a:solidFill>
        <a:schemeClr val="bg1">
          <a:lumMod val="85000"/>
        </a:schemeClr>
      </a:solidFill>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spPr>
            <a:solidFill>
              <a:schemeClr val="accent6"/>
            </a:solidFill>
          </c:spPr>
          <c:invertIfNegative val="0"/>
          <c:dPt>
            <c:idx val="2"/>
            <c:invertIfNegative val="0"/>
            <c:bubble3D val="0"/>
            <c:spPr>
              <a:solidFill>
                <a:srgbClr val="FFC000"/>
              </a:solidFill>
            </c:spPr>
            <c:extLst>
              <c:ext xmlns:c16="http://schemas.microsoft.com/office/drawing/2014/chart" uri="{C3380CC4-5D6E-409C-BE32-E72D297353CC}">
                <c16:uniqueId val="{00000001-CD86-4AC8-AB9A-F1BAF3662433}"/>
              </c:ext>
            </c:extLst>
          </c:dPt>
          <c:dPt>
            <c:idx val="14"/>
            <c:invertIfNegative val="0"/>
            <c:bubble3D val="0"/>
            <c:spPr>
              <a:solidFill>
                <a:schemeClr val="accent2"/>
              </a:solidFill>
            </c:spPr>
            <c:extLst>
              <c:ext xmlns:c16="http://schemas.microsoft.com/office/drawing/2014/chart" uri="{C3380CC4-5D6E-409C-BE32-E72D297353CC}">
                <c16:uniqueId val="{00000003-CD86-4AC8-AB9A-F1BAF3662433}"/>
              </c:ext>
            </c:extLst>
          </c:dPt>
          <c:cat>
            <c:strRef>
              <c:f>Arkusz2!$A$4:$A$32</c:f>
              <c:strCache>
                <c:ptCount val="29"/>
                <c:pt idx="0">
                  <c:v>Rumunia</c:v>
                </c:pt>
                <c:pt idx="1">
                  <c:v>Słowacja</c:v>
                </c:pt>
                <c:pt idx="2">
                  <c:v>Polska</c:v>
                </c:pt>
                <c:pt idx="3">
                  <c:v>Słowenia</c:v>
                </c:pt>
                <c:pt idx="4">
                  <c:v>Litwa</c:v>
                </c:pt>
                <c:pt idx="5">
                  <c:v>Łotwa</c:v>
                </c:pt>
                <c:pt idx="6">
                  <c:v>Bułgaria</c:v>
                </c:pt>
                <c:pt idx="7">
                  <c:v>Czechy</c:v>
                </c:pt>
                <c:pt idx="8">
                  <c:v>Estonia</c:v>
                </c:pt>
                <c:pt idx="9">
                  <c:v>Malta </c:v>
                </c:pt>
                <c:pt idx="10">
                  <c:v>Grecja</c:v>
                </c:pt>
                <c:pt idx="11">
                  <c:v>Węgry </c:v>
                </c:pt>
                <c:pt idx="12">
                  <c:v>Włochy</c:v>
                </c:pt>
                <c:pt idx="13">
                  <c:v>Cypr</c:v>
                </c:pt>
                <c:pt idx="14">
                  <c:v>Unia Europejska</c:v>
                </c:pt>
                <c:pt idx="15">
                  <c:v>Portugalia</c:v>
                </c:pt>
                <c:pt idx="16">
                  <c:v>Hiszpania</c:v>
                </c:pt>
                <c:pt idx="17">
                  <c:v>Francja</c:v>
                </c:pt>
                <c:pt idx="18">
                  <c:v>Irlandia</c:v>
                </c:pt>
                <c:pt idx="19">
                  <c:v>Austria</c:v>
                </c:pt>
                <c:pt idx="20">
                  <c:v>Belgia</c:v>
                </c:pt>
                <c:pt idx="21">
                  <c:v>Luksemburg</c:v>
                </c:pt>
                <c:pt idx="22">
                  <c:v>Finlandia</c:v>
                </c:pt>
                <c:pt idx="23">
                  <c:v>Wielka Brytania</c:v>
                </c:pt>
                <c:pt idx="24">
                  <c:v>Norwegia</c:v>
                </c:pt>
                <c:pt idx="25">
                  <c:v>Dania</c:v>
                </c:pt>
                <c:pt idx="26">
                  <c:v>Szwecja</c:v>
                </c:pt>
                <c:pt idx="27">
                  <c:v>Islandia</c:v>
                </c:pt>
                <c:pt idx="28">
                  <c:v>Holandia</c:v>
                </c:pt>
              </c:strCache>
            </c:strRef>
          </c:cat>
          <c:val>
            <c:numRef>
              <c:f>Arkusz2!$B$4:$B$32</c:f>
              <c:numCache>
                <c:formatCode>0.0%</c:formatCode>
                <c:ptCount val="29"/>
                <c:pt idx="0">
                  <c:v>1.2E-2</c:v>
                </c:pt>
                <c:pt idx="1">
                  <c:v>0.08</c:v>
                </c:pt>
                <c:pt idx="2">
                  <c:v>8.3000000000000004E-2</c:v>
                </c:pt>
                <c:pt idx="3">
                  <c:v>8.5000000000000006E-2</c:v>
                </c:pt>
                <c:pt idx="4">
                  <c:v>9.9000000000000005E-2</c:v>
                </c:pt>
                <c:pt idx="5">
                  <c:v>0.10300000000000001</c:v>
                </c:pt>
                <c:pt idx="6">
                  <c:v>0.107</c:v>
                </c:pt>
                <c:pt idx="7">
                  <c:v>0.17499999999999999</c:v>
                </c:pt>
                <c:pt idx="8">
                  <c:v>0.184</c:v>
                </c:pt>
                <c:pt idx="9">
                  <c:v>0.192</c:v>
                </c:pt>
                <c:pt idx="10">
                  <c:v>0.20199999999999999</c:v>
                </c:pt>
                <c:pt idx="11">
                  <c:v>0.20600000000000002</c:v>
                </c:pt>
                <c:pt idx="12">
                  <c:v>0.21199999999999999</c:v>
                </c:pt>
                <c:pt idx="13">
                  <c:v>0.22899999999999998</c:v>
                </c:pt>
                <c:pt idx="14">
                  <c:v>0.36899999999999999</c:v>
                </c:pt>
                <c:pt idx="15">
                  <c:v>0.40100000000000002</c:v>
                </c:pt>
                <c:pt idx="16">
                  <c:v>0.41499999999999998</c:v>
                </c:pt>
                <c:pt idx="17">
                  <c:v>0.435</c:v>
                </c:pt>
                <c:pt idx="18">
                  <c:v>0.44600000000000001</c:v>
                </c:pt>
                <c:pt idx="19">
                  <c:v>0.47</c:v>
                </c:pt>
                <c:pt idx="20">
                  <c:v>0.55299999999999994</c:v>
                </c:pt>
                <c:pt idx="21">
                  <c:v>0.57399999999999995</c:v>
                </c:pt>
                <c:pt idx="22">
                  <c:v>0.59</c:v>
                </c:pt>
                <c:pt idx="23">
                  <c:v>0.63700000000000001</c:v>
                </c:pt>
                <c:pt idx="24">
                  <c:v>0.71499999999999997</c:v>
                </c:pt>
                <c:pt idx="25">
                  <c:v>0.79599999999999993</c:v>
                </c:pt>
                <c:pt idx="26">
                  <c:v>0.81499999999999995</c:v>
                </c:pt>
                <c:pt idx="27">
                  <c:v>0.83799999999999997</c:v>
                </c:pt>
                <c:pt idx="28">
                  <c:v>0.86499999999999999</c:v>
                </c:pt>
              </c:numCache>
            </c:numRef>
          </c:val>
          <c:extLst>
            <c:ext xmlns:c16="http://schemas.microsoft.com/office/drawing/2014/chart" uri="{C3380CC4-5D6E-409C-BE32-E72D297353CC}">
              <c16:uniqueId val="{00000004-CD86-4AC8-AB9A-F1BAF3662433}"/>
            </c:ext>
          </c:extLst>
        </c:ser>
        <c:dLbls>
          <c:showLegendKey val="0"/>
          <c:showVal val="0"/>
          <c:showCatName val="0"/>
          <c:showSerName val="0"/>
          <c:showPercent val="0"/>
          <c:showBubbleSize val="0"/>
        </c:dLbls>
        <c:gapWidth val="120"/>
        <c:axId val="77486336"/>
        <c:axId val="77541376"/>
      </c:barChart>
      <c:catAx>
        <c:axId val="77486336"/>
        <c:scaling>
          <c:orientation val="minMax"/>
        </c:scaling>
        <c:delete val="0"/>
        <c:axPos val="b"/>
        <c:majorGridlines>
          <c:spPr>
            <a:ln>
              <a:solidFill>
                <a:schemeClr val="bg1">
                  <a:lumMod val="85000"/>
                </a:schemeClr>
              </a:solidFill>
            </a:ln>
          </c:spPr>
        </c:majorGridlines>
        <c:numFmt formatCode="General" sourceLinked="0"/>
        <c:majorTickMark val="out"/>
        <c:minorTickMark val="none"/>
        <c:tickLblPos val="nextTo"/>
        <c:spPr>
          <a:ln>
            <a:solidFill>
              <a:schemeClr val="tx1">
                <a:lumMod val="65000"/>
                <a:lumOff val="35000"/>
              </a:schemeClr>
            </a:solidFill>
          </a:ln>
        </c:spPr>
        <c:txPr>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crossAx val="77541376"/>
        <c:crosses val="autoZero"/>
        <c:auto val="1"/>
        <c:lblAlgn val="ctr"/>
        <c:lblOffset val="100"/>
        <c:noMultiLvlLbl val="0"/>
      </c:catAx>
      <c:valAx>
        <c:axId val="77541376"/>
        <c:scaling>
          <c:orientation val="minMax"/>
          <c:max val="0.9"/>
        </c:scaling>
        <c:delete val="0"/>
        <c:axPos val="l"/>
        <c:majorGridlines>
          <c:spPr>
            <a:ln>
              <a:solidFill>
                <a:schemeClr val="bg1">
                  <a:lumMod val="85000"/>
                </a:schemeClr>
              </a:solidFill>
            </a:ln>
          </c:spPr>
        </c:majorGridlines>
        <c:numFmt formatCode="0.0%" sourceLinked="1"/>
        <c:majorTickMark val="out"/>
        <c:minorTickMark val="none"/>
        <c:tickLblPos val="nextTo"/>
        <c:spPr>
          <a:ln>
            <a:solidFill>
              <a:schemeClr val="tx1">
                <a:lumMod val="65000"/>
                <a:lumOff val="35000"/>
              </a:schemeClr>
            </a:solidFill>
          </a:ln>
        </c:spPr>
        <c:txPr>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crossAx val="77486336"/>
        <c:crosses val="autoZero"/>
        <c:crossBetween val="between"/>
      </c:valAx>
    </c:plotArea>
    <c:plotVisOnly val="1"/>
    <c:dispBlanksAs val="gap"/>
    <c:showDLblsOverMax val="0"/>
  </c:chart>
  <c:spPr>
    <a:ln>
      <a:solidFill>
        <a:schemeClr val="bg1">
          <a:lumMod val="85000"/>
        </a:schemeClr>
      </a:solidFill>
    </a:ln>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6.5517016984447188E-2"/>
          <c:y val="5.1400554097404488E-2"/>
          <c:w val="0.85243131385436322"/>
          <c:h val="0.78442250418179593"/>
        </c:manualLayout>
      </c:layout>
      <c:barChart>
        <c:barDir val="col"/>
        <c:grouping val="clustered"/>
        <c:varyColors val="0"/>
        <c:ser>
          <c:idx val="0"/>
          <c:order val="0"/>
          <c:tx>
            <c:strRef>
              <c:f>Arkusz1!$B$2:$B$3</c:f>
              <c:strCache>
                <c:ptCount val="1"/>
                <c:pt idx="0">
                  <c:v>Wartość kredytów w CHF dla gospodarstw domowych i przedsiębiorstw w mld EUR</c:v>
                </c:pt>
              </c:strCache>
            </c:strRef>
          </c:tx>
          <c:spPr>
            <a:solidFill>
              <a:schemeClr val="accent6"/>
            </a:solidFill>
          </c:spPr>
          <c:invertIfNegative val="0"/>
          <c:dPt>
            <c:idx val="3"/>
            <c:invertIfNegative val="0"/>
            <c:bubble3D val="0"/>
            <c:spPr>
              <a:solidFill>
                <a:schemeClr val="accent4"/>
              </a:solidFill>
            </c:spPr>
            <c:extLst>
              <c:ext xmlns:c16="http://schemas.microsoft.com/office/drawing/2014/chart" uri="{C3380CC4-5D6E-409C-BE32-E72D297353CC}">
                <c16:uniqueId val="{00000001-921D-407A-90E1-B2552FBF3380}"/>
              </c:ext>
            </c:extLst>
          </c:dPt>
          <c:dLbls>
            <c:delete val="1"/>
          </c:dLbls>
          <c:cat>
            <c:strRef>
              <c:f>Arkusz1!$A$4:$A$17</c:f>
              <c:strCache>
                <c:ptCount val="14"/>
                <c:pt idx="0">
                  <c:v>Węgry</c:v>
                </c:pt>
                <c:pt idx="1">
                  <c:v>Austria</c:v>
                </c:pt>
                <c:pt idx="2">
                  <c:v>Chorwacja</c:v>
                </c:pt>
                <c:pt idx="3">
                  <c:v>Polska</c:v>
                </c:pt>
                <c:pt idx="4">
                  <c:v>Grecja</c:v>
                </c:pt>
                <c:pt idx="5">
                  <c:v>Słowenia</c:v>
                </c:pt>
                <c:pt idx="6">
                  <c:v>Rumunia</c:v>
                </c:pt>
                <c:pt idx="7">
                  <c:v>Francja</c:v>
                </c:pt>
                <c:pt idx="8">
                  <c:v>Holandia</c:v>
                </c:pt>
                <c:pt idx="9">
                  <c:v>Niemcy</c:v>
                </c:pt>
                <c:pt idx="10">
                  <c:v>Belgia</c:v>
                </c:pt>
                <c:pt idx="11">
                  <c:v>Włochy</c:v>
                </c:pt>
                <c:pt idx="12">
                  <c:v>Hiszpania</c:v>
                </c:pt>
                <c:pt idx="13">
                  <c:v>Szwecja</c:v>
                </c:pt>
              </c:strCache>
            </c:strRef>
          </c:cat>
          <c:val>
            <c:numRef>
              <c:f>Arkusz1!$B$4:$B$17</c:f>
              <c:numCache>
                <c:formatCode>_-[$€-2]\ * #,##0.00_-;\-[$€-2]\ * #,##0.00_-;_-[$€-2]\ * "-"??_-;_-@_-</c:formatCode>
                <c:ptCount val="14"/>
                <c:pt idx="0">
                  <c:v>12600000000</c:v>
                </c:pt>
                <c:pt idx="1">
                  <c:v>38100000000</c:v>
                </c:pt>
                <c:pt idx="2">
                  <c:v>3800000000</c:v>
                </c:pt>
                <c:pt idx="3">
                  <c:v>34000000000</c:v>
                </c:pt>
                <c:pt idx="4">
                  <c:v>8700000000</c:v>
                </c:pt>
                <c:pt idx="5">
                  <c:v>1100000000</c:v>
                </c:pt>
                <c:pt idx="6">
                  <c:v>2300000000</c:v>
                </c:pt>
                <c:pt idx="7">
                  <c:v>21200000000</c:v>
                </c:pt>
                <c:pt idx="8">
                  <c:v>5200000000</c:v>
                </c:pt>
                <c:pt idx="9">
                  <c:v>23700000000</c:v>
                </c:pt>
                <c:pt idx="10">
                  <c:v>700000000</c:v>
                </c:pt>
                <c:pt idx="11">
                  <c:v>3100000000</c:v>
                </c:pt>
                <c:pt idx="12">
                  <c:v>1600000000</c:v>
                </c:pt>
                <c:pt idx="13">
                  <c:v>600000000</c:v>
                </c:pt>
              </c:numCache>
            </c:numRef>
          </c:val>
          <c:extLst>
            <c:ext xmlns:c16="http://schemas.microsoft.com/office/drawing/2014/chart" uri="{C3380CC4-5D6E-409C-BE32-E72D297353CC}">
              <c16:uniqueId val="{00000002-921D-407A-90E1-B2552FBF3380}"/>
            </c:ext>
          </c:extLst>
        </c:ser>
        <c:dLbls>
          <c:dLblPos val="ctr"/>
          <c:showLegendKey val="0"/>
          <c:showVal val="1"/>
          <c:showCatName val="0"/>
          <c:showSerName val="0"/>
          <c:showPercent val="0"/>
          <c:showBubbleSize val="0"/>
        </c:dLbls>
        <c:gapWidth val="125"/>
        <c:axId val="77551488"/>
        <c:axId val="77558528"/>
      </c:barChart>
      <c:lineChart>
        <c:grouping val="standard"/>
        <c:varyColors val="0"/>
        <c:ser>
          <c:idx val="1"/>
          <c:order val="1"/>
          <c:tx>
            <c:strRef>
              <c:f>Arkusz1!$C$2:$C$3</c:f>
              <c:strCache>
                <c:ptCount val="1"/>
                <c:pt idx="0">
                  <c:v>Wartość kredytów w CHF dla gospodarstw domowych i przedsiębiorstw jako procent PKB</c:v>
                </c:pt>
              </c:strCache>
            </c:strRef>
          </c:tx>
          <c:marker>
            <c:symbol val="diamond"/>
            <c:size val="5"/>
          </c:marker>
          <c:dLbls>
            <c:spPr>
              <a:noFill/>
              <a:ln>
                <a:noFill/>
              </a:ln>
              <a:effectLst/>
            </c:spPr>
            <c:txPr>
              <a:bodyPr wrap="square" lIns="38100" tIns="19050" rIns="38100" bIns="19050" anchor="ctr">
                <a:spAutoFit/>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Arkusz1!$A$4:$A$17</c:f>
              <c:strCache>
                <c:ptCount val="14"/>
                <c:pt idx="0">
                  <c:v>Węgry</c:v>
                </c:pt>
                <c:pt idx="1">
                  <c:v>Austria</c:v>
                </c:pt>
                <c:pt idx="2">
                  <c:v>Chorwacja</c:v>
                </c:pt>
                <c:pt idx="3">
                  <c:v>Polska</c:v>
                </c:pt>
                <c:pt idx="4">
                  <c:v>Grecja</c:v>
                </c:pt>
                <c:pt idx="5">
                  <c:v>Słowenia</c:v>
                </c:pt>
                <c:pt idx="6">
                  <c:v>Rumunia</c:v>
                </c:pt>
                <c:pt idx="7">
                  <c:v>Francja</c:v>
                </c:pt>
                <c:pt idx="8">
                  <c:v>Holandia</c:v>
                </c:pt>
                <c:pt idx="9">
                  <c:v>Niemcy</c:v>
                </c:pt>
                <c:pt idx="10">
                  <c:v>Belgia</c:v>
                </c:pt>
                <c:pt idx="11">
                  <c:v>Włochy</c:v>
                </c:pt>
                <c:pt idx="12">
                  <c:v>Hiszpania</c:v>
                </c:pt>
                <c:pt idx="13">
                  <c:v>Szwecja</c:v>
                </c:pt>
              </c:strCache>
            </c:strRef>
          </c:cat>
          <c:val>
            <c:numRef>
              <c:f>Arkusz1!$C$4:$C$17</c:f>
              <c:numCache>
                <c:formatCode>0.0%</c:formatCode>
                <c:ptCount val="14"/>
                <c:pt idx="0">
                  <c:v>0.122</c:v>
                </c:pt>
                <c:pt idx="1">
                  <c:v>0.11600000000000001</c:v>
                </c:pt>
                <c:pt idx="2">
                  <c:v>8.7999999999999995E-2</c:v>
                </c:pt>
                <c:pt idx="3">
                  <c:v>8.2000000000000003E-2</c:v>
                </c:pt>
                <c:pt idx="4">
                  <c:v>4.9000000000000002E-2</c:v>
                </c:pt>
                <c:pt idx="5">
                  <c:v>2.8000000000000001E-2</c:v>
                </c:pt>
                <c:pt idx="6">
                  <c:v>1.6E-2</c:v>
                </c:pt>
                <c:pt idx="7">
                  <c:v>0.01</c:v>
                </c:pt>
                <c:pt idx="8">
                  <c:v>8.0000000000000002E-3</c:v>
                </c:pt>
                <c:pt idx="9">
                  <c:v>8.0000000000000002E-3</c:v>
                </c:pt>
                <c:pt idx="10">
                  <c:v>2E-3</c:v>
                </c:pt>
                <c:pt idx="11">
                  <c:v>2E-3</c:v>
                </c:pt>
                <c:pt idx="12">
                  <c:v>1E-3</c:v>
                </c:pt>
                <c:pt idx="13">
                  <c:v>1E-3</c:v>
                </c:pt>
              </c:numCache>
            </c:numRef>
          </c:val>
          <c:smooth val="0"/>
          <c:extLst>
            <c:ext xmlns:c16="http://schemas.microsoft.com/office/drawing/2014/chart" uri="{C3380CC4-5D6E-409C-BE32-E72D297353CC}">
              <c16:uniqueId val="{00000003-921D-407A-90E1-B2552FBF3380}"/>
            </c:ext>
          </c:extLst>
        </c:ser>
        <c:dLbls>
          <c:dLblPos val="ctr"/>
          <c:showLegendKey val="0"/>
          <c:showVal val="1"/>
          <c:showCatName val="0"/>
          <c:showSerName val="0"/>
          <c:showPercent val="0"/>
          <c:showBubbleSize val="0"/>
        </c:dLbls>
        <c:marker val="1"/>
        <c:smooth val="0"/>
        <c:axId val="77619584"/>
        <c:axId val="77560448"/>
      </c:lineChart>
      <c:catAx>
        <c:axId val="77551488"/>
        <c:scaling>
          <c:orientation val="minMax"/>
        </c:scaling>
        <c:delete val="0"/>
        <c:axPos val="b"/>
        <c:majorGridlines>
          <c:spPr>
            <a:ln>
              <a:solidFill>
                <a:schemeClr val="bg1">
                  <a:lumMod val="85000"/>
                </a:schemeClr>
              </a:solidFill>
            </a:ln>
          </c:spPr>
        </c:majorGridlines>
        <c:numFmt formatCode="General" sourceLinked="0"/>
        <c:majorTickMark val="out"/>
        <c:minorTickMark val="none"/>
        <c:tickLblPos val="nextTo"/>
        <c:spPr>
          <a:ln>
            <a:solidFill>
              <a:schemeClr val="tx1">
                <a:lumMod val="65000"/>
                <a:lumOff val="35000"/>
              </a:schemeClr>
            </a:solidFill>
          </a:ln>
        </c:spPr>
        <c:txPr>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crossAx val="77558528"/>
        <c:crosses val="autoZero"/>
        <c:auto val="1"/>
        <c:lblAlgn val="ctr"/>
        <c:lblOffset val="100"/>
        <c:noMultiLvlLbl val="0"/>
      </c:catAx>
      <c:valAx>
        <c:axId val="77558528"/>
        <c:scaling>
          <c:orientation val="minMax"/>
          <c:max val="40000000000"/>
        </c:scaling>
        <c:delete val="0"/>
        <c:axPos val="l"/>
        <c:majorGridlines>
          <c:spPr>
            <a:ln>
              <a:solidFill>
                <a:schemeClr val="bg1">
                  <a:lumMod val="85000"/>
                </a:schemeClr>
              </a:solidFill>
            </a:ln>
          </c:spPr>
        </c:majorGridlines>
        <c:numFmt formatCode="0" sourceLinked="0"/>
        <c:majorTickMark val="out"/>
        <c:minorTickMark val="none"/>
        <c:tickLblPos val="nextTo"/>
        <c:spPr>
          <a:ln>
            <a:solidFill>
              <a:schemeClr val="tx1">
                <a:lumMod val="65000"/>
                <a:lumOff val="35000"/>
              </a:schemeClr>
            </a:solidFill>
          </a:ln>
        </c:spPr>
        <c:txPr>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crossAx val="77551488"/>
        <c:crosses val="autoZero"/>
        <c:crossBetween val="between"/>
        <c:dispUnits>
          <c:builtInUnit val="billions"/>
        </c:dispUnits>
      </c:valAx>
      <c:valAx>
        <c:axId val="77560448"/>
        <c:scaling>
          <c:orientation val="minMax"/>
        </c:scaling>
        <c:delete val="0"/>
        <c:axPos val="r"/>
        <c:numFmt formatCode="0.0%" sourceLinked="1"/>
        <c:majorTickMark val="out"/>
        <c:minorTickMark val="none"/>
        <c:tickLblPos val="high"/>
        <c:spPr>
          <a:ln>
            <a:solidFill>
              <a:schemeClr val="tx1">
                <a:lumMod val="65000"/>
                <a:lumOff val="35000"/>
              </a:schemeClr>
            </a:solidFill>
          </a:ln>
        </c:spPr>
        <c:txPr>
          <a:bodyPr anchor="ctr" anchorCtr="1"/>
          <a:lstStyle/>
          <a:p>
            <a:pPr>
              <a:defRPr>
                <a:solidFill>
                  <a:schemeClr val="tx1">
                    <a:lumMod val="65000"/>
                    <a:lumOff val="35000"/>
                  </a:schemeClr>
                </a:solidFill>
              </a:defRPr>
            </a:pPr>
            <a:endParaRPr lang="pl-PL"/>
          </a:p>
        </c:txPr>
        <c:crossAx val="77619584"/>
        <c:crosses val="max"/>
        <c:crossBetween val="between"/>
        <c:majorUnit val="1.8000000000000002E-2"/>
      </c:valAx>
      <c:catAx>
        <c:axId val="77619584"/>
        <c:scaling>
          <c:orientation val="minMax"/>
        </c:scaling>
        <c:delete val="1"/>
        <c:axPos val="b"/>
        <c:numFmt formatCode="General" sourceLinked="1"/>
        <c:majorTickMark val="out"/>
        <c:minorTickMark val="none"/>
        <c:tickLblPos val="nextTo"/>
        <c:crossAx val="77560448"/>
        <c:crossesAt val="4"/>
        <c:auto val="1"/>
        <c:lblAlgn val="ctr"/>
        <c:lblOffset val="100"/>
        <c:noMultiLvlLbl val="0"/>
      </c:catAx>
    </c:plotArea>
    <c:legend>
      <c:legendPos val="r"/>
      <c:layout>
        <c:manualLayout>
          <c:xMode val="edge"/>
          <c:yMode val="edge"/>
          <c:x val="0.3002211665690549"/>
          <c:y val="3.7311411203133284E-2"/>
          <c:w val="0.60736902705814622"/>
          <c:h val="0.21677804523139271"/>
        </c:manualLayout>
      </c:layout>
      <c:overlay val="0"/>
      <c:txPr>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legend>
    <c:plotVisOnly val="1"/>
    <c:dispBlanksAs val="gap"/>
    <c:showDLblsOverMax val="0"/>
  </c:chart>
  <c:spPr>
    <a:ln>
      <a:solidFill>
        <a:schemeClr val="bg1">
          <a:lumMod val="85000"/>
        </a:schemeClr>
      </a:solidFill>
    </a:ln>
  </c:sp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B92F1-7338-4EA8-9EC3-3DBAE291B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5794</TotalTime>
  <Pages>69</Pages>
  <Words>18580</Words>
  <Characters>111480</Characters>
  <Application>Microsoft Office Word</Application>
  <DocSecurity>0</DocSecurity>
  <Lines>929</Lines>
  <Paragraphs>259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Mandziej</dc:creator>
  <cp:keywords/>
  <dc:description/>
  <cp:lastModifiedBy>Marcin Mandziej</cp:lastModifiedBy>
  <cp:revision>2089</cp:revision>
  <cp:lastPrinted>2018-04-29T19:16:00Z</cp:lastPrinted>
  <dcterms:created xsi:type="dcterms:W3CDTF">2017-11-25T13:24:00Z</dcterms:created>
  <dcterms:modified xsi:type="dcterms:W3CDTF">2018-05-08T11:47:00Z</dcterms:modified>
</cp:coreProperties>
</file>