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MeMeStore (TonBit) - BCJ-4: User Fund Loss Due to Race Conditions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Ссылка  на аудит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https://tonbit.xyz/reports/20240708-MeMeStore-Final-Audit-Report.pdf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31370" cy="696201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1370" cy="696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аудиторы описывают ситуацию, когда из-за гонки между транзакциями пользователей порог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trade_step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может “перескочить” (например, предыдущая продажа уже довела систему до стадии &gt;1), и последующий пользователь уже не может продать, но его jettons успевают уйти в контракт - их нужно возвращать.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Aqua Protocol (Beosin) - The on_bounce is poorly designed 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Ссылка на аудит: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https://beosin.com/audits/Aqua_Protocol_202407221416.pdf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209550</wp:posOffset>
            </wp:positionV>
            <wp:extent cx="4271963" cy="2700983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700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Fixed: 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178445</wp:posOffset>
            </wp:positionV>
            <wp:extent cx="3709988" cy="4975314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49753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многошаговом redeem данные хранятся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ctx::redeem_data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Если часть цепочки падает на другом шаге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redeem_tick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on_bounce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может не сработать, и данные остаются “залипшими”, блокируя следующие redeem-операции (проблема, что не все ветки асинхронной цепочки очищают состояние)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ThunderFinance - Uncalculated Gas and Unprocessed Bounce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Ссылка на аудит: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https://tonbit.xyz/reports/ThunderFinance-Final-Audit-Report.pdf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Ссылка на репозитирий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https://github.com/Ton-Dynasty/ThunderFinance/tree/main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Коммит изменения: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https://github.com/Ton-Dynasty/ThunderFinance/commit/3ff6f55f76a50c8083d218828c7f38122bd16f7a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Контракты (уже без уязвимостей, выше можно по коммиту понять, что поправили):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ton_master_chef.tact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trait_master_chef.tact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jetton_master_chef.tact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TonBit прямо приводит пример сценария: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A делает Deposit: переводит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lpToken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wallet, который форвардит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JettonTransferNotification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JettonMasterChef.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 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JettonMasterChef получает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JettonTransferNotification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вызывает внутренний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userDeposit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 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Внутри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userDeposit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JettonMasterChef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увеличивает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pool.lpSupply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отправляет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UserDeposit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MiniChef пользователя.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Шаг 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 TON (value), который пользователь приложил к операции,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хватает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MiniChef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кидает 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депозит у пользователя в MiniChef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записывается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При этом JettonMasterChef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уже увеличил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lpSupply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(по описанию TonBit)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вернул LP-токены пользователю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MAI1-1 (TonBit) - Delayed ctxSender Check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Ссылка на аудит: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https://tonbit.xyz/reports/20250317-Torch-Final-Audit-Report.pdf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проблема порядка проверок в обработчике: проверка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ctxSender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делается слишком поздно, из-за чего при определенных состояниях (paused) обработчик успевает уйти в ветку refund/transfer до того, как убедится, что отправитель легитимен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815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Suggestion: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265193</wp:posOffset>
            </wp:positionV>
            <wp:extent cx="5129213" cy="7293365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7293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numPr>
          <w:ilvl w:val="0"/>
          <w:numId w:val="1"/>
        </w:numPr>
        <w:spacing w:after="0" w:before="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Possible Unfair Race Conditions Between Borrowers and Liquidators when the System Is Activated Again</w:t>
      </w:r>
    </w:p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011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011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1123"/>
          <w:sz w:val="24"/>
          <w:szCs w:val="24"/>
          <w:rtl w:val="0"/>
        </w:rPr>
        <w:t xml:space="preserve">Ссылка на аудит: </w:t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https://certificate.quantstamp.com/full/evaa/df7aa699-793b-49f7-b348-1f78e9ca9870/index.html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Репозиторий: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https://github.com/evaafi/contracts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Затронутый файл: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master-storage.fc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 может с помощью функций update_dynamics_process(), disable_contract_for_upgrade_process(), force_enable_process() и cancel_upgrade_process() отключить или включить основной контракт. Если протокол временно отключен при наличии активных позиций, эти позиции могут стать ликвидными, и при повторном включении протокола возникнет состояние гонки между заемщиками, желающими вернуть больше залога, и ликвидаторами, желающими ликвидировать этих пользователей, что кажется несправедливым по отношению к заемщикам, которые ранее не могли этого сделать, поскольку операции протокола были отключены.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Рекомендация: Рассмотрите возможность добавления периода, в течение которого система будет активирована снова, чтобы отсрочить ликвидацию, но обеспечить возможность мгновенного предоставления большего залога, отдавая предпочтение вкладчикам перед ликвидаторами.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Вторая проблема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01123"/>
          <w:sz w:val="24"/>
          <w:szCs w:val="24"/>
          <w:rtl w:val="0"/>
        </w:rPr>
        <w:t xml:space="preserve">Concurrent Operations Exposed to Race Conditions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системе могут возникать состояния гонки, и это может повлиять на некоторые параллельные операции в коде. 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Например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погашение против ликвидации;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отзыв против простоя контракта;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отзыв против отзыва из-за ограниченного количества доступных активов;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поставка против поставки из-за ограничения максимального объема предложения данного актива;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MeMeStore (TonBit) - PAY-2: Signature Replay </w:t>
      </w:r>
    </w:p>
    <w:p w:rsidR="00000000" w:rsidDel="00000000" w:rsidP="00000000" w:rsidRDefault="00000000" w:rsidRPr="00000000" w14:paraId="0000009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Ссылка  на аудит: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https://tonbit.xyz/reports/20240708-MeMeStore-Final-Audit-Report.pdf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Кто есть кто в этой схеме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WithdrawTicket - чек на вывод: сумма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nonce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подпись.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PayoutBeacon (или логика вокруг TryPayout) - проверяет подпись и увеличивает nonce, чтобы один и тот же тикет нельзя было повторить.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PayoutsMaster - реально платит (у него баланс).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пользователь отправляет 2 вывода почти одновременно; один позже откатывает nonce назад через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bounced&lt;PayoutOk&gt;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подпись можно переиспользовать. 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7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ertificate.quantstamp.com/full/evaa/df7aa699-793b-49f7-b348-1f78e9ca9870/index.html" TargetMode="External"/><Relationship Id="rId11" Type="http://schemas.openxmlformats.org/officeDocument/2006/relationships/hyperlink" Target="https://tonbit.xyz/reports/ThunderFinance-Final-Audit-Report.pdf" TargetMode="External"/><Relationship Id="rId22" Type="http://schemas.openxmlformats.org/officeDocument/2006/relationships/hyperlink" Target="http://master-storage.fc" TargetMode="External"/><Relationship Id="rId10" Type="http://schemas.openxmlformats.org/officeDocument/2006/relationships/image" Target="media/image2.png"/><Relationship Id="rId21" Type="http://schemas.openxmlformats.org/officeDocument/2006/relationships/hyperlink" Target="https://github.com/evaafi/contracts" TargetMode="External"/><Relationship Id="rId13" Type="http://schemas.openxmlformats.org/officeDocument/2006/relationships/hyperlink" Target="https://github.com/Ton-Dynasty/ThunderFinance/commit/3ff6f55f76a50c8083d218828c7f38122bd16f7a" TargetMode="External"/><Relationship Id="rId24" Type="http://schemas.openxmlformats.org/officeDocument/2006/relationships/image" Target="media/image3.png"/><Relationship Id="rId12" Type="http://schemas.openxmlformats.org/officeDocument/2006/relationships/hyperlink" Target="https://github.com/Ton-Dynasty/ThunderFinance/tree/main" TargetMode="External"/><Relationship Id="rId23" Type="http://schemas.openxmlformats.org/officeDocument/2006/relationships/hyperlink" Target="https://tonbit.xyz/reports/20240708-MeMeStore-Final-Audit-Report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github.com/Ton-Dynasty/ThunderFinance/blob/main/contracts/trait_master_chef.tact" TargetMode="External"/><Relationship Id="rId14" Type="http://schemas.openxmlformats.org/officeDocument/2006/relationships/hyperlink" Target="https://github.com/Ton-Dynasty/ThunderFinance/blob/main/contracts/ton_master_chef.tact" TargetMode="External"/><Relationship Id="rId17" Type="http://schemas.openxmlformats.org/officeDocument/2006/relationships/hyperlink" Target="https://tonbit.xyz/reports/20250317-Torch-Final-Audit-Report.pdf" TargetMode="External"/><Relationship Id="rId16" Type="http://schemas.openxmlformats.org/officeDocument/2006/relationships/hyperlink" Target="https://github.com/Ton-Dynasty/ThunderFinance/blob/main/contracts/jetton_master_chef.tact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tonbit.xyz/reports/20240708-MeMeStore-Final-Audit-Report.pdf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hyperlink" Target="https://beosin.com/audits/Aqua_Protocol_20240722141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