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0E981" w14:textId="05770D91" w:rsidR="008A799D" w:rsidRPr="00B4029D" w:rsidRDefault="008A799D" w:rsidP="008A799D">
      <w:pPr>
        <w:pStyle w:val="NormalWeb"/>
        <w:rPr>
          <w:rFonts w:asciiTheme="minorHAnsi" w:hAnsiTheme="minorHAnsi" w:cstheme="minorHAnsi"/>
          <w:b/>
          <w:bCs/>
          <w:sz w:val="28"/>
          <w:szCs w:val="28"/>
          <w:lang w:val="en-US"/>
        </w:rPr>
      </w:pPr>
      <w:r w:rsidRPr="00B4029D">
        <w:rPr>
          <w:rFonts w:asciiTheme="minorHAnsi" w:hAnsiTheme="minorHAnsi" w:cstheme="minorHAnsi"/>
          <w:b/>
          <w:bCs/>
          <w:sz w:val="28"/>
          <w:szCs w:val="28"/>
          <w:lang w:val="en-US"/>
        </w:rPr>
        <w:t>CCDR Kyrgyz: analysis 8-12-2024</w:t>
      </w:r>
    </w:p>
    <w:p w14:paraId="1E269C91" w14:textId="51E4AD80" w:rsidR="008A799D" w:rsidRDefault="008A799D" w:rsidP="00B4029D">
      <w:pPr>
        <w:pStyle w:val="NormalWeb"/>
        <w:spacing w:after="240" w:afterAutospacing="0"/>
        <w:jc w:val="both"/>
        <w:rPr>
          <w:rFonts w:asciiTheme="minorHAnsi" w:hAnsiTheme="minorHAnsi" w:cstheme="minorHAnsi"/>
          <w:b/>
          <w:bCs/>
          <w:u w:val="single"/>
          <w:lang w:val="en-US"/>
        </w:rPr>
      </w:pPr>
      <w:r w:rsidRPr="00B4029D">
        <w:rPr>
          <w:rFonts w:asciiTheme="minorHAnsi" w:hAnsiTheme="minorHAnsi" w:cstheme="minorHAnsi"/>
          <w:b/>
          <w:bCs/>
          <w:u w:val="single"/>
          <w:lang w:val="en-US"/>
        </w:rPr>
        <w:t>Methods</w:t>
      </w:r>
    </w:p>
    <w:p w14:paraId="6F2E93F7" w14:textId="77777777" w:rsidR="00310028" w:rsidRPr="00310028" w:rsidRDefault="00310028" w:rsidP="00310028">
      <w:pPr>
        <w:jc w:val="both"/>
        <w:rPr>
          <w:lang w:val="en-US"/>
        </w:rPr>
      </w:pPr>
      <w:r w:rsidRPr="00310028">
        <w:rPr>
          <w:lang w:val="en-US"/>
        </w:rPr>
        <w:t>Four production systems were analyzed: cattle household systems (representing 50% of the cattle herd), cattle individual farm systems (representing the other 50%), and sheep and goat systems. The baseline data for the household cattle and small ruminant systems was derived from an analysis conducted for the Kyrgyz NDC 2021, while the baseline data for individual farming systems was drawn from a similar cattle production system used in the analysis for the CCDR Uzbekistan.</w:t>
      </w:r>
    </w:p>
    <w:p w14:paraId="68EF5F3E" w14:textId="41858DFE" w:rsidR="00310028" w:rsidRPr="00310028" w:rsidRDefault="00310028" w:rsidP="00310028">
      <w:pPr>
        <w:jc w:val="both"/>
        <w:rPr>
          <w:lang w:val="en-US"/>
        </w:rPr>
      </w:pPr>
      <w:r w:rsidRPr="00310028">
        <w:rPr>
          <w:rStyle w:val="Strong"/>
          <w:lang w:val="en-US"/>
        </w:rPr>
        <w:t>Business As Usual (BAU) Scenario</w:t>
      </w:r>
      <w:r w:rsidRPr="00310028">
        <w:rPr>
          <w:lang w:val="en-US"/>
        </w:rPr>
        <w:t xml:space="preserve">: Using FAOstat population data, linear projections from 2010 to 2022 showed a 100.6% growth in cattle and a decline of -70.5% in goats by 2050. Differences in growth rates were assumed between the two cattle production systems: household farms were projected to make up 60% of the herd by 2050, with individual farms accounting for the remaining 40%. Sheep exhibited a stabilization trend, </w:t>
      </w:r>
      <w:r>
        <w:rPr>
          <w:lang w:val="en-US"/>
        </w:rPr>
        <w:t xml:space="preserve">therefore </w:t>
      </w:r>
      <w:r w:rsidRPr="00310028">
        <w:rPr>
          <w:lang w:val="en-US"/>
        </w:rPr>
        <w:t xml:space="preserve">a </w:t>
      </w:r>
      <w:r>
        <w:rPr>
          <w:lang w:val="en-US"/>
        </w:rPr>
        <w:t xml:space="preserve">shorter </w:t>
      </w:r>
      <w:r w:rsidRPr="00310028">
        <w:rPr>
          <w:lang w:val="en-US"/>
        </w:rPr>
        <w:t>linear projection from 2017 to 2022</w:t>
      </w:r>
      <w:r>
        <w:rPr>
          <w:lang w:val="en-US"/>
        </w:rPr>
        <w:t xml:space="preserve"> was used, indicating </w:t>
      </w:r>
      <w:r w:rsidRPr="00310028">
        <w:rPr>
          <w:lang w:val="en-US"/>
        </w:rPr>
        <w:t>a growth rate of 1.5% by 2050.</w:t>
      </w:r>
    </w:p>
    <w:p w14:paraId="4225B8BF" w14:textId="6554024C" w:rsidR="00310028" w:rsidRPr="0098665C" w:rsidRDefault="00310028" w:rsidP="00310028">
      <w:pPr>
        <w:jc w:val="both"/>
        <w:rPr>
          <w:lang w:val="en-US"/>
        </w:rPr>
      </w:pPr>
      <w:r w:rsidRPr="00310028">
        <w:rPr>
          <w:rStyle w:val="Strong"/>
          <w:lang w:val="en-US"/>
        </w:rPr>
        <w:t>Resilience Scenario</w:t>
      </w:r>
      <w:r w:rsidRPr="00310028">
        <w:rPr>
          <w:lang w:val="en-US"/>
        </w:rPr>
        <w:t xml:space="preserve">: </w:t>
      </w:r>
      <w:r w:rsidR="0098665C" w:rsidRPr="0098665C">
        <w:rPr>
          <w:lang w:val="en-US"/>
        </w:rPr>
        <w:t>The resilience scenario projections were based on the IFAD RRPCP program, which served as a reference for improvements in herd and feed management. Given that the program concludes in 2025, it was assumed that the new management practices would be fully adopted by 2050. Herd production assumptions were multiplied by 2 for household cattle and small ruminants, and by 2.5 for individual farm production (excluding mortality rates and months of age at first partition, which were already optimized). Additionally, a 20% increase in the live weight of small ruminants was assumed. Lastly, a herd reduction of 0.5% was projected, as outlined in the Nationally Determined Contribution (NDC), resulting in a total herd reduction of 13% by 2050.</w:t>
      </w:r>
    </w:p>
    <w:p w14:paraId="26BD7959" w14:textId="77777777" w:rsidR="008A799D" w:rsidRPr="00B4029D" w:rsidRDefault="008A799D" w:rsidP="00B4029D">
      <w:pPr>
        <w:pStyle w:val="Heading3"/>
        <w:spacing w:after="0" w:afterAutospacing="0"/>
        <w:jc w:val="both"/>
        <w:rPr>
          <w:rFonts w:asciiTheme="minorHAnsi" w:hAnsiTheme="minorHAnsi" w:cstheme="minorHAnsi"/>
          <w:sz w:val="22"/>
          <w:szCs w:val="22"/>
          <w:lang w:val="en-US"/>
        </w:rPr>
      </w:pPr>
      <w:r w:rsidRPr="00B4029D">
        <w:rPr>
          <w:rFonts w:asciiTheme="minorHAnsi" w:hAnsiTheme="minorHAnsi" w:cstheme="minorHAnsi"/>
          <w:sz w:val="22"/>
          <w:szCs w:val="22"/>
          <w:lang w:val="en-US"/>
        </w:rPr>
        <w:t>Climate Adaptation Scenario:</w:t>
      </w:r>
    </w:p>
    <w:p w14:paraId="1170F7B1" w14:textId="3CB67C39" w:rsidR="00C45978" w:rsidRPr="00C45978" w:rsidRDefault="00C45978" w:rsidP="00C45978">
      <w:pPr>
        <w:rPr>
          <w:rFonts w:ascii="Times New Roman" w:hAnsi="Times New Roman" w:cs="Times New Roman"/>
          <w:sz w:val="24"/>
          <w:szCs w:val="24"/>
          <w:lang w:val="en-US"/>
        </w:rPr>
      </w:pPr>
      <w:r w:rsidRPr="00C45978">
        <w:rPr>
          <w:lang w:val="en-US"/>
        </w:rPr>
        <w:t xml:space="preserve">In the climate adaptation scenario, it was assumed that protein stability would be maintained similar to the BAU scenario. </w:t>
      </w:r>
      <w:r>
        <w:rPr>
          <w:lang w:val="en-US"/>
        </w:rPr>
        <w:t>Furthermore, we replace 10% of the beef production with b</w:t>
      </w:r>
      <w:r w:rsidRPr="00C45978">
        <w:rPr>
          <w:lang w:val="en-US"/>
        </w:rPr>
        <w:t xml:space="preserve">roiler </w:t>
      </w:r>
      <w:r>
        <w:rPr>
          <w:lang w:val="en-US"/>
        </w:rPr>
        <w:t>meat</w:t>
      </w:r>
      <w:r w:rsidRPr="00C45978">
        <w:rPr>
          <w:lang w:val="en-US"/>
        </w:rPr>
        <w:t xml:space="preserve">. </w:t>
      </w:r>
      <w:r>
        <w:rPr>
          <w:lang w:val="en-US"/>
        </w:rPr>
        <w:t>These strategies allowed</w:t>
      </w:r>
      <w:r w:rsidRPr="00C45978">
        <w:rPr>
          <w:lang w:val="en-US"/>
        </w:rPr>
        <w:t xml:space="preserve"> for a 27.5% reduction in the cattle herd by 2050</w:t>
      </w:r>
      <w:r>
        <w:rPr>
          <w:lang w:val="en-US"/>
        </w:rPr>
        <w:t>.</w:t>
      </w:r>
    </w:p>
    <w:tbl>
      <w:tblPr>
        <w:tblStyle w:val="TableGrid"/>
        <w:tblW w:w="0" w:type="auto"/>
        <w:tblLook w:val="04A0" w:firstRow="1" w:lastRow="0" w:firstColumn="1" w:lastColumn="0" w:noHBand="0" w:noVBand="1"/>
      </w:tblPr>
      <w:tblGrid>
        <w:gridCol w:w="3005"/>
        <w:gridCol w:w="3005"/>
        <w:gridCol w:w="3006"/>
      </w:tblGrid>
      <w:tr w:rsidR="00700CB4" w14:paraId="1682F5AF" w14:textId="77777777" w:rsidTr="00700CB4">
        <w:tc>
          <w:tcPr>
            <w:tcW w:w="3005" w:type="dxa"/>
          </w:tcPr>
          <w:p w14:paraId="7FC6A4F1" w14:textId="05B26A09" w:rsidR="00700CB4" w:rsidRPr="004E14B0" w:rsidRDefault="004E14B0" w:rsidP="00700CB4">
            <w:pPr>
              <w:pStyle w:val="NormalWeb"/>
              <w:rPr>
                <w:rFonts w:asciiTheme="minorHAnsi" w:hAnsiTheme="minorHAnsi" w:cstheme="minorHAnsi"/>
                <w:color w:val="FF0000"/>
                <w:sz w:val="22"/>
                <w:szCs w:val="22"/>
                <w:lang w:val="en-US"/>
              </w:rPr>
            </w:pPr>
            <w:r w:rsidRPr="004E14B0">
              <w:rPr>
                <w:rFonts w:asciiTheme="minorHAnsi" w:hAnsiTheme="minorHAnsi" w:cstheme="minorHAnsi"/>
                <w:color w:val="FF0000"/>
                <w:sz w:val="22"/>
                <w:szCs w:val="22"/>
                <w:lang w:val="en-US"/>
              </w:rPr>
              <w:t>c</w:t>
            </w:r>
            <w:r w:rsidRPr="004E14B0">
              <w:rPr>
                <w:rFonts w:cstheme="minorHAnsi"/>
                <w:color w:val="FF0000"/>
              </w:rPr>
              <w:t>urrent</w:t>
            </w:r>
            <w:r w:rsidR="00700CB4" w:rsidRPr="004E14B0">
              <w:rPr>
                <w:rFonts w:asciiTheme="minorHAnsi" w:hAnsiTheme="minorHAnsi" w:cstheme="minorHAnsi"/>
                <w:color w:val="FF0000"/>
                <w:sz w:val="22"/>
                <w:szCs w:val="22"/>
                <w:lang w:val="en-US"/>
              </w:rPr>
              <w:t xml:space="preserve"> growth</w:t>
            </w:r>
          </w:p>
        </w:tc>
        <w:tc>
          <w:tcPr>
            <w:tcW w:w="3005" w:type="dxa"/>
          </w:tcPr>
          <w:p w14:paraId="02B2A1B9" w14:textId="6B7799AE" w:rsidR="00700CB4" w:rsidRPr="004E14B0" w:rsidRDefault="00700CB4" w:rsidP="00700CB4">
            <w:pPr>
              <w:pStyle w:val="NormalWeb"/>
              <w:rPr>
                <w:rFonts w:asciiTheme="minorHAnsi" w:hAnsiTheme="minorHAnsi" w:cstheme="minorHAnsi"/>
                <w:color w:val="FF0000"/>
                <w:sz w:val="22"/>
                <w:szCs w:val="22"/>
                <w:lang w:val="en-US"/>
              </w:rPr>
            </w:pPr>
            <w:r w:rsidRPr="004E14B0">
              <w:rPr>
                <w:rFonts w:asciiTheme="minorHAnsi" w:hAnsiTheme="minorHAnsi" w:cstheme="minorHAnsi"/>
                <w:color w:val="FF0000"/>
                <w:sz w:val="22"/>
                <w:szCs w:val="22"/>
                <w:lang w:val="en-US"/>
              </w:rPr>
              <w:t>R</w:t>
            </w:r>
            <w:r w:rsidR="004E14B0" w:rsidRPr="004E14B0">
              <w:rPr>
                <w:rFonts w:asciiTheme="minorHAnsi" w:hAnsiTheme="minorHAnsi" w:cstheme="minorHAnsi"/>
                <w:color w:val="FF0000"/>
                <w:sz w:val="22"/>
                <w:szCs w:val="22"/>
                <w:lang w:val="en-US"/>
              </w:rPr>
              <w:t>eform growth</w:t>
            </w:r>
          </w:p>
        </w:tc>
        <w:tc>
          <w:tcPr>
            <w:tcW w:w="3006" w:type="dxa"/>
          </w:tcPr>
          <w:p w14:paraId="19F2E68A" w14:textId="7F609FED" w:rsidR="00700CB4" w:rsidRPr="004E14B0" w:rsidRDefault="00700CB4" w:rsidP="00700CB4">
            <w:pPr>
              <w:pStyle w:val="NormalWeb"/>
              <w:rPr>
                <w:rFonts w:asciiTheme="minorHAnsi" w:hAnsiTheme="minorHAnsi" w:cstheme="minorHAnsi"/>
                <w:color w:val="FF0000"/>
                <w:sz w:val="22"/>
                <w:szCs w:val="22"/>
                <w:lang w:val="en-US"/>
              </w:rPr>
            </w:pPr>
            <w:r w:rsidRPr="004E14B0">
              <w:rPr>
                <w:rFonts w:asciiTheme="minorHAnsi" w:hAnsiTheme="minorHAnsi" w:cstheme="minorHAnsi"/>
                <w:color w:val="FF0000"/>
                <w:sz w:val="22"/>
                <w:szCs w:val="22"/>
                <w:lang w:val="en-US"/>
              </w:rPr>
              <w:t>Climate adaptation</w:t>
            </w:r>
          </w:p>
        </w:tc>
      </w:tr>
      <w:tr w:rsidR="00700CB4" w:rsidRPr="004E14B0" w14:paraId="1E8A0433" w14:textId="77777777" w:rsidTr="00700CB4">
        <w:tc>
          <w:tcPr>
            <w:tcW w:w="3005" w:type="dxa"/>
          </w:tcPr>
          <w:p w14:paraId="083056F8" w14:textId="77777777" w:rsidR="00700CB4" w:rsidRPr="00700CB4" w:rsidRDefault="00700CB4" w:rsidP="00700CB4">
            <w:pPr>
              <w:pStyle w:val="NormalWeb"/>
              <w:numPr>
                <w:ilvl w:val="0"/>
                <w:numId w:val="2"/>
              </w:numPr>
              <w:rPr>
                <w:rFonts w:asciiTheme="minorHAnsi" w:hAnsiTheme="minorHAnsi" w:cstheme="minorHAnsi"/>
                <w:sz w:val="18"/>
                <w:szCs w:val="18"/>
                <w:lang w:val="en-US"/>
              </w:rPr>
            </w:pPr>
            <w:r w:rsidRPr="00700CB4">
              <w:rPr>
                <w:rFonts w:asciiTheme="minorHAnsi" w:hAnsiTheme="minorHAnsi" w:cstheme="minorHAnsi"/>
                <w:sz w:val="18"/>
                <w:szCs w:val="18"/>
                <w:lang w:val="en-US"/>
              </w:rPr>
              <w:t>Linear projections from 2010 to 2022 for cattle and goat</w:t>
            </w:r>
          </w:p>
          <w:p w14:paraId="3917F1DF" w14:textId="07138555" w:rsidR="00700CB4" w:rsidRPr="00700CB4" w:rsidRDefault="00700CB4" w:rsidP="00700CB4">
            <w:pPr>
              <w:pStyle w:val="NormalWeb"/>
              <w:numPr>
                <w:ilvl w:val="0"/>
                <w:numId w:val="2"/>
              </w:numPr>
              <w:rPr>
                <w:rFonts w:asciiTheme="minorHAnsi" w:hAnsiTheme="minorHAnsi" w:cstheme="minorHAnsi"/>
                <w:sz w:val="18"/>
                <w:szCs w:val="18"/>
                <w:lang w:val="en-US"/>
              </w:rPr>
            </w:pPr>
            <w:r w:rsidRPr="00700CB4">
              <w:rPr>
                <w:rFonts w:asciiTheme="minorHAnsi" w:hAnsiTheme="minorHAnsi" w:cstheme="minorHAnsi"/>
                <w:sz w:val="18"/>
                <w:szCs w:val="18"/>
                <w:lang w:val="en-US"/>
              </w:rPr>
              <w:t>Linear projections from 2017 to 2022 for sheep</w:t>
            </w:r>
          </w:p>
        </w:tc>
        <w:tc>
          <w:tcPr>
            <w:tcW w:w="3005" w:type="dxa"/>
          </w:tcPr>
          <w:p w14:paraId="16130783" w14:textId="6B7279B1" w:rsidR="00700CB4" w:rsidRPr="00700CB4" w:rsidRDefault="00700CB4" w:rsidP="00700CB4">
            <w:pPr>
              <w:pStyle w:val="NormalWeb"/>
              <w:numPr>
                <w:ilvl w:val="0"/>
                <w:numId w:val="2"/>
              </w:numPr>
              <w:rPr>
                <w:rFonts w:asciiTheme="minorHAnsi" w:hAnsiTheme="minorHAnsi" w:cstheme="minorHAnsi"/>
                <w:sz w:val="18"/>
                <w:szCs w:val="18"/>
                <w:lang w:val="en-US"/>
              </w:rPr>
            </w:pPr>
            <w:r w:rsidRPr="00700CB4">
              <w:rPr>
                <w:rFonts w:asciiTheme="minorHAnsi" w:hAnsiTheme="minorHAnsi" w:cstheme="minorHAnsi"/>
                <w:sz w:val="18"/>
                <w:szCs w:val="18"/>
                <w:lang w:val="en-US"/>
              </w:rPr>
              <w:t>projections were based on IFAD RRPCP</w:t>
            </w:r>
            <w:r>
              <w:rPr>
                <w:rFonts w:asciiTheme="minorHAnsi" w:hAnsiTheme="minorHAnsi" w:cstheme="minorHAnsi"/>
                <w:sz w:val="18"/>
                <w:szCs w:val="18"/>
                <w:lang w:val="en-US"/>
              </w:rPr>
              <w:t xml:space="preserve"> </w:t>
            </w:r>
          </w:p>
          <w:p w14:paraId="433C255F" w14:textId="4552F9FD" w:rsidR="00700CB4" w:rsidRPr="00700CB4" w:rsidRDefault="00700CB4" w:rsidP="00700CB4">
            <w:pPr>
              <w:pStyle w:val="NormalWeb"/>
              <w:numPr>
                <w:ilvl w:val="0"/>
                <w:numId w:val="2"/>
              </w:numPr>
              <w:rPr>
                <w:rFonts w:asciiTheme="minorHAnsi" w:hAnsiTheme="minorHAnsi" w:cstheme="minorHAnsi"/>
                <w:sz w:val="18"/>
                <w:szCs w:val="18"/>
                <w:lang w:val="en-US"/>
              </w:rPr>
            </w:pPr>
            <w:r w:rsidRPr="00700CB4">
              <w:rPr>
                <w:rFonts w:asciiTheme="minorHAnsi" w:hAnsiTheme="minorHAnsi" w:cstheme="minorHAnsi"/>
                <w:sz w:val="18"/>
                <w:szCs w:val="18"/>
                <w:lang w:val="en-US"/>
              </w:rPr>
              <w:t>practices in program fully adopted in 2050</w:t>
            </w:r>
          </w:p>
          <w:p w14:paraId="13B9E07B" w14:textId="3120F4AF" w:rsidR="00700CB4" w:rsidRPr="00700CB4" w:rsidRDefault="00700CB4" w:rsidP="00700CB4">
            <w:pPr>
              <w:pStyle w:val="NormalWeb"/>
              <w:numPr>
                <w:ilvl w:val="0"/>
                <w:numId w:val="2"/>
              </w:numPr>
              <w:rPr>
                <w:rFonts w:asciiTheme="minorHAnsi" w:hAnsiTheme="minorHAnsi" w:cstheme="minorHAnsi"/>
                <w:sz w:val="18"/>
                <w:szCs w:val="18"/>
                <w:lang w:val="en-US"/>
              </w:rPr>
            </w:pPr>
            <w:r w:rsidRPr="00700CB4">
              <w:rPr>
                <w:rFonts w:asciiTheme="minorHAnsi" w:hAnsiTheme="minorHAnsi" w:cstheme="minorHAnsi"/>
                <w:sz w:val="18"/>
                <w:szCs w:val="18"/>
                <w:lang w:val="en-US"/>
              </w:rPr>
              <w:t>assumptions multiplied by 2 for household cattle and small ruminants (except for mortality and months of age at first partition)</w:t>
            </w:r>
          </w:p>
          <w:p w14:paraId="3D0CE071" w14:textId="18B85794" w:rsidR="00700CB4" w:rsidRPr="00700CB4" w:rsidRDefault="00700CB4" w:rsidP="00700CB4">
            <w:pPr>
              <w:pStyle w:val="NormalWeb"/>
              <w:numPr>
                <w:ilvl w:val="0"/>
                <w:numId w:val="2"/>
              </w:numPr>
              <w:rPr>
                <w:rFonts w:asciiTheme="minorHAnsi" w:hAnsiTheme="minorHAnsi" w:cstheme="minorHAnsi"/>
                <w:sz w:val="18"/>
                <w:szCs w:val="18"/>
                <w:lang w:val="en-US"/>
              </w:rPr>
            </w:pPr>
            <w:r w:rsidRPr="00700CB4">
              <w:rPr>
                <w:rFonts w:asciiTheme="minorHAnsi" w:hAnsiTheme="minorHAnsi" w:cstheme="minorHAnsi"/>
                <w:sz w:val="18"/>
                <w:szCs w:val="18"/>
                <w:lang w:val="en-US"/>
              </w:rPr>
              <w:t>assumptions multiplied by 2.5 for individual farm production (except for mortality and months of age at first partition)</w:t>
            </w:r>
          </w:p>
          <w:p w14:paraId="39C4841C" w14:textId="049DCF0A" w:rsidR="00700CB4" w:rsidRPr="00700CB4" w:rsidRDefault="00700CB4" w:rsidP="00700CB4">
            <w:pPr>
              <w:pStyle w:val="NormalWeb"/>
              <w:numPr>
                <w:ilvl w:val="0"/>
                <w:numId w:val="2"/>
              </w:numPr>
              <w:rPr>
                <w:rFonts w:asciiTheme="minorHAnsi" w:hAnsiTheme="minorHAnsi" w:cstheme="minorHAnsi"/>
                <w:sz w:val="18"/>
                <w:szCs w:val="18"/>
                <w:lang w:val="en-US"/>
              </w:rPr>
            </w:pPr>
            <w:r w:rsidRPr="00700CB4">
              <w:rPr>
                <w:rFonts w:asciiTheme="minorHAnsi" w:hAnsiTheme="minorHAnsi" w:cstheme="minorHAnsi"/>
                <w:sz w:val="18"/>
                <w:szCs w:val="18"/>
                <w:lang w:val="en-US"/>
              </w:rPr>
              <w:t>20% increased liveweight of small ruminants</w:t>
            </w:r>
          </w:p>
          <w:p w14:paraId="66A6D3CC" w14:textId="222F1BA6" w:rsidR="00700CB4" w:rsidRPr="00700CB4" w:rsidRDefault="00700CB4" w:rsidP="00700CB4">
            <w:pPr>
              <w:pStyle w:val="NormalWeb"/>
              <w:numPr>
                <w:ilvl w:val="0"/>
                <w:numId w:val="2"/>
              </w:numPr>
              <w:rPr>
                <w:rFonts w:asciiTheme="minorHAnsi" w:hAnsiTheme="minorHAnsi" w:cstheme="minorHAnsi"/>
                <w:sz w:val="18"/>
                <w:szCs w:val="18"/>
                <w:lang w:val="en-US"/>
              </w:rPr>
            </w:pPr>
            <w:r w:rsidRPr="00700CB4">
              <w:rPr>
                <w:rFonts w:asciiTheme="minorHAnsi" w:hAnsiTheme="minorHAnsi" w:cstheme="minorHAnsi"/>
                <w:sz w:val="18"/>
                <w:szCs w:val="18"/>
                <w:lang w:val="en-US"/>
              </w:rPr>
              <w:t>herd reduction of 0.5% per year</w:t>
            </w:r>
          </w:p>
        </w:tc>
        <w:tc>
          <w:tcPr>
            <w:tcW w:w="3006" w:type="dxa"/>
          </w:tcPr>
          <w:p w14:paraId="0DB15096" w14:textId="77777777" w:rsidR="00700CB4" w:rsidRPr="00700CB4" w:rsidRDefault="00700CB4" w:rsidP="00700CB4">
            <w:pPr>
              <w:pStyle w:val="NormalWeb"/>
              <w:numPr>
                <w:ilvl w:val="0"/>
                <w:numId w:val="3"/>
              </w:numPr>
              <w:rPr>
                <w:rFonts w:asciiTheme="minorHAnsi" w:hAnsiTheme="minorHAnsi" w:cstheme="minorHAnsi"/>
                <w:sz w:val="18"/>
                <w:szCs w:val="18"/>
                <w:lang w:val="en-US"/>
              </w:rPr>
            </w:pPr>
            <w:r w:rsidRPr="00700CB4">
              <w:rPr>
                <w:rFonts w:asciiTheme="minorHAnsi" w:hAnsiTheme="minorHAnsi" w:cstheme="minorHAnsi"/>
                <w:sz w:val="18"/>
                <w:szCs w:val="18"/>
                <w:lang w:val="en-US"/>
              </w:rPr>
              <w:t>10% increase in broiler production</w:t>
            </w:r>
          </w:p>
          <w:p w14:paraId="1BA693CC" w14:textId="77777777" w:rsidR="00700CB4" w:rsidRPr="00700CB4" w:rsidRDefault="00700CB4" w:rsidP="00700CB4">
            <w:pPr>
              <w:pStyle w:val="NormalWeb"/>
              <w:numPr>
                <w:ilvl w:val="0"/>
                <w:numId w:val="3"/>
              </w:numPr>
              <w:rPr>
                <w:rFonts w:asciiTheme="minorHAnsi" w:hAnsiTheme="minorHAnsi" w:cstheme="minorHAnsi"/>
                <w:sz w:val="18"/>
                <w:szCs w:val="18"/>
                <w:lang w:val="en-US"/>
              </w:rPr>
            </w:pPr>
            <w:r w:rsidRPr="00700CB4">
              <w:rPr>
                <w:rFonts w:asciiTheme="minorHAnsi" w:hAnsiTheme="minorHAnsi" w:cstheme="minorHAnsi"/>
                <w:sz w:val="18"/>
                <w:szCs w:val="18"/>
                <w:lang w:val="en-US"/>
              </w:rPr>
              <w:t>27.5% reduction for cattle</w:t>
            </w:r>
          </w:p>
          <w:p w14:paraId="71B9B80F" w14:textId="77777777" w:rsidR="00700CB4" w:rsidRDefault="00700CB4" w:rsidP="00700CB4">
            <w:pPr>
              <w:pStyle w:val="NormalWeb"/>
              <w:numPr>
                <w:ilvl w:val="0"/>
                <w:numId w:val="3"/>
              </w:numPr>
              <w:rPr>
                <w:rFonts w:asciiTheme="minorHAnsi" w:hAnsiTheme="minorHAnsi" w:cstheme="minorHAnsi"/>
                <w:sz w:val="18"/>
                <w:szCs w:val="18"/>
                <w:lang w:val="en-US"/>
              </w:rPr>
            </w:pPr>
            <w:r w:rsidRPr="0098665C">
              <w:rPr>
                <w:rFonts w:asciiTheme="minorHAnsi" w:hAnsiTheme="minorHAnsi" w:cstheme="minorHAnsi"/>
                <w:sz w:val="18"/>
                <w:szCs w:val="18"/>
                <w:highlight w:val="yellow"/>
                <w:lang w:val="en-US"/>
              </w:rPr>
              <w:t xml:space="preserve">Adjusted production due to heat resilience breeds </w:t>
            </w:r>
            <w:r w:rsidR="0098665C">
              <w:rPr>
                <w:rFonts w:asciiTheme="minorHAnsi" w:hAnsiTheme="minorHAnsi" w:cstheme="minorHAnsi"/>
                <w:sz w:val="18"/>
                <w:szCs w:val="18"/>
                <w:lang w:val="en-US"/>
              </w:rPr>
              <w:t>tbd</w:t>
            </w:r>
          </w:p>
          <w:p w14:paraId="40DBF38A" w14:textId="77777777" w:rsidR="004E14B0" w:rsidRDefault="004E14B0" w:rsidP="00700CB4">
            <w:pPr>
              <w:pStyle w:val="NormalWeb"/>
              <w:numPr>
                <w:ilvl w:val="0"/>
                <w:numId w:val="3"/>
              </w:numPr>
              <w:rPr>
                <w:rFonts w:asciiTheme="minorHAnsi" w:hAnsiTheme="minorHAnsi" w:cstheme="minorHAnsi"/>
                <w:sz w:val="18"/>
                <w:szCs w:val="18"/>
                <w:lang w:val="en-US"/>
              </w:rPr>
            </w:pPr>
            <w:r w:rsidRPr="004E14B0">
              <w:rPr>
                <w:rFonts w:asciiTheme="minorHAnsi" w:hAnsiTheme="minorHAnsi" w:cstheme="minorHAnsi"/>
                <w:sz w:val="18"/>
                <w:szCs w:val="18"/>
                <w:highlight w:val="red"/>
                <w:lang w:val="en-US"/>
              </w:rPr>
              <w:t>Move to zero-grazing with introduction methane additives?</w:t>
            </w:r>
          </w:p>
          <w:p w14:paraId="29182682" w14:textId="4F00B485" w:rsidR="004E14B0" w:rsidRPr="00700CB4" w:rsidRDefault="004E14B0" w:rsidP="00700CB4">
            <w:pPr>
              <w:pStyle w:val="NormalWeb"/>
              <w:numPr>
                <w:ilvl w:val="0"/>
                <w:numId w:val="3"/>
              </w:numPr>
              <w:rPr>
                <w:rFonts w:asciiTheme="minorHAnsi" w:hAnsiTheme="minorHAnsi" w:cstheme="minorHAnsi"/>
                <w:sz w:val="18"/>
                <w:szCs w:val="18"/>
                <w:lang w:val="en-US"/>
              </w:rPr>
            </w:pPr>
            <w:r w:rsidRPr="004E14B0">
              <w:rPr>
                <w:rFonts w:cstheme="minorHAnsi"/>
                <w:sz w:val="18"/>
                <w:szCs w:val="18"/>
                <w:lang w:val="en-US"/>
              </w:rPr>
              <w:t>Biodigesters are mentioned in N</w:t>
            </w:r>
            <w:r>
              <w:rPr>
                <w:rFonts w:cstheme="minorHAnsi"/>
                <w:sz w:val="18"/>
                <w:szCs w:val="18"/>
                <w:lang w:val="en-US"/>
              </w:rPr>
              <w:t>DC…. But we do not have the data</w:t>
            </w:r>
          </w:p>
        </w:tc>
      </w:tr>
    </w:tbl>
    <w:p w14:paraId="76CDA4E1" w14:textId="77777777" w:rsidR="00C45978" w:rsidRDefault="00C45978" w:rsidP="00BB237D">
      <w:pPr>
        <w:pStyle w:val="NormalWeb"/>
        <w:jc w:val="both"/>
        <w:rPr>
          <w:rFonts w:asciiTheme="minorHAnsi" w:hAnsiTheme="minorHAnsi" w:cstheme="minorHAnsi"/>
          <w:b/>
          <w:bCs/>
          <w:u w:val="single"/>
          <w:lang w:val="en-US"/>
        </w:rPr>
      </w:pPr>
    </w:p>
    <w:p w14:paraId="5F1C96E3" w14:textId="77777777" w:rsidR="00C45978" w:rsidRDefault="00C45978">
      <w:pPr>
        <w:rPr>
          <w:rFonts w:eastAsia="Times New Roman" w:cstheme="minorHAnsi"/>
          <w:b/>
          <w:bCs/>
          <w:kern w:val="0"/>
          <w:sz w:val="24"/>
          <w:szCs w:val="24"/>
          <w:u w:val="single"/>
          <w:lang w:val="en-US" w:eastAsia="nl-NL"/>
          <w14:ligatures w14:val="none"/>
        </w:rPr>
      </w:pPr>
      <w:r>
        <w:rPr>
          <w:rFonts w:cstheme="minorHAnsi"/>
          <w:b/>
          <w:bCs/>
          <w:u w:val="single"/>
          <w:lang w:val="en-US"/>
        </w:rPr>
        <w:br w:type="page"/>
      </w:r>
    </w:p>
    <w:p w14:paraId="403066B3" w14:textId="4A3B46EC" w:rsidR="0006738B" w:rsidRPr="00B4029D" w:rsidRDefault="001A0F86" w:rsidP="00BB237D">
      <w:pPr>
        <w:pStyle w:val="NormalWeb"/>
        <w:jc w:val="both"/>
        <w:rPr>
          <w:rFonts w:asciiTheme="minorHAnsi" w:hAnsiTheme="minorHAnsi" w:cstheme="minorHAnsi"/>
          <w:b/>
          <w:bCs/>
          <w:u w:val="single"/>
          <w:lang w:val="en-US"/>
        </w:rPr>
      </w:pPr>
      <w:r w:rsidRPr="00B4029D">
        <w:rPr>
          <w:rFonts w:asciiTheme="minorHAnsi" w:hAnsiTheme="minorHAnsi" w:cstheme="minorHAnsi"/>
          <w:b/>
          <w:bCs/>
          <w:u w:val="single"/>
          <w:lang w:val="en-US"/>
        </w:rPr>
        <w:lastRenderedPageBreak/>
        <w:t>Results:</w:t>
      </w:r>
    </w:p>
    <w:tbl>
      <w:tblPr>
        <w:tblStyle w:val="TableGrid"/>
        <w:tblW w:w="8926" w:type="dxa"/>
        <w:tblLook w:val="04A0" w:firstRow="1" w:lastRow="0" w:firstColumn="1" w:lastColumn="0" w:noHBand="0" w:noVBand="1"/>
      </w:tblPr>
      <w:tblGrid>
        <w:gridCol w:w="1049"/>
        <w:gridCol w:w="933"/>
        <w:gridCol w:w="933"/>
        <w:gridCol w:w="1025"/>
        <w:gridCol w:w="1306"/>
        <w:gridCol w:w="1173"/>
        <w:gridCol w:w="1214"/>
        <w:gridCol w:w="1214"/>
        <w:gridCol w:w="79"/>
      </w:tblGrid>
      <w:tr w:rsidR="00700CB4" w:rsidRPr="00700CB4" w14:paraId="6FED4BA3" w14:textId="77777777" w:rsidTr="00700CB4">
        <w:trPr>
          <w:trHeight w:val="290"/>
        </w:trPr>
        <w:tc>
          <w:tcPr>
            <w:tcW w:w="1049" w:type="dxa"/>
            <w:noWrap/>
            <w:hideMark/>
          </w:tcPr>
          <w:p w14:paraId="669A72B7" w14:textId="77777777" w:rsidR="00700CB4" w:rsidRPr="00700CB4" w:rsidRDefault="00700CB4" w:rsidP="00700CB4">
            <w:pPr>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 </w:t>
            </w:r>
          </w:p>
        </w:tc>
        <w:tc>
          <w:tcPr>
            <w:tcW w:w="933" w:type="dxa"/>
            <w:vMerge w:val="restart"/>
            <w:hideMark/>
          </w:tcPr>
          <w:p w14:paraId="4E2FB20B" w14:textId="77777777" w:rsidR="00700CB4" w:rsidRPr="00700CB4" w:rsidRDefault="00700CB4" w:rsidP="00700CB4">
            <w:pPr>
              <w:jc w:val="center"/>
              <w:rPr>
                <w:rFonts w:ascii="Calibri" w:eastAsia="Times New Roman" w:hAnsi="Calibri" w:cs="Calibri"/>
                <w:color w:val="000000"/>
                <w:kern w:val="0"/>
                <w:sz w:val="18"/>
                <w:szCs w:val="18"/>
                <w:lang w:val="en-US" w:eastAsia="nl-NL"/>
                <w14:ligatures w14:val="none"/>
              </w:rPr>
            </w:pPr>
            <w:r w:rsidRPr="00700CB4">
              <w:rPr>
                <w:rFonts w:ascii="Calibri" w:eastAsia="Times New Roman" w:hAnsi="Calibri" w:cs="Calibri"/>
                <w:color w:val="000000"/>
                <w:kern w:val="0"/>
                <w:sz w:val="18"/>
                <w:szCs w:val="18"/>
                <w:lang w:val="en-US" w:eastAsia="nl-NL"/>
                <w14:ligatures w14:val="none"/>
              </w:rPr>
              <w:t>total GHG emissions (mil tCO2-eq/year)</w:t>
            </w:r>
          </w:p>
        </w:tc>
        <w:tc>
          <w:tcPr>
            <w:tcW w:w="933" w:type="dxa"/>
            <w:vMerge w:val="restart"/>
            <w:hideMark/>
          </w:tcPr>
          <w:p w14:paraId="16CE287D" w14:textId="77777777" w:rsidR="00700CB4" w:rsidRPr="00700CB4" w:rsidRDefault="00700CB4" w:rsidP="00700CB4">
            <w:pPr>
              <w:jc w:val="center"/>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CH4 emissoins (mil tCH4)</w:t>
            </w:r>
          </w:p>
        </w:tc>
        <w:tc>
          <w:tcPr>
            <w:tcW w:w="1025" w:type="dxa"/>
            <w:vMerge w:val="restart"/>
            <w:hideMark/>
          </w:tcPr>
          <w:p w14:paraId="7DF40ABD" w14:textId="77777777" w:rsidR="00700CB4" w:rsidRPr="00700CB4" w:rsidRDefault="00700CB4" w:rsidP="00700CB4">
            <w:pPr>
              <w:jc w:val="center"/>
              <w:rPr>
                <w:rFonts w:ascii="Calibri" w:eastAsia="Times New Roman" w:hAnsi="Calibri" w:cs="Calibri"/>
                <w:color w:val="000000"/>
                <w:kern w:val="0"/>
                <w:sz w:val="18"/>
                <w:szCs w:val="18"/>
                <w:lang w:val="en-US" w:eastAsia="nl-NL"/>
                <w14:ligatures w14:val="none"/>
              </w:rPr>
            </w:pPr>
            <w:r w:rsidRPr="00700CB4">
              <w:rPr>
                <w:rFonts w:ascii="Calibri" w:eastAsia="Times New Roman" w:hAnsi="Calibri" w:cs="Calibri"/>
                <w:color w:val="000000"/>
                <w:kern w:val="0"/>
                <w:sz w:val="18"/>
                <w:szCs w:val="18"/>
                <w:lang w:val="en-US" w:eastAsia="nl-NL"/>
                <w14:ligatures w14:val="none"/>
              </w:rPr>
              <w:t>Meat production in carcass weight (mil kg/year)</w:t>
            </w:r>
          </w:p>
        </w:tc>
        <w:tc>
          <w:tcPr>
            <w:tcW w:w="1306" w:type="dxa"/>
            <w:vMerge w:val="restart"/>
            <w:hideMark/>
          </w:tcPr>
          <w:p w14:paraId="164CF1DE" w14:textId="77777777" w:rsidR="00700CB4" w:rsidRPr="00700CB4" w:rsidRDefault="00700CB4" w:rsidP="00700CB4">
            <w:pPr>
              <w:jc w:val="center"/>
              <w:rPr>
                <w:rFonts w:ascii="Calibri" w:eastAsia="Times New Roman" w:hAnsi="Calibri" w:cs="Calibri"/>
                <w:color w:val="000000"/>
                <w:kern w:val="0"/>
                <w:sz w:val="18"/>
                <w:szCs w:val="18"/>
                <w:lang w:val="en-US" w:eastAsia="nl-NL"/>
                <w14:ligatures w14:val="none"/>
              </w:rPr>
            </w:pPr>
            <w:r w:rsidRPr="00700CB4">
              <w:rPr>
                <w:rFonts w:ascii="Calibri" w:eastAsia="Times New Roman" w:hAnsi="Calibri" w:cs="Calibri"/>
                <w:color w:val="000000"/>
                <w:kern w:val="0"/>
                <w:sz w:val="18"/>
                <w:szCs w:val="18"/>
                <w:lang w:val="en-US" w:eastAsia="nl-NL"/>
                <w14:ligatures w14:val="none"/>
              </w:rPr>
              <w:t>Total milk production(mil t/year)</w:t>
            </w:r>
          </w:p>
        </w:tc>
        <w:tc>
          <w:tcPr>
            <w:tcW w:w="3680" w:type="dxa"/>
            <w:gridSpan w:val="4"/>
            <w:hideMark/>
          </w:tcPr>
          <w:p w14:paraId="20E79935" w14:textId="77777777" w:rsidR="00700CB4" w:rsidRPr="00700CB4" w:rsidRDefault="00700CB4" w:rsidP="00700CB4">
            <w:pPr>
              <w:jc w:val="center"/>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 xml:space="preserve">Herd size </w:t>
            </w:r>
          </w:p>
        </w:tc>
      </w:tr>
      <w:tr w:rsidR="00700CB4" w:rsidRPr="00700CB4" w14:paraId="3668B39E" w14:textId="77777777" w:rsidTr="00700CB4">
        <w:trPr>
          <w:gridAfter w:val="1"/>
          <w:wAfter w:w="79" w:type="dxa"/>
          <w:trHeight w:val="1060"/>
        </w:trPr>
        <w:tc>
          <w:tcPr>
            <w:tcW w:w="1049" w:type="dxa"/>
            <w:noWrap/>
            <w:hideMark/>
          </w:tcPr>
          <w:p w14:paraId="7D7B8DB1" w14:textId="77777777" w:rsidR="00700CB4" w:rsidRPr="00700CB4" w:rsidRDefault="00700CB4" w:rsidP="00700CB4">
            <w:pPr>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 </w:t>
            </w:r>
          </w:p>
        </w:tc>
        <w:tc>
          <w:tcPr>
            <w:tcW w:w="933" w:type="dxa"/>
            <w:vMerge/>
            <w:hideMark/>
          </w:tcPr>
          <w:p w14:paraId="07F7CBA5" w14:textId="77777777" w:rsidR="00700CB4" w:rsidRPr="00700CB4" w:rsidRDefault="00700CB4" w:rsidP="00700CB4">
            <w:pPr>
              <w:rPr>
                <w:rFonts w:ascii="Calibri" w:eastAsia="Times New Roman" w:hAnsi="Calibri" w:cs="Calibri"/>
                <w:color w:val="000000"/>
                <w:kern w:val="0"/>
                <w:sz w:val="18"/>
                <w:szCs w:val="18"/>
                <w:lang w:eastAsia="nl-NL"/>
                <w14:ligatures w14:val="none"/>
              </w:rPr>
            </w:pPr>
          </w:p>
        </w:tc>
        <w:tc>
          <w:tcPr>
            <w:tcW w:w="933" w:type="dxa"/>
            <w:vMerge/>
            <w:hideMark/>
          </w:tcPr>
          <w:p w14:paraId="484C34A9" w14:textId="77777777" w:rsidR="00700CB4" w:rsidRPr="00700CB4" w:rsidRDefault="00700CB4" w:rsidP="00700CB4">
            <w:pPr>
              <w:rPr>
                <w:rFonts w:ascii="Calibri" w:eastAsia="Times New Roman" w:hAnsi="Calibri" w:cs="Calibri"/>
                <w:color w:val="000000"/>
                <w:kern w:val="0"/>
                <w:sz w:val="18"/>
                <w:szCs w:val="18"/>
                <w:lang w:eastAsia="nl-NL"/>
                <w14:ligatures w14:val="none"/>
              </w:rPr>
            </w:pPr>
          </w:p>
        </w:tc>
        <w:tc>
          <w:tcPr>
            <w:tcW w:w="1025" w:type="dxa"/>
            <w:vMerge/>
            <w:hideMark/>
          </w:tcPr>
          <w:p w14:paraId="2E8D0852" w14:textId="77777777" w:rsidR="00700CB4" w:rsidRPr="00700CB4" w:rsidRDefault="00700CB4" w:rsidP="00700CB4">
            <w:pPr>
              <w:rPr>
                <w:rFonts w:ascii="Calibri" w:eastAsia="Times New Roman" w:hAnsi="Calibri" w:cs="Calibri"/>
                <w:color w:val="000000"/>
                <w:kern w:val="0"/>
                <w:sz w:val="18"/>
                <w:szCs w:val="18"/>
                <w:lang w:eastAsia="nl-NL"/>
                <w14:ligatures w14:val="none"/>
              </w:rPr>
            </w:pPr>
          </w:p>
        </w:tc>
        <w:tc>
          <w:tcPr>
            <w:tcW w:w="1306" w:type="dxa"/>
            <w:vMerge/>
            <w:hideMark/>
          </w:tcPr>
          <w:p w14:paraId="7384EBDB" w14:textId="77777777" w:rsidR="00700CB4" w:rsidRPr="00700CB4" w:rsidRDefault="00700CB4" w:rsidP="00700CB4">
            <w:pPr>
              <w:rPr>
                <w:rFonts w:ascii="Calibri" w:eastAsia="Times New Roman" w:hAnsi="Calibri" w:cs="Calibri"/>
                <w:color w:val="000000"/>
                <w:kern w:val="0"/>
                <w:sz w:val="18"/>
                <w:szCs w:val="18"/>
                <w:lang w:eastAsia="nl-NL"/>
                <w14:ligatures w14:val="none"/>
              </w:rPr>
            </w:pPr>
          </w:p>
        </w:tc>
        <w:tc>
          <w:tcPr>
            <w:tcW w:w="1173" w:type="dxa"/>
            <w:hideMark/>
          </w:tcPr>
          <w:p w14:paraId="4D5927FE" w14:textId="77777777" w:rsidR="00700CB4" w:rsidRPr="00700CB4" w:rsidRDefault="00700CB4" w:rsidP="00700CB4">
            <w:pPr>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number of cattle</w:t>
            </w:r>
          </w:p>
        </w:tc>
        <w:tc>
          <w:tcPr>
            <w:tcW w:w="1214" w:type="dxa"/>
            <w:hideMark/>
          </w:tcPr>
          <w:p w14:paraId="706029CA" w14:textId="77777777" w:rsidR="00700CB4" w:rsidRPr="00700CB4" w:rsidRDefault="00700CB4" w:rsidP="00700CB4">
            <w:pPr>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number of small ruminants</w:t>
            </w:r>
          </w:p>
        </w:tc>
        <w:tc>
          <w:tcPr>
            <w:tcW w:w="1214" w:type="dxa"/>
            <w:hideMark/>
          </w:tcPr>
          <w:p w14:paraId="34302784" w14:textId="77777777" w:rsidR="00700CB4" w:rsidRPr="00700CB4" w:rsidRDefault="00700CB4" w:rsidP="00700CB4">
            <w:pPr>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number of broiler</w:t>
            </w:r>
          </w:p>
        </w:tc>
      </w:tr>
      <w:tr w:rsidR="00700CB4" w:rsidRPr="00700CB4" w14:paraId="005F7C10" w14:textId="77777777" w:rsidTr="00700CB4">
        <w:trPr>
          <w:gridAfter w:val="1"/>
          <w:wAfter w:w="79" w:type="dxa"/>
          <w:trHeight w:val="290"/>
        </w:trPr>
        <w:tc>
          <w:tcPr>
            <w:tcW w:w="1049" w:type="dxa"/>
            <w:noWrap/>
            <w:hideMark/>
          </w:tcPr>
          <w:p w14:paraId="69BF84DF" w14:textId="77777777" w:rsidR="00700CB4" w:rsidRPr="00700CB4" w:rsidRDefault="00700CB4" w:rsidP="00700CB4">
            <w:pPr>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ref (2022)</w:t>
            </w:r>
          </w:p>
        </w:tc>
        <w:tc>
          <w:tcPr>
            <w:tcW w:w="933" w:type="dxa"/>
            <w:noWrap/>
            <w:hideMark/>
          </w:tcPr>
          <w:p w14:paraId="73593BFF" w14:textId="77777777" w:rsidR="00700CB4" w:rsidRPr="00700CB4" w:rsidRDefault="00700CB4" w:rsidP="00700CB4">
            <w:pPr>
              <w:jc w:val="right"/>
              <w:rPr>
                <w:rFonts w:ascii="Arial" w:eastAsia="Times New Roman" w:hAnsi="Arial" w:cs="Arial"/>
                <w:color w:val="333333"/>
                <w:kern w:val="0"/>
                <w:sz w:val="18"/>
                <w:szCs w:val="18"/>
                <w:lang w:eastAsia="nl-NL"/>
                <w14:ligatures w14:val="none"/>
              </w:rPr>
            </w:pPr>
            <w:r w:rsidRPr="00700CB4">
              <w:rPr>
                <w:rFonts w:ascii="Arial" w:eastAsia="Times New Roman" w:hAnsi="Arial" w:cs="Arial"/>
                <w:color w:val="333333"/>
                <w:kern w:val="0"/>
                <w:sz w:val="18"/>
                <w:szCs w:val="18"/>
                <w:lang w:eastAsia="nl-NL"/>
                <w14:ligatures w14:val="none"/>
              </w:rPr>
              <w:t>5.8</w:t>
            </w:r>
          </w:p>
        </w:tc>
        <w:tc>
          <w:tcPr>
            <w:tcW w:w="933" w:type="dxa"/>
            <w:hideMark/>
          </w:tcPr>
          <w:p w14:paraId="415F8F70" w14:textId="77777777" w:rsidR="00700CB4" w:rsidRPr="00700CB4" w:rsidRDefault="00700CB4" w:rsidP="00700CB4">
            <w:pPr>
              <w:jc w:val="right"/>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0.16</w:t>
            </w:r>
          </w:p>
        </w:tc>
        <w:tc>
          <w:tcPr>
            <w:tcW w:w="1025" w:type="dxa"/>
            <w:hideMark/>
          </w:tcPr>
          <w:p w14:paraId="0A0E8173" w14:textId="77777777" w:rsidR="00700CB4" w:rsidRPr="00700CB4" w:rsidRDefault="00700CB4" w:rsidP="00700CB4">
            <w:pPr>
              <w:jc w:val="right"/>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154.9</w:t>
            </w:r>
          </w:p>
        </w:tc>
        <w:tc>
          <w:tcPr>
            <w:tcW w:w="1306" w:type="dxa"/>
            <w:hideMark/>
          </w:tcPr>
          <w:p w14:paraId="6988D05F" w14:textId="77777777" w:rsidR="00700CB4" w:rsidRPr="00700CB4" w:rsidRDefault="00700CB4" w:rsidP="00700CB4">
            <w:pPr>
              <w:jc w:val="right"/>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1.97</w:t>
            </w:r>
          </w:p>
        </w:tc>
        <w:tc>
          <w:tcPr>
            <w:tcW w:w="1173" w:type="dxa"/>
            <w:noWrap/>
            <w:hideMark/>
          </w:tcPr>
          <w:p w14:paraId="40AEC42C" w14:textId="77777777" w:rsidR="00700CB4" w:rsidRPr="00700CB4" w:rsidRDefault="00700CB4" w:rsidP="00700CB4">
            <w:pPr>
              <w:jc w:val="right"/>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1,649,617.30</w:t>
            </w:r>
          </w:p>
        </w:tc>
        <w:tc>
          <w:tcPr>
            <w:tcW w:w="1214" w:type="dxa"/>
            <w:noWrap/>
            <w:hideMark/>
          </w:tcPr>
          <w:p w14:paraId="0BA8A8E6" w14:textId="77777777" w:rsidR="00700CB4" w:rsidRPr="00700CB4" w:rsidRDefault="00700CB4" w:rsidP="00700CB4">
            <w:pPr>
              <w:jc w:val="right"/>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6,748,748.44</w:t>
            </w:r>
          </w:p>
        </w:tc>
        <w:tc>
          <w:tcPr>
            <w:tcW w:w="1214" w:type="dxa"/>
            <w:hideMark/>
          </w:tcPr>
          <w:p w14:paraId="60643C05" w14:textId="77777777" w:rsidR="00700CB4" w:rsidRPr="00700CB4" w:rsidRDefault="00700CB4" w:rsidP="00700CB4">
            <w:pPr>
              <w:jc w:val="right"/>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0</w:t>
            </w:r>
          </w:p>
        </w:tc>
      </w:tr>
      <w:tr w:rsidR="00700CB4" w:rsidRPr="00700CB4" w14:paraId="7EF4EA6A" w14:textId="77777777" w:rsidTr="00700CB4">
        <w:trPr>
          <w:gridAfter w:val="1"/>
          <w:wAfter w:w="79" w:type="dxa"/>
          <w:trHeight w:val="290"/>
        </w:trPr>
        <w:tc>
          <w:tcPr>
            <w:tcW w:w="1049" w:type="dxa"/>
            <w:noWrap/>
            <w:hideMark/>
          </w:tcPr>
          <w:p w14:paraId="6A272908" w14:textId="77777777" w:rsidR="00700CB4" w:rsidRPr="00700CB4" w:rsidRDefault="00700CB4" w:rsidP="00700CB4">
            <w:pPr>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maintained growth (2050)</w:t>
            </w:r>
          </w:p>
        </w:tc>
        <w:tc>
          <w:tcPr>
            <w:tcW w:w="933" w:type="dxa"/>
            <w:hideMark/>
          </w:tcPr>
          <w:p w14:paraId="7B5E1316" w14:textId="77777777" w:rsidR="00700CB4" w:rsidRPr="00700CB4" w:rsidRDefault="00700CB4" w:rsidP="00700CB4">
            <w:pPr>
              <w:jc w:val="right"/>
              <w:rPr>
                <w:rFonts w:ascii="Arial" w:eastAsia="Times New Roman" w:hAnsi="Arial" w:cs="Arial"/>
                <w:color w:val="333333"/>
                <w:kern w:val="0"/>
                <w:sz w:val="18"/>
                <w:szCs w:val="18"/>
                <w:lang w:eastAsia="nl-NL"/>
                <w14:ligatures w14:val="none"/>
              </w:rPr>
            </w:pPr>
            <w:r w:rsidRPr="00700CB4">
              <w:rPr>
                <w:rFonts w:ascii="Arial" w:eastAsia="Times New Roman" w:hAnsi="Arial" w:cs="Arial"/>
                <w:color w:val="333333"/>
                <w:kern w:val="0"/>
                <w:sz w:val="18"/>
                <w:szCs w:val="18"/>
                <w:lang w:eastAsia="nl-NL"/>
                <w14:ligatures w14:val="none"/>
              </w:rPr>
              <w:t>9.3</w:t>
            </w:r>
          </w:p>
        </w:tc>
        <w:tc>
          <w:tcPr>
            <w:tcW w:w="933" w:type="dxa"/>
            <w:hideMark/>
          </w:tcPr>
          <w:p w14:paraId="630F32E5" w14:textId="77777777" w:rsidR="00700CB4" w:rsidRPr="00700CB4" w:rsidRDefault="00700CB4" w:rsidP="00700CB4">
            <w:pPr>
              <w:jc w:val="right"/>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0.26</w:t>
            </w:r>
          </w:p>
        </w:tc>
        <w:tc>
          <w:tcPr>
            <w:tcW w:w="1025" w:type="dxa"/>
            <w:hideMark/>
          </w:tcPr>
          <w:p w14:paraId="5920576D" w14:textId="77777777" w:rsidR="00700CB4" w:rsidRPr="00700CB4" w:rsidRDefault="00700CB4" w:rsidP="00700CB4">
            <w:pPr>
              <w:jc w:val="right"/>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229.2</w:t>
            </w:r>
          </w:p>
        </w:tc>
        <w:tc>
          <w:tcPr>
            <w:tcW w:w="1306" w:type="dxa"/>
            <w:hideMark/>
          </w:tcPr>
          <w:p w14:paraId="48C6E170" w14:textId="77777777" w:rsidR="00700CB4" w:rsidRPr="00700CB4" w:rsidRDefault="00700CB4" w:rsidP="00700CB4">
            <w:pPr>
              <w:jc w:val="right"/>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3.85</w:t>
            </w:r>
          </w:p>
        </w:tc>
        <w:tc>
          <w:tcPr>
            <w:tcW w:w="1173" w:type="dxa"/>
            <w:noWrap/>
            <w:hideMark/>
          </w:tcPr>
          <w:p w14:paraId="10C374A9" w14:textId="77777777" w:rsidR="00700CB4" w:rsidRPr="00700CB4" w:rsidRDefault="00700CB4" w:rsidP="00700CB4">
            <w:pPr>
              <w:jc w:val="right"/>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3,008,747.18</w:t>
            </w:r>
          </w:p>
        </w:tc>
        <w:tc>
          <w:tcPr>
            <w:tcW w:w="1214" w:type="dxa"/>
            <w:noWrap/>
            <w:hideMark/>
          </w:tcPr>
          <w:p w14:paraId="355F2B3F" w14:textId="77777777" w:rsidR="00700CB4" w:rsidRPr="00700CB4" w:rsidRDefault="00700CB4" w:rsidP="00700CB4">
            <w:pPr>
              <w:jc w:val="right"/>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5,980,033.35</w:t>
            </w:r>
          </w:p>
        </w:tc>
        <w:tc>
          <w:tcPr>
            <w:tcW w:w="1214" w:type="dxa"/>
            <w:hideMark/>
          </w:tcPr>
          <w:p w14:paraId="1F0ADE0A" w14:textId="77777777" w:rsidR="00700CB4" w:rsidRPr="00700CB4" w:rsidRDefault="00700CB4" w:rsidP="00700CB4">
            <w:pPr>
              <w:jc w:val="right"/>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0</w:t>
            </w:r>
          </w:p>
        </w:tc>
      </w:tr>
      <w:tr w:rsidR="00700CB4" w:rsidRPr="00700CB4" w14:paraId="182E2618" w14:textId="77777777" w:rsidTr="00700CB4">
        <w:trPr>
          <w:gridAfter w:val="1"/>
          <w:wAfter w:w="79" w:type="dxa"/>
          <w:trHeight w:val="290"/>
        </w:trPr>
        <w:tc>
          <w:tcPr>
            <w:tcW w:w="1049" w:type="dxa"/>
            <w:noWrap/>
            <w:hideMark/>
          </w:tcPr>
          <w:p w14:paraId="14D1DAF9" w14:textId="77777777" w:rsidR="00700CB4" w:rsidRPr="00700CB4" w:rsidRDefault="00700CB4" w:rsidP="00700CB4">
            <w:pPr>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reform growth (2050)</w:t>
            </w:r>
          </w:p>
        </w:tc>
        <w:tc>
          <w:tcPr>
            <w:tcW w:w="933" w:type="dxa"/>
            <w:noWrap/>
            <w:hideMark/>
          </w:tcPr>
          <w:p w14:paraId="51CA3CAD" w14:textId="77777777" w:rsidR="00700CB4" w:rsidRPr="00700CB4" w:rsidRDefault="00700CB4" w:rsidP="00700CB4">
            <w:pPr>
              <w:jc w:val="right"/>
              <w:rPr>
                <w:rFonts w:ascii="Arial" w:eastAsia="Times New Roman" w:hAnsi="Arial" w:cs="Arial"/>
                <w:color w:val="333333"/>
                <w:kern w:val="0"/>
                <w:sz w:val="18"/>
                <w:szCs w:val="18"/>
                <w:lang w:eastAsia="nl-NL"/>
                <w14:ligatures w14:val="none"/>
              </w:rPr>
            </w:pPr>
            <w:r w:rsidRPr="00700CB4">
              <w:rPr>
                <w:rFonts w:ascii="Arial" w:eastAsia="Times New Roman" w:hAnsi="Arial" w:cs="Arial"/>
                <w:color w:val="333333"/>
                <w:kern w:val="0"/>
                <w:sz w:val="18"/>
                <w:szCs w:val="18"/>
                <w:lang w:eastAsia="nl-NL"/>
                <w14:ligatures w14:val="none"/>
              </w:rPr>
              <w:t>10.4</w:t>
            </w:r>
          </w:p>
        </w:tc>
        <w:tc>
          <w:tcPr>
            <w:tcW w:w="933" w:type="dxa"/>
            <w:noWrap/>
            <w:hideMark/>
          </w:tcPr>
          <w:p w14:paraId="568697DB" w14:textId="77777777" w:rsidR="00700CB4" w:rsidRPr="00700CB4" w:rsidRDefault="00700CB4" w:rsidP="00700CB4">
            <w:pPr>
              <w:jc w:val="right"/>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0.28</w:t>
            </w:r>
          </w:p>
        </w:tc>
        <w:tc>
          <w:tcPr>
            <w:tcW w:w="1025" w:type="dxa"/>
            <w:hideMark/>
          </w:tcPr>
          <w:p w14:paraId="047C92B1" w14:textId="77777777" w:rsidR="00700CB4" w:rsidRPr="00700CB4" w:rsidRDefault="00700CB4" w:rsidP="00700CB4">
            <w:pPr>
              <w:jc w:val="right"/>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328.5</w:t>
            </w:r>
          </w:p>
        </w:tc>
        <w:tc>
          <w:tcPr>
            <w:tcW w:w="1306" w:type="dxa"/>
            <w:noWrap/>
            <w:hideMark/>
          </w:tcPr>
          <w:p w14:paraId="3A143385" w14:textId="77777777" w:rsidR="00700CB4" w:rsidRPr="00700CB4" w:rsidRDefault="00700CB4" w:rsidP="00700CB4">
            <w:pPr>
              <w:jc w:val="right"/>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4.94</w:t>
            </w:r>
          </w:p>
        </w:tc>
        <w:tc>
          <w:tcPr>
            <w:tcW w:w="1173" w:type="dxa"/>
            <w:noWrap/>
            <w:hideMark/>
          </w:tcPr>
          <w:p w14:paraId="34093708" w14:textId="77777777" w:rsidR="00700CB4" w:rsidRPr="00700CB4" w:rsidRDefault="00700CB4" w:rsidP="00700CB4">
            <w:pPr>
              <w:jc w:val="right"/>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2,468,662.17</w:t>
            </w:r>
          </w:p>
        </w:tc>
        <w:tc>
          <w:tcPr>
            <w:tcW w:w="1214" w:type="dxa"/>
            <w:noWrap/>
            <w:hideMark/>
          </w:tcPr>
          <w:p w14:paraId="6090ECD8" w14:textId="77777777" w:rsidR="00700CB4" w:rsidRPr="00700CB4" w:rsidRDefault="00700CB4" w:rsidP="00700CB4">
            <w:pPr>
              <w:jc w:val="right"/>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5,991,969.04</w:t>
            </w:r>
          </w:p>
        </w:tc>
        <w:tc>
          <w:tcPr>
            <w:tcW w:w="1214" w:type="dxa"/>
            <w:hideMark/>
          </w:tcPr>
          <w:p w14:paraId="32DB0A7D" w14:textId="77777777" w:rsidR="00700CB4" w:rsidRPr="00700CB4" w:rsidRDefault="00700CB4" w:rsidP="00700CB4">
            <w:pPr>
              <w:jc w:val="right"/>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0</w:t>
            </w:r>
          </w:p>
        </w:tc>
      </w:tr>
      <w:tr w:rsidR="00700CB4" w:rsidRPr="00700CB4" w14:paraId="6CBE483C" w14:textId="77777777" w:rsidTr="00700CB4">
        <w:trPr>
          <w:gridAfter w:val="1"/>
          <w:wAfter w:w="79" w:type="dxa"/>
          <w:trHeight w:val="290"/>
        </w:trPr>
        <w:tc>
          <w:tcPr>
            <w:tcW w:w="1049" w:type="dxa"/>
            <w:noWrap/>
            <w:hideMark/>
          </w:tcPr>
          <w:p w14:paraId="3D78218A" w14:textId="77777777" w:rsidR="00700CB4" w:rsidRPr="00700CB4" w:rsidRDefault="00700CB4" w:rsidP="00700CB4">
            <w:pPr>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climate-resilient growth (2050)</w:t>
            </w:r>
          </w:p>
        </w:tc>
        <w:tc>
          <w:tcPr>
            <w:tcW w:w="933" w:type="dxa"/>
            <w:hideMark/>
          </w:tcPr>
          <w:p w14:paraId="44AB7529" w14:textId="77777777" w:rsidR="00700CB4" w:rsidRPr="00700CB4" w:rsidRDefault="00700CB4" w:rsidP="00700CB4">
            <w:pPr>
              <w:jc w:val="right"/>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8.1</w:t>
            </w:r>
          </w:p>
        </w:tc>
        <w:tc>
          <w:tcPr>
            <w:tcW w:w="933" w:type="dxa"/>
            <w:hideMark/>
          </w:tcPr>
          <w:p w14:paraId="00BA916C" w14:textId="77777777" w:rsidR="00700CB4" w:rsidRPr="00700CB4" w:rsidRDefault="00700CB4" w:rsidP="00700CB4">
            <w:pPr>
              <w:jc w:val="right"/>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0.22</w:t>
            </w:r>
          </w:p>
        </w:tc>
        <w:tc>
          <w:tcPr>
            <w:tcW w:w="1025" w:type="dxa"/>
            <w:hideMark/>
          </w:tcPr>
          <w:p w14:paraId="10698273" w14:textId="77777777" w:rsidR="00700CB4" w:rsidRPr="00700CB4" w:rsidRDefault="00700CB4" w:rsidP="00700CB4">
            <w:pPr>
              <w:jc w:val="right"/>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297.3</w:t>
            </w:r>
          </w:p>
        </w:tc>
        <w:tc>
          <w:tcPr>
            <w:tcW w:w="1306" w:type="dxa"/>
            <w:hideMark/>
          </w:tcPr>
          <w:p w14:paraId="3ABE41AE" w14:textId="77777777" w:rsidR="00700CB4" w:rsidRPr="00700CB4" w:rsidRDefault="00700CB4" w:rsidP="00700CB4">
            <w:pPr>
              <w:jc w:val="right"/>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3.58</w:t>
            </w:r>
          </w:p>
        </w:tc>
        <w:tc>
          <w:tcPr>
            <w:tcW w:w="1173" w:type="dxa"/>
            <w:noWrap/>
            <w:hideMark/>
          </w:tcPr>
          <w:p w14:paraId="2FEA95A1" w14:textId="77777777" w:rsidR="00700CB4" w:rsidRPr="00700CB4" w:rsidRDefault="00700CB4" w:rsidP="00700CB4">
            <w:pPr>
              <w:jc w:val="right"/>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1,785,062.78</w:t>
            </w:r>
          </w:p>
        </w:tc>
        <w:tc>
          <w:tcPr>
            <w:tcW w:w="1214" w:type="dxa"/>
            <w:noWrap/>
            <w:hideMark/>
          </w:tcPr>
          <w:p w14:paraId="557B0260" w14:textId="77777777" w:rsidR="00700CB4" w:rsidRPr="00700CB4" w:rsidRDefault="00700CB4" w:rsidP="00700CB4">
            <w:pPr>
              <w:jc w:val="right"/>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5,991,969.04</w:t>
            </w:r>
          </w:p>
        </w:tc>
        <w:tc>
          <w:tcPr>
            <w:tcW w:w="1214" w:type="dxa"/>
            <w:noWrap/>
            <w:hideMark/>
          </w:tcPr>
          <w:p w14:paraId="6B170240" w14:textId="77777777" w:rsidR="00700CB4" w:rsidRPr="00700CB4" w:rsidRDefault="00700CB4" w:rsidP="00700CB4">
            <w:pPr>
              <w:jc w:val="right"/>
              <w:rPr>
                <w:rFonts w:ascii="Calibri" w:eastAsia="Times New Roman" w:hAnsi="Calibri" w:cs="Calibri"/>
                <w:color w:val="000000"/>
                <w:kern w:val="0"/>
                <w:sz w:val="18"/>
                <w:szCs w:val="18"/>
                <w:lang w:eastAsia="nl-NL"/>
                <w14:ligatures w14:val="none"/>
              </w:rPr>
            </w:pPr>
            <w:r w:rsidRPr="00700CB4">
              <w:rPr>
                <w:rFonts w:ascii="Calibri" w:eastAsia="Times New Roman" w:hAnsi="Calibri" w:cs="Calibri"/>
                <w:color w:val="000000"/>
                <w:kern w:val="0"/>
                <w:sz w:val="18"/>
                <w:szCs w:val="18"/>
                <w:lang w:eastAsia="nl-NL"/>
                <w14:ligatures w14:val="none"/>
              </w:rPr>
              <w:t>4,098,139.78</w:t>
            </w:r>
          </w:p>
        </w:tc>
      </w:tr>
    </w:tbl>
    <w:p w14:paraId="15735E9E" w14:textId="1E0FE868" w:rsidR="003A6F0D" w:rsidRPr="003A6F0D" w:rsidRDefault="003A6F0D" w:rsidP="00BB237D">
      <w:pPr>
        <w:jc w:val="both"/>
        <w:rPr>
          <w:rFonts w:ascii="Calibri" w:eastAsia="Times New Roman" w:hAnsi="Calibri" w:cs="Calibri"/>
          <w:color w:val="000000"/>
          <w:kern w:val="0"/>
          <w:sz w:val="18"/>
          <w:szCs w:val="18"/>
          <w:lang w:val="en-US" w:eastAsia="nl-NL"/>
          <w14:ligatures w14:val="none"/>
        </w:rPr>
      </w:pPr>
    </w:p>
    <w:p w14:paraId="581A0485" w14:textId="1155E433" w:rsidR="003A6F0D" w:rsidRDefault="00310028" w:rsidP="00BB237D">
      <w:pPr>
        <w:jc w:val="both"/>
        <w:rPr>
          <w:lang w:val="en-US"/>
        </w:rPr>
      </w:pPr>
      <w:r w:rsidRPr="00310028">
        <w:rPr>
          <w:noProof/>
          <w:lang w:val="en-US"/>
        </w:rPr>
        <w:drawing>
          <wp:inline distT="0" distB="0" distL="0" distR="0" wp14:anchorId="27203765" wp14:editId="0B6C829B">
            <wp:extent cx="5731510" cy="2803525"/>
            <wp:effectExtent l="0" t="0" r="2540" b="0"/>
            <wp:docPr id="138407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77119" name=""/>
                    <pic:cNvPicPr/>
                  </pic:nvPicPr>
                  <pic:blipFill>
                    <a:blip r:embed="rId5"/>
                    <a:stretch>
                      <a:fillRect/>
                    </a:stretch>
                  </pic:blipFill>
                  <pic:spPr>
                    <a:xfrm>
                      <a:off x="0" y="0"/>
                      <a:ext cx="5731510" cy="2803525"/>
                    </a:xfrm>
                    <a:prstGeom prst="rect">
                      <a:avLst/>
                    </a:prstGeom>
                  </pic:spPr>
                </pic:pic>
              </a:graphicData>
            </a:graphic>
          </wp:inline>
        </w:drawing>
      </w:r>
    </w:p>
    <w:p w14:paraId="464A15EF" w14:textId="2929865D" w:rsidR="000C357C" w:rsidRDefault="00C45978" w:rsidP="00C45978">
      <w:pPr>
        <w:rPr>
          <w:rStyle w:val="Emphasis"/>
          <w:lang w:val="en-US"/>
        </w:rPr>
      </w:pPr>
      <w:r w:rsidRPr="00C45978">
        <w:rPr>
          <w:rStyle w:val="Strong"/>
          <w:lang w:val="en-US"/>
        </w:rPr>
        <w:t>Figure 1.1: Greenhouse Gas Emissions Projections</w:t>
      </w:r>
      <w:r>
        <w:rPr>
          <w:rStyle w:val="Strong"/>
          <w:lang w:val="en-US"/>
        </w:rPr>
        <w:t xml:space="preserve"> livestock sector</w:t>
      </w:r>
      <w:r w:rsidRPr="00C45978">
        <w:rPr>
          <w:rStyle w:val="Strong"/>
          <w:lang w:val="en-US"/>
        </w:rPr>
        <w:t xml:space="preserve"> for Kyrgyzstan Republic (2022-2050)</w:t>
      </w:r>
      <w:r w:rsidRPr="00C45978">
        <w:rPr>
          <w:lang w:val="en-US"/>
        </w:rPr>
        <w:br/>
      </w:r>
      <w:r>
        <w:rPr>
          <w:rStyle w:val="Emphasis"/>
          <w:lang w:val="en-US"/>
        </w:rPr>
        <w:t xml:space="preserve">- </w:t>
      </w:r>
      <w:r w:rsidRPr="00C45978">
        <w:rPr>
          <w:rStyle w:val="Emphasis"/>
          <w:lang w:val="en-US"/>
        </w:rPr>
        <w:t>Historical Data from FAOstat – Tier 1 Direct Emissions</w:t>
      </w:r>
      <w:r>
        <w:rPr>
          <w:rStyle w:val="Emphasis"/>
          <w:lang w:val="en-US"/>
        </w:rPr>
        <w:t xml:space="preserve"> (2010-2022)</w:t>
      </w:r>
    </w:p>
    <w:p w14:paraId="665362DF" w14:textId="4A3F1619" w:rsidR="004E14B0" w:rsidRPr="004E14B0" w:rsidRDefault="004E14B0" w:rsidP="00C45978">
      <w:pPr>
        <w:rPr>
          <w:rStyle w:val="Emphasis"/>
          <w:b/>
          <w:bCs/>
          <w:i w:val="0"/>
          <w:iCs w:val="0"/>
          <w:sz w:val="24"/>
          <w:szCs w:val="24"/>
        </w:rPr>
      </w:pPr>
      <w:r w:rsidRPr="004E14B0">
        <w:rPr>
          <w:rStyle w:val="Emphasis"/>
          <w:b/>
          <w:bCs/>
          <w:i w:val="0"/>
          <w:iCs w:val="0"/>
          <w:sz w:val="24"/>
          <w:szCs w:val="24"/>
        </w:rPr>
        <w:t>To discuss:</w:t>
      </w:r>
    </w:p>
    <w:p w14:paraId="17990400" w14:textId="65728D86" w:rsidR="004E14B0" w:rsidRPr="004E14B0" w:rsidRDefault="004E14B0" w:rsidP="004E14B0">
      <w:pPr>
        <w:pStyle w:val="ListParagraph"/>
        <w:numPr>
          <w:ilvl w:val="0"/>
          <w:numId w:val="4"/>
        </w:numPr>
        <w:rPr>
          <w:rStyle w:val="Emphasis"/>
          <w:b/>
          <w:bCs/>
          <w:i w:val="0"/>
          <w:iCs w:val="0"/>
          <w:lang w:val="en-US"/>
        </w:rPr>
      </w:pPr>
      <w:r w:rsidRPr="004E14B0">
        <w:rPr>
          <w:rStyle w:val="Emphasis"/>
          <w:b/>
          <w:bCs/>
          <w:i w:val="0"/>
          <w:iCs w:val="0"/>
          <w:lang w:val="en-US"/>
        </w:rPr>
        <w:t>Check baseline data with experts</w:t>
      </w:r>
    </w:p>
    <w:p w14:paraId="76FD8156" w14:textId="3C7407F8" w:rsidR="004E14B0" w:rsidRPr="004E14B0" w:rsidRDefault="004E14B0" w:rsidP="004E14B0">
      <w:pPr>
        <w:pStyle w:val="ListParagraph"/>
        <w:numPr>
          <w:ilvl w:val="0"/>
          <w:numId w:val="4"/>
        </w:numPr>
        <w:rPr>
          <w:rStyle w:val="Emphasis"/>
          <w:b/>
          <w:bCs/>
          <w:i w:val="0"/>
          <w:iCs w:val="0"/>
          <w:lang w:val="en-US"/>
        </w:rPr>
      </w:pPr>
      <w:r w:rsidRPr="004E14B0">
        <w:rPr>
          <w:rStyle w:val="Emphasis"/>
          <w:b/>
          <w:bCs/>
          <w:i w:val="0"/>
          <w:iCs w:val="0"/>
          <w:lang w:val="en-US"/>
        </w:rPr>
        <w:t>Check the assumptions with the experts? = finalize narrative and if the corresponding values make sense.</w:t>
      </w:r>
    </w:p>
    <w:p w14:paraId="6EE284C8" w14:textId="13CC2B9F" w:rsidR="004E14B0" w:rsidRPr="004E14B0" w:rsidRDefault="004E14B0" w:rsidP="004E14B0">
      <w:pPr>
        <w:pStyle w:val="ListParagraph"/>
        <w:numPr>
          <w:ilvl w:val="0"/>
          <w:numId w:val="4"/>
        </w:numPr>
        <w:rPr>
          <w:rStyle w:val="Emphasis"/>
          <w:b/>
          <w:bCs/>
          <w:i w:val="0"/>
          <w:iCs w:val="0"/>
          <w:lang w:val="en-US"/>
        </w:rPr>
      </w:pPr>
      <w:r w:rsidRPr="004E14B0">
        <w:rPr>
          <w:rStyle w:val="Emphasis"/>
          <w:b/>
          <w:bCs/>
          <w:i w:val="0"/>
          <w:iCs w:val="0"/>
          <w:lang w:val="en-US"/>
        </w:rPr>
        <w:t>Tier-1 is it logical that the line is the same</w:t>
      </w:r>
    </w:p>
    <w:p w14:paraId="31A73539" w14:textId="77777777" w:rsidR="004E14B0" w:rsidRPr="00C45978" w:rsidRDefault="004E14B0" w:rsidP="00C45978">
      <w:pPr>
        <w:rPr>
          <w:lang w:val="en-US"/>
        </w:rPr>
      </w:pPr>
    </w:p>
    <w:sectPr w:rsidR="004E14B0" w:rsidRPr="00C45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1806"/>
    <w:multiLevelType w:val="hybridMultilevel"/>
    <w:tmpl w:val="953CAD68"/>
    <w:lvl w:ilvl="0" w:tplc="E488C8FC">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8453EAB"/>
    <w:multiLevelType w:val="hybridMultilevel"/>
    <w:tmpl w:val="C5829F70"/>
    <w:lvl w:ilvl="0" w:tplc="E488C8FC">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58993F18"/>
    <w:multiLevelType w:val="hybridMultilevel"/>
    <w:tmpl w:val="0C989696"/>
    <w:lvl w:ilvl="0" w:tplc="E488C8FC">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7B07254"/>
    <w:multiLevelType w:val="hybridMultilevel"/>
    <w:tmpl w:val="3D706DA8"/>
    <w:lvl w:ilvl="0" w:tplc="E488C8FC">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1829324136">
    <w:abstractNumId w:val="2"/>
  </w:num>
  <w:num w:numId="2" w16cid:durableId="294722527">
    <w:abstractNumId w:val="3"/>
  </w:num>
  <w:num w:numId="3" w16cid:durableId="604339103">
    <w:abstractNumId w:val="1"/>
  </w:num>
  <w:num w:numId="4" w16cid:durableId="1161046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7C"/>
    <w:rsid w:val="00021FC4"/>
    <w:rsid w:val="0006738B"/>
    <w:rsid w:val="000C357C"/>
    <w:rsid w:val="001A0F86"/>
    <w:rsid w:val="002D5EE9"/>
    <w:rsid w:val="00310028"/>
    <w:rsid w:val="003A6F0D"/>
    <w:rsid w:val="004E14B0"/>
    <w:rsid w:val="00602ABC"/>
    <w:rsid w:val="00700CB4"/>
    <w:rsid w:val="008A799D"/>
    <w:rsid w:val="0098665C"/>
    <w:rsid w:val="00990752"/>
    <w:rsid w:val="00A9188A"/>
    <w:rsid w:val="00AE2534"/>
    <w:rsid w:val="00B4029D"/>
    <w:rsid w:val="00BB237D"/>
    <w:rsid w:val="00C45978"/>
    <w:rsid w:val="00D40B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11BC"/>
  <w15:chartTrackingRefBased/>
  <w15:docId w15:val="{2CB46CC2-6CCF-4560-A73C-85808FAA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B237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l-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F0D"/>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Heading3Char">
    <w:name w:val="Heading 3 Char"/>
    <w:basedOn w:val="DefaultParagraphFont"/>
    <w:link w:val="Heading3"/>
    <w:uiPriority w:val="9"/>
    <w:rsid w:val="00BB237D"/>
    <w:rPr>
      <w:rFonts w:ascii="Times New Roman" w:eastAsia="Times New Roman" w:hAnsi="Times New Roman" w:cs="Times New Roman"/>
      <w:b/>
      <w:bCs/>
      <w:kern w:val="0"/>
      <w:sz w:val="27"/>
      <w:szCs w:val="27"/>
      <w:lang w:eastAsia="nl-NL"/>
      <w14:ligatures w14:val="none"/>
    </w:rPr>
  </w:style>
  <w:style w:type="table" w:styleId="TableGrid">
    <w:name w:val="Table Grid"/>
    <w:basedOn w:val="TableNormal"/>
    <w:uiPriority w:val="39"/>
    <w:rsid w:val="00700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0028"/>
    <w:rPr>
      <w:sz w:val="16"/>
      <w:szCs w:val="16"/>
    </w:rPr>
  </w:style>
  <w:style w:type="paragraph" w:styleId="CommentText">
    <w:name w:val="annotation text"/>
    <w:basedOn w:val="Normal"/>
    <w:link w:val="CommentTextChar"/>
    <w:uiPriority w:val="99"/>
    <w:unhideWhenUsed/>
    <w:rsid w:val="00310028"/>
    <w:pPr>
      <w:spacing w:line="240" w:lineRule="auto"/>
    </w:pPr>
    <w:rPr>
      <w:sz w:val="20"/>
      <w:szCs w:val="20"/>
    </w:rPr>
  </w:style>
  <w:style w:type="character" w:customStyle="1" w:styleId="CommentTextChar">
    <w:name w:val="Comment Text Char"/>
    <w:basedOn w:val="DefaultParagraphFont"/>
    <w:link w:val="CommentText"/>
    <w:uiPriority w:val="99"/>
    <w:rsid w:val="00310028"/>
    <w:rPr>
      <w:sz w:val="20"/>
      <w:szCs w:val="20"/>
    </w:rPr>
  </w:style>
  <w:style w:type="paragraph" w:styleId="CommentSubject">
    <w:name w:val="annotation subject"/>
    <w:basedOn w:val="CommentText"/>
    <w:next w:val="CommentText"/>
    <w:link w:val="CommentSubjectChar"/>
    <w:uiPriority w:val="99"/>
    <w:semiHidden/>
    <w:unhideWhenUsed/>
    <w:rsid w:val="00310028"/>
    <w:rPr>
      <w:b/>
      <w:bCs/>
    </w:rPr>
  </w:style>
  <w:style w:type="character" w:customStyle="1" w:styleId="CommentSubjectChar">
    <w:name w:val="Comment Subject Char"/>
    <w:basedOn w:val="CommentTextChar"/>
    <w:link w:val="CommentSubject"/>
    <w:uiPriority w:val="99"/>
    <w:semiHidden/>
    <w:rsid w:val="00310028"/>
    <w:rPr>
      <w:b/>
      <w:bCs/>
      <w:sz w:val="20"/>
      <w:szCs w:val="20"/>
    </w:rPr>
  </w:style>
  <w:style w:type="character" w:styleId="Strong">
    <w:name w:val="Strong"/>
    <w:basedOn w:val="DefaultParagraphFont"/>
    <w:uiPriority w:val="22"/>
    <w:qFormat/>
    <w:rsid w:val="00310028"/>
    <w:rPr>
      <w:b/>
      <w:bCs/>
    </w:rPr>
  </w:style>
  <w:style w:type="character" w:styleId="Emphasis">
    <w:name w:val="Emphasis"/>
    <w:basedOn w:val="DefaultParagraphFont"/>
    <w:uiPriority w:val="20"/>
    <w:qFormat/>
    <w:rsid w:val="00C45978"/>
    <w:rPr>
      <w:i/>
      <w:iCs/>
    </w:rPr>
  </w:style>
  <w:style w:type="paragraph" w:styleId="ListParagraph">
    <w:name w:val="List Paragraph"/>
    <w:basedOn w:val="Normal"/>
    <w:uiPriority w:val="34"/>
    <w:qFormat/>
    <w:rsid w:val="004E1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70221">
      <w:bodyDiv w:val="1"/>
      <w:marLeft w:val="0"/>
      <w:marRight w:val="0"/>
      <w:marTop w:val="0"/>
      <w:marBottom w:val="0"/>
      <w:divBdr>
        <w:top w:val="none" w:sz="0" w:space="0" w:color="auto"/>
        <w:left w:val="none" w:sz="0" w:space="0" w:color="auto"/>
        <w:bottom w:val="none" w:sz="0" w:space="0" w:color="auto"/>
        <w:right w:val="none" w:sz="0" w:space="0" w:color="auto"/>
      </w:divBdr>
    </w:div>
    <w:div w:id="394354899">
      <w:bodyDiv w:val="1"/>
      <w:marLeft w:val="0"/>
      <w:marRight w:val="0"/>
      <w:marTop w:val="0"/>
      <w:marBottom w:val="0"/>
      <w:divBdr>
        <w:top w:val="none" w:sz="0" w:space="0" w:color="auto"/>
        <w:left w:val="none" w:sz="0" w:space="0" w:color="auto"/>
        <w:bottom w:val="none" w:sz="0" w:space="0" w:color="auto"/>
        <w:right w:val="none" w:sz="0" w:space="0" w:color="auto"/>
      </w:divBdr>
    </w:div>
    <w:div w:id="1396004589">
      <w:bodyDiv w:val="1"/>
      <w:marLeft w:val="0"/>
      <w:marRight w:val="0"/>
      <w:marTop w:val="0"/>
      <w:marBottom w:val="0"/>
      <w:divBdr>
        <w:top w:val="none" w:sz="0" w:space="0" w:color="auto"/>
        <w:left w:val="none" w:sz="0" w:space="0" w:color="auto"/>
        <w:bottom w:val="none" w:sz="0" w:space="0" w:color="auto"/>
        <w:right w:val="none" w:sz="0" w:space="0" w:color="auto"/>
      </w:divBdr>
    </w:div>
    <w:div w:id="1465804614">
      <w:bodyDiv w:val="1"/>
      <w:marLeft w:val="0"/>
      <w:marRight w:val="0"/>
      <w:marTop w:val="0"/>
      <w:marBottom w:val="0"/>
      <w:divBdr>
        <w:top w:val="none" w:sz="0" w:space="0" w:color="auto"/>
        <w:left w:val="none" w:sz="0" w:space="0" w:color="auto"/>
        <w:bottom w:val="none" w:sz="0" w:space="0" w:color="auto"/>
        <w:right w:val="none" w:sz="0" w:space="0" w:color="auto"/>
      </w:divBdr>
    </w:div>
    <w:div w:id="1759715585">
      <w:bodyDiv w:val="1"/>
      <w:marLeft w:val="0"/>
      <w:marRight w:val="0"/>
      <w:marTop w:val="0"/>
      <w:marBottom w:val="0"/>
      <w:divBdr>
        <w:top w:val="none" w:sz="0" w:space="0" w:color="auto"/>
        <w:left w:val="none" w:sz="0" w:space="0" w:color="auto"/>
        <w:bottom w:val="none" w:sz="0" w:space="0" w:color="auto"/>
        <w:right w:val="none" w:sz="0" w:space="0" w:color="auto"/>
      </w:divBdr>
    </w:div>
    <w:div w:id="1800537872">
      <w:bodyDiv w:val="1"/>
      <w:marLeft w:val="0"/>
      <w:marRight w:val="0"/>
      <w:marTop w:val="0"/>
      <w:marBottom w:val="0"/>
      <w:divBdr>
        <w:top w:val="none" w:sz="0" w:space="0" w:color="auto"/>
        <w:left w:val="none" w:sz="0" w:space="0" w:color="auto"/>
        <w:bottom w:val="none" w:sz="0" w:space="0" w:color="auto"/>
        <w:right w:val="none" w:sz="0" w:space="0" w:color="auto"/>
      </w:divBdr>
    </w:div>
    <w:div w:id="180206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2</Pages>
  <Words>586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Moleman, Merel</dc:creator>
  <cp:keywords/>
  <dc:description/>
  <cp:lastModifiedBy>Moleman, Merel</cp:lastModifiedBy>
  <cp:revision>2</cp:revision>
  <dcterms:created xsi:type="dcterms:W3CDTF">2024-12-08T13:55:00Z</dcterms:created>
  <dcterms:modified xsi:type="dcterms:W3CDTF">2024-12-18T09:29:00Z</dcterms:modified>
</cp:coreProperties>
</file>