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703DC" w:rsidRDefault="00E54C45">
            <w:pPr>
              <w:ind w:left="0" w:hanging="2"/>
              <w:rPr>
                <w:highlight w:val="green"/>
                <w:u w:val="single"/>
              </w:rPr>
            </w:pPr>
            <w:r w:rsidRPr="005703DC">
              <w:rPr>
                <w:highlight w:val="green"/>
                <w:u w:val="single"/>
              </w:rPr>
              <w:t xml:space="preserve">La app debe incluir un registro y </w:t>
            </w:r>
            <w:proofErr w:type="spellStart"/>
            <w:r w:rsidRPr="005703DC">
              <w:rPr>
                <w:highlight w:val="green"/>
                <w:u w:val="single"/>
              </w:rPr>
              <w:t>login</w:t>
            </w:r>
            <w:proofErr w:type="spellEnd"/>
            <w:r w:rsidRPr="005703DC">
              <w:rPr>
                <w:highlight w:val="green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5703DC" w:rsidRDefault="00E54C45">
            <w:pPr>
              <w:ind w:left="0" w:hanging="2"/>
              <w:rPr>
                <w:highlight w:val="green"/>
                <w:u w:val="single"/>
              </w:rPr>
            </w:pPr>
            <w:r w:rsidRPr="005703DC">
              <w:rPr>
                <w:highlight w:val="green"/>
                <w:u w:val="single"/>
              </w:rPr>
              <w:t>Por ejemplo:</w:t>
            </w:r>
          </w:p>
          <w:p w14:paraId="50AB0E7C" w14:textId="77777777" w:rsidR="007F41B7" w:rsidRPr="005703DC" w:rsidRDefault="00E54C45">
            <w:pPr>
              <w:ind w:left="0" w:hanging="2"/>
              <w:rPr>
                <w:highlight w:val="green"/>
                <w:u w:val="single"/>
              </w:rPr>
            </w:pPr>
            <w:r w:rsidRPr="005703DC">
              <w:rPr>
                <w:highlight w:val="green"/>
                <w:u w:val="single"/>
              </w:rPr>
              <w:t>Usuario – Vendedor:</w:t>
            </w:r>
          </w:p>
          <w:p w14:paraId="4D57961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Dar de alta productos, imagen, descripción, precio, etc. por usuario. </w:t>
            </w:r>
          </w:p>
          <w:p w14:paraId="3426EC65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>Listado de mis productos a la venta como usuario-vendedor.</w:t>
            </w:r>
          </w:p>
          <w:p w14:paraId="54479CF5" w14:textId="77777777" w:rsidR="007F41B7" w:rsidRPr="005703DC" w:rsidRDefault="00E54C45">
            <w:p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  <w:u w:val="single"/>
              </w:rPr>
              <w:t>Usuario – Cliente</w:t>
            </w:r>
            <w:r w:rsidRPr="005703DC">
              <w:rPr>
                <w:highlight w:val="green"/>
              </w:rPr>
              <w:t>:</w:t>
            </w:r>
          </w:p>
          <w:p w14:paraId="5A5D3AAB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Listado de los 10 propietarios con más ventas. </w:t>
            </w:r>
          </w:p>
          <w:p w14:paraId="45A09FE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Puntuar una prenda concreta </w:t>
            </w:r>
          </w:p>
          <w:p w14:paraId="3E22CBA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Listado de los 10 productos más puntuados. </w:t>
            </w:r>
          </w:p>
          <w:p w14:paraId="57EB15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la palabra escrita por el usuario. </w:t>
            </w:r>
          </w:p>
          <w:p w14:paraId="7D9654AF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Ver ficha descriptiva de la prenda y sus características. </w:t>
            </w:r>
          </w:p>
          <w:p w14:paraId="0B3BB4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Confirmar compra. </w:t>
            </w:r>
          </w:p>
          <w:p w14:paraId="0C991C4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Histórico de compras. </w:t>
            </w:r>
            <w:r w:rsidRPr="005703DC">
              <w:rPr>
                <w:highlight w:val="green"/>
              </w:rPr>
              <w:tab/>
            </w:r>
          </w:p>
        </w:tc>
        <w:tc>
          <w:tcPr>
            <w:tcW w:w="1185" w:type="dxa"/>
          </w:tcPr>
          <w:p w14:paraId="68DF89E4" w14:textId="77777777" w:rsidR="007F41B7" w:rsidRPr="005703DC" w:rsidRDefault="007F41B7">
            <w:pPr>
              <w:ind w:left="0" w:hanging="2"/>
              <w:jc w:val="center"/>
              <w:rPr>
                <w:highlight w:val="green"/>
                <w:u w:val="single"/>
              </w:rPr>
            </w:pPr>
          </w:p>
          <w:p w14:paraId="62B9DA73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EFE59D4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4EC8CAA5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812F15D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59C232F5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A29C75C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FD1CC8A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2EA0CC36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69C6F3AE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07F3FAB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CBA3458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0E772123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B3EF749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9A16E82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703DC">
              <w:rPr>
                <w:highlight w:val="green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3678" w14:textId="77777777" w:rsidR="00AC1681" w:rsidRDefault="00AC1681">
      <w:pPr>
        <w:spacing w:line="240" w:lineRule="auto"/>
        <w:ind w:left="0" w:hanging="2"/>
      </w:pPr>
      <w:r>
        <w:separator/>
      </w:r>
    </w:p>
  </w:endnote>
  <w:endnote w:type="continuationSeparator" w:id="0">
    <w:p w14:paraId="3BC539E8" w14:textId="77777777" w:rsidR="00AC1681" w:rsidRDefault="00AC16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C1681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5824" w14:textId="77777777" w:rsidR="00AC1681" w:rsidRDefault="00AC1681">
      <w:pPr>
        <w:spacing w:line="240" w:lineRule="auto"/>
        <w:ind w:left="0" w:hanging="2"/>
      </w:pPr>
      <w:r>
        <w:separator/>
      </w:r>
    </w:p>
  </w:footnote>
  <w:footnote w:type="continuationSeparator" w:id="0">
    <w:p w14:paraId="07ADDE0D" w14:textId="77777777" w:rsidR="00AC1681" w:rsidRDefault="00AC168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233789"/>
    <w:rsid w:val="00335A8F"/>
    <w:rsid w:val="00436D67"/>
    <w:rsid w:val="00516E52"/>
    <w:rsid w:val="00525025"/>
    <w:rsid w:val="005703DC"/>
    <w:rsid w:val="00617E1E"/>
    <w:rsid w:val="00723644"/>
    <w:rsid w:val="00726E3E"/>
    <w:rsid w:val="007F41B7"/>
    <w:rsid w:val="007F5D64"/>
    <w:rsid w:val="00AC1681"/>
    <w:rsid w:val="00E54C45"/>
    <w:rsid w:val="00E6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5</cp:revision>
  <dcterms:created xsi:type="dcterms:W3CDTF">2019-11-14T10:49:00Z</dcterms:created>
  <dcterms:modified xsi:type="dcterms:W3CDTF">2024-11-07T12:44:00Z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