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38106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19" name="image2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N°013: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las Hisutorias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las Hisutorias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01/07/2022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manera se realiza una presentación detallada del backlog, sprint y burdonchart.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creación del documento final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de usuario de REQ003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de usuario de  REQ002 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de usuario de  REQ001 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de usuario de REQ004.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30/06/2022 se realizó una reunión para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realizó manera para la elaboración del segundo Sprint de acuerdo al caso de estudio. Se realizó mediante una exposición virtual y de manera grupal. Se indica el desarrollo de: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Programación del REQ001 al REQ004 de manera esquemática y simplificada para un mejor entendimiento.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XZRtF3JJfNCxk5EJYT+jhuScQ==">AMUW2mUbZ0S5xfSwzCKezg65XuedmngiurERqZtvFHJu/hCbCgHtqNmOQabvnZ9an4vMttFlsy/qQKDOFr/pBzqK4oKQn3VqL8bbAMI8Fo6aL92GsKWMw6l2lOqGOD5AAyF0w2ZRBUh7PsKKs+EyVxIgme6+1oFpUw==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