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38107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22" name="image3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N°014: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las Caja blanca y caja negra.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Realización de las Caja blanca y caja negra.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elaboración de caja blanca y negra con el requisito 1 del caso de estudio proporcionado.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creación del documento final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flujo.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Grafos.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Caja negra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Validaciones del requisito. 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01/07/2022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realizó manera se realiza una presentación detallada del backlog, sprint y burdonchart.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constante de los diferentes documentos nos ayuda con una mejor organización del grupo.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aZi67gtajaglQV8KOShEVfJDA==">AMUW2mWS814fqdbDH6/2DNXkx/JXjGBVm4k1/CbkXlX1Qh0I+If19oWVBfYKCsZkB2plHjGGs3jtsC6S7wEwPb83OJvzFMpwa1SgzEFKRgjiQJicQnbWhEANnCzLWt2/Ml5QbjZ26ZZo91RJxo1UzKKk2WJxocf0pQ==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