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rHeight w:val="1855.35156250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38109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28" name="image3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N°016: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Cajas Blancas y Cajas Negras de todos los requisitos.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Realización de Cajas Blancas y Cajas Negras de todos los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10/07/2022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la elaboración de cajas blancas y negras de los requisitos funcionales del caso de estudio proporcionado. 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contribución para la elaboración de diagramas de flujo, creación del documento final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de Flujo, caja negra.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Grafos en caja blanca.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de Flujo.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Validaciones de los requisitos funcionales.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06/07/2022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elaboración de Scrum de acuerdo a las necesidad encontradas en el caso de estudio.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constante de los diferentes documentos nos ayuda con una mejor organización del grupo.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5+C7OKer8m21UNsPIjF70f2pA==">AMUW2mVCVpR4f9pAK8sjmUqtxueDNACTUrEM3qab3yHTL67KUSMl549FHezPgX1aTKUeZEvfu8yXk/X+AraX4mpftHp4rV9U22cpc6Yy46LubG16EIIgNtYoYdvG85i/SRDu6Rhrlg7oXuZplQv4CYVJ7hugiRwcRA==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