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4C13F7">
      <w:pPr>
        <w:spacing w:before="1600"/>
        <w:jc w:val="center"/>
      </w:pPr>
      <w:r>
        <w:rPr>
          <w:b/>
          <w:bCs/>
          <w:color w:val="1F4E79"/>
          <w:sz w:val="56"/>
          <w:szCs w:val="56"/>
        </w:rPr>
        <w:t>RoadGuard AI</w:t>
      </w:r>
    </w:p>
    <w:p w14:paraId="06A5CF66">
      <w:pPr>
        <w:spacing w:after="100"/>
        <w:jc w:val="center"/>
      </w:pPr>
      <w:r>
        <w:rPr>
          <w:sz w:val="30"/>
          <w:szCs w:val="30"/>
        </w:rPr>
        <w:t>AI-Powered Road Infrastructure Monitoring System</w:t>
      </w:r>
    </w:p>
    <w:p w14:paraId="7833207F">
      <w:pPr>
        <w:spacing w:after="600"/>
        <w:jc w:val="center"/>
      </w:pPr>
      <w:r>
        <w:rPr>
          <w:i/>
          <w:iCs/>
          <w:color w:val="555555"/>
          <w:sz w:val="24"/>
          <w:szCs w:val="24"/>
        </w:rPr>
        <w:t>Pothole Detection, Tracking &amp; Automated Reporting using YOLOv8</w:t>
      </w:r>
    </w:p>
    <w:p w14:paraId="7BE5D9A3">
      <w:pPr>
        <w:spacing w:after="80"/>
        <w:jc w:val="center"/>
      </w:pPr>
      <w:r>
        <w:rPr>
          <w:b/>
          <w:bCs/>
          <w:sz w:val="22"/>
          <w:szCs w:val="22"/>
        </w:rPr>
        <w:t>Module Project | Computer Vision</w:t>
      </w:r>
    </w:p>
    <w:p w14:paraId="1FC1DC48">
      <w:pPr>
        <w:spacing w:after="80"/>
        <w:jc w:val="center"/>
      </w:pPr>
      <w:r>
        <w:rPr>
          <w:sz w:val="20"/>
          <w:szCs w:val="20"/>
        </w:rPr>
        <w:t>Framework: PyTorch  |  Model: Ultralytics YOLOv8  |  Tracking: ByteTrack</w:t>
      </w:r>
    </w:p>
    <w:p w14:paraId="1B8BB289">
      <w:pPr>
        <w:spacing w:after="80"/>
        <w:jc w:val="center"/>
      </w:pPr>
      <w:r>
        <w:rPr>
          <w:sz w:val="20"/>
          <w:szCs w:val="20"/>
        </w:rPr>
        <w:t>Deployment: Streamlit Web Application</w:t>
      </w:r>
    </w:p>
    <w:p w14:paraId="70D02FF0">
      <w:r>
        <w:br w:type="page"/>
      </w:r>
    </w:p>
    <w:p w14:paraId="47776974">
      <w:pPr>
        <w:pStyle w:val="2"/>
      </w:pPr>
      <w:r>
        <w:t>Table of Contents</w:t>
      </w:r>
    </w:p>
    <w:p w14:paraId="482E7882">
      <w:pPr>
        <w:spacing w:after="200" w:line="300" w:lineRule="auto"/>
      </w:pPr>
      <w:r>
        <w:t>1. Problem Statement and Motivation</w:t>
      </w:r>
    </w:p>
    <w:p w14:paraId="6C88075A">
      <w:pPr>
        <w:spacing w:after="200" w:line="300" w:lineRule="auto"/>
      </w:pPr>
      <w:r>
        <w:t>2. Dataset Description</w:t>
      </w:r>
    </w:p>
    <w:p w14:paraId="268C5355">
      <w:pPr>
        <w:spacing w:after="200" w:line="300" w:lineRule="auto"/>
      </w:pPr>
      <w:r>
        <w:t>3. Model Architecture and Training Setup</w:t>
      </w:r>
    </w:p>
    <w:p w14:paraId="2DC0F9DB">
      <w:pPr>
        <w:spacing w:after="200" w:line="300" w:lineRule="auto"/>
      </w:pPr>
      <w:r>
        <w:t>4. End-to-End Pipeline Design (Task 2)</w:t>
      </w:r>
    </w:p>
    <w:p w14:paraId="026B583E">
      <w:pPr>
        <w:spacing w:after="200" w:line="300" w:lineRule="auto"/>
      </w:pPr>
      <w:r>
        <w:t>5. Results and Performance Analysis</w:t>
      </w:r>
    </w:p>
    <w:p w14:paraId="74EC52D4">
      <w:pPr>
        <w:spacing w:after="200" w:line="300" w:lineRule="auto"/>
      </w:pPr>
      <w:r>
        <w:t>6. Demonstration</w:t>
      </w:r>
    </w:p>
    <w:p w14:paraId="3781F409">
      <w:pPr>
        <w:spacing w:after="200" w:line="300" w:lineRule="auto"/>
      </w:pPr>
      <w:r>
        <w:t>7. Challenges and Limitations</w:t>
      </w:r>
    </w:p>
    <w:p w14:paraId="4292ED3F">
      <w:pPr>
        <w:spacing w:after="200" w:line="300" w:lineRule="auto"/>
      </w:pPr>
      <w:r>
        <w:t>8. Future Improvements</w:t>
      </w:r>
    </w:p>
    <w:p w14:paraId="7BA12B58">
      <w:pPr>
        <w:spacing w:after="200" w:line="300" w:lineRule="auto"/>
      </w:pPr>
      <w:r>
        <w:t>9. Conclusion</w:t>
      </w:r>
    </w:p>
    <w:p w14:paraId="364C4B98">
      <w:pPr>
        <w:spacing w:after="200" w:line="300" w:lineRule="auto"/>
      </w:pPr>
      <w:r>
        <w:t>References</w:t>
      </w:r>
    </w:p>
    <w:p w14:paraId="429D64CB">
      <w:r>
        <w:br w:type="page"/>
      </w:r>
    </w:p>
    <w:p w14:paraId="290983B0">
      <w:pPr>
        <w:pStyle w:val="2"/>
      </w:pPr>
      <w:r>
        <w:t>1. Problem Statement and Motivation</w:t>
      </w:r>
    </w:p>
    <w:p w14:paraId="58C9109A">
      <w:pPr>
        <w:spacing w:after="200" w:line="300" w:lineRule="auto"/>
      </w:pPr>
      <w:r>
        <w:t>Potholes are one of the most common and costly forms of road infrastructure damage. They contribute to vehicle damage, increase accident risk, and are particularly severe in regions with heavy seasonal rainfall and aging road infrastructure — a pattern familiar across many cities in Pakistan, including Karachi, where monsoon flooding regularly accelerates pavement deterioration.</w:t>
      </w:r>
    </w:p>
    <w:p w14:paraId="113795E8">
      <w:pPr>
        <w:spacing w:after="200" w:line="300" w:lineRule="auto"/>
      </w:pPr>
      <w:r>
        <w:t>The World Health Organization reports that road traffic crashes kill over a million people globally every year, and poor road surface conditions are a recognized contributing factor. Despite this, road damage inspection in most cities remains a largely manual, reactive process: authorities typically learn about a pothole only after a citizen complaint, a vehicle damage claim, or an accident — by which point the damage has often worsened and become more expensive to repair.</w:t>
      </w:r>
    </w:p>
    <w:p w14:paraId="193979A4">
      <w:pPr>
        <w:spacing w:after="200" w:line="300" w:lineRule="auto"/>
      </w:pPr>
      <w:r>
        <w:t>This project asks: could an ordinary dash-cam, combined with a fine-tuned object detection model, turn routine driving into continuous, automated road-condition monitoring? The goal is a system that:</w:t>
      </w:r>
    </w:p>
    <w:p w14:paraId="49813AC4">
      <w:pPr>
        <w:pStyle w:val="16"/>
        <w:numPr>
          <w:ilvl w:val="0"/>
          <w:numId w:val="1"/>
        </w:numPr>
        <w:spacing w:after="120"/>
      </w:pPr>
      <w:r>
        <w:t>Detects potholes in road images using a model fine-tuned specifically for this task (Task 1).</w:t>
      </w:r>
    </w:p>
    <w:p w14:paraId="1AA23091">
      <w:pPr>
        <w:pStyle w:val="16"/>
        <w:numPr>
          <w:ilvl w:val="0"/>
          <w:numId w:val="1"/>
        </w:numPr>
        <w:spacing w:after="120"/>
      </w:pPr>
      <w:r>
        <w:t>Tracks individual potholes across video frames so the same pothole is not reported multiple times as a vehicle drives past it (Task 2).</w:t>
      </w:r>
    </w:p>
    <w:p w14:paraId="4A8F2020">
      <w:pPr>
        <w:pStyle w:val="16"/>
        <w:numPr>
          <w:ilvl w:val="0"/>
          <w:numId w:val="1"/>
        </w:numPr>
        <w:spacing w:after="120"/>
      </w:pPr>
      <w:r>
        <w:t>Assigns an explainable repair-priority severity to each detection.</w:t>
      </w:r>
    </w:p>
    <w:p w14:paraId="3EB4BF97">
      <w:pPr>
        <w:pStyle w:val="16"/>
        <w:numPr>
          <w:ilvl w:val="0"/>
          <w:numId w:val="1"/>
        </w:numPr>
        <w:spacing w:after="120"/>
      </w:pPr>
      <w:r>
        <w:t>Produces a downloadable report a maintenance team could plausibly act on, through a simple web interface that requires no machine learning expertise to operate.</w:t>
      </w:r>
    </w:p>
    <w:p w14:paraId="081F0BE5">
      <w:pPr>
        <w:spacing w:after="200" w:line="300" w:lineRule="auto"/>
      </w:pPr>
      <w:r>
        <w:t>This directly maps onto real-world applications: municipal road maintenance scheduling, fleet-based road condition surveys, and citizen-facing road safety apps.</w:t>
      </w:r>
    </w:p>
    <w:p w14:paraId="100E2F89">
      <w:pPr>
        <w:pStyle w:val="2"/>
      </w:pPr>
      <w:r>
        <w:t>2. Dataset Description</w:t>
      </w:r>
    </w:p>
    <w:p w14:paraId="56824C0A">
      <w:pPr>
        <w:spacing w:after="200" w:line="300" w:lineRule="auto"/>
      </w:pPr>
      <w:r>
        <w:t>The project uses a real, open, multi-source pothole detection dataset (originally assembled and documented by LearnOpenCV / Sovit Rath, combining Roboflow pothole data, a published academic pothole-image dataset, manually annotated YouTube dash-cam frames, and the RDD2022 road damage dataset), pre-converted to YOLO bounding-box annotation format.</w:t>
      </w:r>
    </w:p>
    <w:p w14:paraId="76E9045F">
      <w:pPr>
        <w:pStyle w:val="3"/>
      </w:pPr>
      <w:r>
        <w:t>2.1 Dataset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4D1C4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tcBorders>
              <w:top w:val="single" w:color="BFBFBF" w:sz="2" w:space="0"/>
              <w:left w:val="single" w:color="BFBFBF" w:sz="2" w:space="0"/>
              <w:bottom w:val="single" w:color="BFBFBF" w:sz="2" w:space="0"/>
              <w:right w:val="single" w:color="BFBFBF" w:sz="2" w:space="0"/>
            </w:tcBorders>
            <w:shd w:val="clear" w:color="auto" w:fill="1F4E79"/>
            <w:tcMar>
              <w:top w:w="80" w:type="dxa"/>
              <w:left w:w="120" w:type="dxa"/>
              <w:bottom w:w="80" w:type="dxa"/>
              <w:right w:w="120" w:type="dxa"/>
            </w:tcMar>
            <w:vAlign w:val="center"/>
          </w:tcPr>
          <w:p w14:paraId="74D4BE5E">
            <w:pPr>
              <w:jc w:val="left"/>
            </w:pPr>
            <w:r>
              <w:rPr>
                <w:b/>
                <w:bCs/>
                <w:color w:val="FFFFFF"/>
              </w:rPr>
              <w:t>Attribute</w:t>
            </w:r>
          </w:p>
        </w:tc>
        <w:tc>
          <w:tcPr>
            <w:tcW w:w="3120" w:type="dxa"/>
            <w:tcBorders>
              <w:top w:val="single" w:color="BFBFBF" w:sz="2" w:space="0"/>
              <w:left w:val="single" w:color="BFBFBF" w:sz="2" w:space="0"/>
              <w:bottom w:val="single" w:color="BFBFBF" w:sz="2" w:space="0"/>
              <w:right w:val="single" w:color="BFBFBF" w:sz="2" w:space="0"/>
            </w:tcBorders>
            <w:shd w:val="clear" w:color="auto" w:fill="1F4E79"/>
            <w:tcMar>
              <w:top w:w="80" w:type="dxa"/>
              <w:left w:w="120" w:type="dxa"/>
              <w:bottom w:w="80" w:type="dxa"/>
              <w:right w:w="120" w:type="dxa"/>
            </w:tcMar>
            <w:vAlign w:val="center"/>
          </w:tcPr>
          <w:p w14:paraId="40D730C7">
            <w:pPr>
              <w:jc w:val="left"/>
            </w:pPr>
            <w:r>
              <w:rPr>
                <w:b/>
                <w:bCs/>
                <w:color w:val="FFFFFF"/>
              </w:rPr>
              <w:t>Value</w:t>
            </w:r>
          </w:p>
        </w:tc>
        <w:tc>
          <w:tcPr>
            <w:tcW w:w="3120" w:type="dxa"/>
            <w:tcBorders>
              <w:top w:val="single" w:color="BFBFBF" w:sz="2" w:space="0"/>
              <w:left w:val="single" w:color="BFBFBF" w:sz="2" w:space="0"/>
              <w:bottom w:val="single" w:color="BFBFBF" w:sz="2" w:space="0"/>
              <w:right w:val="single" w:color="BFBFBF" w:sz="2" w:space="0"/>
            </w:tcBorders>
            <w:shd w:val="clear" w:color="auto" w:fill="1F4E79"/>
            <w:tcMar>
              <w:top w:w="80" w:type="dxa"/>
              <w:left w:w="120" w:type="dxa"/>
              <w:bottom w:w="80" w:type="dxa"/>
              <w:right w:w="120" w:type="dxa"/>
            </w:tcMar>
            <w:vAlign w:val="center"/>
          </w:tcPr>
          <w:p w14:paraId="05C305E5">
            <w:pPr>
              <w:jc w:val="left"/>
            </w:pPr>
            <w:r>
              <w:rPr>
                <w:b/>
                <w:bCs/>
                <w:color w:val="FFFFFF"/>
              </w:rPr>
              <w:t>Notes</w:t>
            </w:r>
          </w:p>
        </w:tc>
      </w:tr>
      <w:tr w14:paraId="590A7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vAlign w:val="center"/>
          </w:tcPr>
          <w:p w14:paraId="0F675C30">
            <w:pPr>
              <w:jc w:val="left"/>
            </w:pPr>
            <w:r>
              <w:rPr>
                <w:b w:val="0"/>
                <w:bCs w:val="0"/>
              </w:rPr>
              <w:t>Training images</w:t>
            </w:r>
          </w:p>
        </w:tc>
        <w:tc>
          <w:tcPr>
            <w:tcW w:w="312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vAlign w:val="center"/>
          </w:tcPr>
          <w:p w14:paraId="777548A7">
            <w:pPr>
              <w:jc w:val="left"/>
            </w:pPr>
            <w:r>
              <w:rPr>
                <w:b w:val="0"/>
                <w:bCs w:val="0"/>
              </w:rPr>
              <w:t>6,962</w:t>
            </w:r>
          </w:p>
        </w:tc>
        <w:tc>
          <w:tcPr>
            <w:tcW w:w="312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vAlign w:val="center"/>
          </w:tcPr>
          <w:p w14:paraId="4A61A1D1">
            <w:pPr>
              <w:jc w:val="left"/>
            </w:pPr>
            <w:r>
              <w:rPr>
                <w:b w:val="0"/>
                <w:bCs w:val="0"/>
              </w:rPr>
              <w:t>Used for model fitting</w:t>
            </w:r>
          </w:p>
        </w:tc>
      </w:tr>
      <w:tr w14:paraId="2A5C3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vAlign w:val="center"/>
          </w:tcPr>
          <w:p w14:paraId="48C853F3">
            <w:pPr>
              <w:jc w:val="left"/>
            </w:pPr>
            <w:r>
              <w:rPr>
                <w:b w:val="0"/>
                <w:bCs w:val="0"/>
              </w:rPr>
              <w:t>Validation images</w:t>
            </w:r>
          </w:p>
        </w:tc>
        <w:tc>
          <w:tcPr>
            <w:tcW w:w="312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vAlign w:val="center"/>
          </w:tcPr>
          <w:p w14:paraId="34756833">
            <w:pPr>
              <w:jc w:val="left"/>
            </w:pPr>
            <w:r>
              <w:rPr>
                <w:b w:val="0"/>
                <w:bCs w:val="0"/>
              </w:rPr>
              <w:t>271</w:t>
            </w:r>
          </w:p>
        </w:tc>
        <w:tc>
          <w:tcPr>
            <w:tcW w:w="312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vAlign w:val="center"/>
          </w:tcPr>
          <w:p w14:paraId="4CF89945">
            <w:pPr>
              <w:jc w:val="left"/>
            </w:pPr>
            <w:r>
              <w:rPr>
                <w:b w:val="0"/>
                <w:bCs w:val="0"/>
              </w:rPr>
              <w:t>Held out, used for evaluation</w:t>
            </w:r>
          </w:p>
        </w:tc>
      </w:tr>
      <w:tr w14:paraId="0A0F9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vAlign w:val="center"/>
          </w:tcPr>
          <w:p w14:paraId="681D0047">
            <w:pPr>
              <w:jc w:val="left"/>
            </w:pPr>
            <w:r>
              <w:rPr>
                <w:b w:val="0"/>
                <w:bCs w:val="0"/>
              </w:rPr>
              <w:t>Classes</w:t>
            </w:r>
          </w:p>
        </w:tc>
        <w:tc>
          <w:tcPr>
            <w:tcW w:w="312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vAlign w:val="center"/>
          </w:tcPr>
          <w:p w14:paraId="4431BC3C">
            <w:pPr>
              <w:jc w:val="left"/>
            </w:pPr>
            <w:r>
              <w:rPr>
                <w:b w:val="0"/>
                <w:bCs w:val="0"/>
              </w:rPr>
              <w:t>1 (pothole)</w:t>
            </w:r>
          </w:p>
        </w:tc>
        <w:tc>
          <w:tcPr>
            <w:tcW w:w="312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vAlign w:val="center"/>
          </w:tcPr>
          <w:p w14:paraId="43EA0BE9">
            <w:pPr>
              <w:jc w:val="left"/>
            </w:pPr>
            <w:r>
              <w:rPr>
                <w:b w:val="0"/>
                <w:bCs w:val="0"/>
              </w:rPr>
              <w:t>Single-class detection problem</w:t>
            </w:r>
          </w:p>
        </w:tc>
      </w:tr>
      <w:tr w14:paraId="43D59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vAlign w:val="center"/>
          </w:tcPr>
          <w:p w14:paraId="199E2F85">
            <w:pPr>
              <w:jc w:val="left"/>
            </w:pPr>
            <w:r>
              <w:rPr>
                <w:b w:val="0"/>
                <w:bCs w:val="0"/>
              </w:rPr>
              <w:t>Annotation format</w:t>
            </w:r>
          </w:p>
        </w:tc>
        <w:tc>
          <w:tcPr>
            <w:tcW w:w="312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vAlign w:val="center"/>
          </w:tcPr>
          <w:p w14:paraId="3F5E5235">
            <w:pPr>
              <w:jc w:val="left"/>
            </w:pPr>
            <w:r>
              <w:rPr>
                <w:b w:val="0"/>
                <w:bCs w:val="0"/>
              </w:rPr>
              <w:t>YOLO (.txt)</w:t>
            </w:r>
          </w:p>
        </w:tc>
        <w:tc>
          <w:tcPr>
            <w:tcW w:w="312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vAlign w:val="center"/>
          </w:tcPr>
          <w:p w14:paraId="5907F2C4">
            <w:pPr>
              <w:jc w:val="left"/>
            </w:pPr>
            <w:r>
              <w:rPr>
                <w:b w:val="0"/>
                <w:bCs w:val="0"/>
              </w:rPr>
              <w:t>Normalized xc, yc, w, h per box</w:t>
            </w:r>
          </w:p>
        </w:tc>
      </w:tr>
      <w:tr w14:paraId="18117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vAlign w:val="center"/>
          </w:tcPr>
          <w:p w14:paraId="57FB4F89">
            <w:pPr>
              <w:jc w:val="left"/>
            </w:pPr>
            <w:r>
              <w:rPr>
                <w:b w:val="0"/>
                <w:bCs w:val="0"/>
              </w:rPr>
              <w:t>Sources</w:t>
            </w:r>
          </w:p>
        </w:tc>
        <w:tc>
          <w:tcPr>
            <w:tcW w:w="312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vAlign w:val="center"/>
          </w:tcPr>
          <w:p w14:paraId="29DDB93B">
            <w:pPr>
              <w:jc w:val="left"/>
            </w:pPr>
            <w:r>
              <w:rPr>
                <w:b w:val="0"/>
                <w:bCs w:val="0"/>
              </w:rPr>
              <w:t>Roboflow + research dataset + YouTube + RDD2022</w:t>
            </w:r>
          </w:p>
        </w:tc>
        <w:tc>
          <w:tcPr>
            <w:tcW w:w="312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vAlign w:val="center"/>
          </w:tcPr>
          <w:p w14:paraId="38FC17D2">
            <w:pPr>
              <w:jc w:val="left"/>
            </w:pPr>
            <w:r>
              <w:rPr>
                <w:b w:val="0"/>
                <w:bCs w:val="0"/>
              </w:rPr>
              <w:t>Multi-source → varied cameras/lighting</w:t>
            </w:r>
          </w:p>
        </w:tc>
      </w:tr>
      <w:tr w14:paraId="7E09B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vAlign w:val="center"/>
          </w:tcPr>
          <w:p w14:paraId="556FE534">
            <w:pPr>
              <w:jc w:val="left"/>
            </w:pPr>
            <w:r>
              <w:rPr>
                <w:b w:val="0"/>
                <w:bCs w:val="0"/>
              </w:rPr>
              <w:t>License</w:t>
            </w:r>
          </w:p>
        </w:tc>
        <w:tc>
          <w:tcPr>
            <w:tcW w:w="312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vAlign w:val="center"/>
          </w:tcPr>
          <w:p w14:paraId="154D83CD">
            <w:pPr>
              <w:jc w:val="left"/>
            </w:pPr>
            <w:r>
              <w:rPr>
                <w:b w:val="0"/>
                <w:bCs w:val="0"/>
              </w:rPr>
              <w:t>Free for research/education use</w:t>
            </w:r>
          </w:p>
        </w:tc>
        <w:tc>
          <w:tcPr>
            <w:tcW w:w="312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vAlign w:val="center"/>
          </w:tcPr>
          <w:p w14:paraId="47089D5A">
            <w:pPr>
              <w:jc w:val="left"/>
            </w:pPr>
            <w:r>
              <w:rPr>
                <w:b w:val="0"/>
                <w:bCs w:val="0"/>
              </w:rPr>
              <w:t>See original dataset documentation</w:t>
            </w:r>
          </w:p>
        </w:tc>
      </w:tr>
    </w:tbl>
    <w:p w14:paraId="1BFDDFE9">
      <w:pPr>
        <w:spacing w:before="200" w:after="200"/>
      </w:pPr>
    </w:p>
    <w:p w14:paraId="32676349">
      <w:pPr>
        <w:pStyle w:val="3"/>
      </w:pPr>
      <w:r>
        <w:t>2.2 Dataset Characteristics</w:t>
      </w:r>
    </w:p>
    <w:p w14:paraId="2F9A1820">
      <w:pPr>
        <w:spacing w:after="200" w:line="300" w:lineRule="auto"/>
      </w:pPr>
      <w:r>
        <w:t>Exploratory analysis (see Notebook 1, Section 2) shows this is a genuinely challenging small-object detection problem: a large share of pothole bounding boxes cover only a small fraction of the image frame, since dash-cam-style photography captures potholes from a distance and at a shallow viewing angle. This characteristic directly motivated the choice to fine-tune from COCO-pretrained weights (which already encode strong general-purpose low-level visual features) rather than training a detector from random initialization.</w:t>
      </w:r>
    </w:p>
    <w:p w14:paraId="2D36DAB9">
      <w:pPr>
        <w:spacing w:after="200" w:line="300" w:lineRule="auto"/>
      </w:pPr>
      <w:r>
        <w:rPr>
          <w:b/>
          <w:bCs/>
        </w:rPr>
        <w:t>Insert your own EDA figures here:</w:t>
      </w:r>
    </w:p>
    <w:p w14:paraId="12EAAC54">
      <w:pPr>
        <w:pStyle w:val="16"/>
        <w:numPr>
          <w:ilvl w:val="0"/>
          <w:numId w:val="1"/>
        </w:numPr>
        <w:spacing w:after="120"/>
      </w:pPr>
      <w:r>
        <w:t>Sample annotated images (Notebook 1, Section 2)</w:t>
      </w:r>
    </w:p>
    <w:p w14:paraId="1E10B052">
      <w:pPr>
        <w:pStyle w:val="16"/>
        <w:numPr>
          <w:ilvl w:val="0"/>
          <w:numId w:val="1"/>
        </w:numPr>
        <w:spacing w:after="120"/>
      </w:pPr>
      <w:r>
        <w:t>Bounding-box area histogram (Notebook 1, Section 2)</w:t>
      </w:r>
    </w:p>
    <w:p w14:paraId="39138203">
      <w:pPr>
        <w:pStyle w:val="2"/>
      </w:pPr>
      <w:r>
        <w:t>3. Model Architecture and Training Setup</w:t>
      </w:r>
    </w:p>
    <w:p w14:paraId="02739407">
      <w:pPr>
        <w:pStyle w:val="3"/>
      </w:pPr>
      <w:r>
        <w:t>3.1 Why YOLOv8</w:t>
      </w:r>
    </w:p>
    <w:p w14:paraId="54DD61ED">
      <w:pPr>
        <w:spacing w:after="200" w:line="300" w:lineRule="auto"/>
      </w:pPr>
      <w:r>
        <w:t>YOLOv8 (Ultralytics) was selected for this project for several practical reasons: it is a single-stage, anchor-free detector that offers a strong accuracy/speed tradeoff; it ships with built-in transfer learning support, a simple Python API, and native multi-object tracking integration (used in Task 2); and its smallest variant (Nano) is light enough to run in real time on CPU-only hardware — a hard requirement here, since the final deployment target is a laptop without a dedicated GPU.</w:t>
      </w:r>
    </w:p>
    <w:p w14:paraId="277A00DC">
      <w:pPr>
        <w:pStyle w:val="3"/>
      </w:pPr>
      <w:r>
        <w:t>3.2 Transfer Learning Approach</w:t>
      </w:r>
    </w:p>
    <w:p w14:paraId="57BEF5CF">
      <w:pPr>
        <w:spacing w:after="200" w:line="300" w:lineRule="auto"/>
      </w:pPr>
      <w:r>
        <w:t>Rather than training from scratch, the model starts from YOLOv8n weights pretrained on the 80-class COCO dataset. Notebook 1, Section 3 demonstrates that the stock COCO model produces no meaningful pothole detections (“pothole” is not a COCO class), motivating fine-tuning. All convolutional backbone and head weights are fine-tuned end-to-end on the pothole dataset (full fine-tuning, not a frozen-backbone / linear-probe approach), since the target domain (textured road surfaces, small irregular objects) differs substantially from COCO's everyday object categories.</w:t>
      </w:r>
    </w:p>
    <w:p w14:paraId="0C74B0FD">
      <w:pPr>
        <w:pStyle w:val="3"/>
      </w:pPr>
      <w:r>
        <w:t>3.3 Training Configuration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0B998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80" w:type="dxa"/>
            <w:tcBorders>
              <w:top w:val="single" w:color="BFBFBF" w:sz="2" w:space="0"/>
              <w:left w:val="single" w:color="BFBFBF" w:sz="2" w:space="0"/>
              <w:bottom w:val="single" w:color="BFBFBF" w:sz="2" w:space="0"/>
              <w:right w:val="single" w:color="BFBFBF" w:sz="2" w:space="0"/>
            </w:tcBorders>
            <w:shd w:val="clear" w:color="auto" w:fill="1F4E79"/>
            <w:tcMar>
              <w:top w:w="80" w:type="dxa"/>
              <w:left w:w="120" w:type="dxa"/>
              <w:bottom w:w="80" w:type="dxa"/>
              <w:right w:w="120" w:type="dxa"/>
            </w:tcMar>
            <w:vAlign w:val="center"/>
          </w:tcPr>
          <w:p w14:paraId="36C9404C">
            <w:pPr>
              <w:jc w:val="left"/>
            </w:pPr>
            <w:r>
              <w:rPr>
                <w:b/>
                <w:bCs/>
                <w:color w:val="FFFFFF"/>
              </w:rPr>
              <w:t>Hyperparameter</w:t>
            </w:r>
          </w:p>
        </w:tc>
        <w:tc>
          <w:tcPr>
            <w:tcW w:w="4680" w:type="dxa"/>
            <w:tcBorders>
              <w:top w:val="single" w:color="BFBFBF" w:sz="2" w:space="0"/>
              <w:left w:val="single" w:color="BFBFBF" w:sz="2" w:space="0"/>
              <w:bottom w:val="single" w:color="BFBFBF" w:sz="2" w:space="0"/>
              <w:right w:val="single" w:color="BFBFBF" w:sz="2" w:space="0"/>
            </w:tcBorders>
            <w:shd w:val="clear" w:color="auto" w:fill="1F4E79"/>
            <w:tcMar>
              <w:top w:w="80" w:type="dxa"/>
              <w:left w:w="120" w:type="dxa"/>
              <w:bottom w:w="80" w:type="dxa"/>
              <w:right w:w="120" w:type="dxa"/>
            </w:tcMar>
            <w:vAlign w:val="center"/>
          </w:tcPr>
          <w:p w14:paraId="7C133A5B">
            <w:pPr>
              <w:jc w:val="left"/>
            </w:pPr>
            <w:r>
              <w:rPr>
                <w:b/>
                <w:bCs/>
                <w:color w:val="FFFFFF"/>
              </w:rPr>
              <w:t>Value</w:t>
            </w:r>
          </w:p>
        </w:tc>
      </w:tr>
      <w:tr w14:paraId="6DAD9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vAlign w:val="center"/>
          </w:tcPr>
          <w:p w14:paraId="443A0AF5">
            <w:pPr>
              <w:jc w:val="left"/>
            </w:pPr>
            <w:r>
              <w:rPr>
                <w:b w:val="0"/>
                <w:bCs w:val="0"/>
              </w:rPr>
              <w:t>Base model</w:t>
            </w:r>
          </w:p>
        </w:tc>
        <w:tc>
          <w:tcPr>
            <w:tcW w:w="468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vAlign w:val="center"/>
          </w:tcPr>
          <w:p w14:paraId="7D72B359">
            <w:pPr>
              <w:jc w:val="left"/>
            </w:pPr>
            <w:r>
              <w:rPr>
                <w:b w:val="0"/>
                <w:bCs w:val="0"/>
              </w:rPr>
              <w:t>YOLOv8n (3.2M parameters, COCO-pretrained)</w:t>
            </w:r>
          </w:p>
        </w:tc>
      </w:tr>
      <w:tr w14:paraId="549B5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vAlign w:val="center"/>
          </w:tcPr>
          <w:p w14:paraId="032239D7">
            <w:pPr>
              <w:jc w:val="left"/>
            </w:pPr>
            <w:r>
              <w:rPr>
                <w:b w:val="0"/>
                <w:bCs w:val="0"/>
              </w:rPr>
              <w:t>Image size</w:t>
            </w:r>
          </w:p>
        </w:tc>
        <w:tc>
          <w:tcPr>
            <w:tcW w:w="468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vAlign w:val="center"/>
          </w:tcPr>
          <w:p w14:paraId="60B9CFC4">
            <w:pPr>
              <w:jc w:val="left"/>
            </w:pPr>
            <w:r>
              <w:rPr>
                <w:b w:val="0"/>
                <w:bCs w:val="0"/>
              </w:rPr>
              <w:t>640 × 640</w:t>
            </w:r>
          </w:p>
        </w:tc>
      </w:tr>
      <w:tr w14:paraId="25D85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vAlign w:val="center"/>
          </w:tcPr>
          <w:p w14:paraId="3FA59775">
            <w:pPr>
              <w:jc w:val="left"/>
            </w:pPr>
            <w:r>
              <w:rPr>
                <w:b w:val="0"/>
                <w:bCs w:val="0"/>
              </w:rPr>
              <w:t>Epochs</w:t>
            </w:r>
          </w:p>
        </w:tc>
        <w:tc>
          <w:tcPr>
            <w:tcW w:w="468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vAlign w:val="center"/>
          </w:tcPr>
          <w:p w14:paraId="1B4FAB0C">
            <w:pPr>
              <w:jc w:val="left"/>
            </w:pPr>
            <w:r>
              <w:rPr>
                <w:b w:val="0"/>
                <w:bCs w:val="0"/>
              </w:rPr>
              <w:t>30 (early stopping patience = 10)</w:t>
            </w:r>
          </w:p>
        </w:tc>
      </w:tr>
      <w:tr w14:paraId="3A78F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vAlign w:val="center"/>
          </w:tcPr>
          <w:p w14:paraId="24897973">
            <w:pPr>
              <w:jc w:val="left"/>
            </w:pPr>
            <w:r>
              <w:rPr>
                <w:b w:val="0"/>
                <w:bCs w:val="0"/>
              </w:rPr>
              <w:t>Batch size</w:t>
            </w:r>
          </w:p>
        </w:tc>
        <w:tc>
          <w:tcPr>
            <w:tcW w:w="468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vAlign w:val="center"/>
          </w:tcPr>
          <w:p w14:paraId="48E6CEBF">
            <w:pPr>
              <w:jc w:val="left"/>
            </w:pPr>
            <w:r>
              <w:rPr>
                <w:b w:val="0"/>
                <w:bCs w:val="0"/>
              </w:rPr>
              <w:t>16</w:t>
            </w:r>
          </w:p>
        </w:tc>
      </w:tr>
      <w:tr w14:paraId="07B04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vAlign w:val="center"/>
          </w:tcPr>
          <w:p w14:paraId="7BF933B6">
            <w:pPr>
              <w:jc w:val="left"/>
            </w:pPr>
            <w:r>
              <w:rPr>
                <w:b w:val="0"/>
                <w:bCs w:val="0"/>
              </w:rPr>
              <w:t>Optimizer</w:t>
            </w:r>
          </w:p>
        </w:tc>
        <w:tc>
          <w:tcPr>
            <w:tcW w:w="468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vAlign w:val="center"/>
          </w:tcPr>
          <w:p w14:paraId="22AA1FB7">
            <w:pPr>
              <w:jc w:val="left"/>
            </w:pPr>
            <w:r>
              <w:rPr>
                <w:b w:val="0"/>
                <w:bCs w:val="0"/>
              </w:rPr>
              <w:t>SGD (Ultralytics default, auto-tuned)</w:t>
            </w:r>
          </w:p>
        </w:tc>
      </w:tr>
      <w:tr w14:paraId="07813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vAlign w:val="center"/>
          </w:tcPr>
          <w:p w14:paraId="2C6D7632">
            <w:pPr>
              <w:jc w:val="left"/>
            </w:pPr>
            <w:r>
              <w:rPr>
                <w:b w:val="0"/>
                <w:bCs w:val="0"/>
              </w:rPr>
              <w:t>Augmentation</w:t>
            </w:r>
          </w:p>
        </w:tc>
        <w:tc>
          <w:tcPr>
            <w:tcW w:w="468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vAlign w:val="center"/>
          </w:tcPr>
          <w:p w14:paraId="5394EBD7">
            <w:pPr>
              <w:jc w:val="left"/>
            </w:pPr>
            <w:r>
              <w:rPr>
                <w:b w:val="0"/>
                <w:bCs w:val="0"/>
              </w:rPr>
              <w:t>Ultralytics default (mosaic, HSV jitter, flip, scale)</w:t>
            </w:r>
          </w:p>
        </w:tc>
      </w:tr>
      <w:tr w14:paraId="68BBE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vAlign w:val="center"/>
          </w:tcPr>
          <w:p w14:paraId="075C4441">
            <w:pPr>
              <w:jc w:val="left"/>
            </w:pPr>
            <w:r>
              <w:rPr>
                <w:b w:val="0"/>
                <w:bCs w:val="0"/>
              </w:rPr>
              <w:t>Hardware</w:t>
            </w:r>
          </w:p>
        </w:tc>
        <w:tc>
          <w:tcPr>
            <w:tcW w:w="468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vAlign w:val="center"/>
          </w:tcPr>
          <w:p w14:paraId="403701D6">
            <w:pPr>
              <w:jc w:val="left"/>
            </w:pPr>
            <w:r>
              <w:rPr>
                <w:b w:val="0"/>
                <w:bCs w:val="0"/>
              </w:rPr>
              <w:t>Google Colab, NVIDIA T4 GPU (free tier)</w:t>
            </w:r>
          </w:p>
        </w:tc>
      </w:tr>
      <w:tr w14:paraId="74784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vAlign w:val="center"/>
          </w:tcPr>
          <w:p w14:paraId="6D46C024">
            <w:pPr>
              <w:jc w:val="left"/>
            </w:pPr>
            <w:r>
              <w:rPr>
                <w:b w:val="0"/>
                <w:bCs w:val="0"/>
              </w:rPr>
              <w:t>Training time</w:t>
            </w:r>
          </w:p>
        </w:tc>
        <w:tc>
          <w:tcPr>
            <w:tcW w:w="468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vAlign w:val="center"/>
          </w:tcPr>
          <w:p w14:paraId="21D24D60">
            <w:pPr>
              <w:jc w:val="left"/>
            </w:pPr>
            <w:r>
              <w:rPr>
                <w:b w:val="0"/>
                <w:bCs w:val="0"/>
              </w:rPr>
              <w:t>~30-45 minutes (record your actual time)</w:t>
            </w:r>
          </w:p>
        </w:tc>
      </w:tr>
    </w:tbl>
    <w:p w14:paraId="556AFB6E">
      <w:pPr>
        <w:spacing w:before="200" w:after="200"/>
      </w:pPr>
    </w:p>
    <w:p w14:paraId="4B3059EC">
      <w:pPr>
        <w:spacing w:after="200" w:line="300" w:lineRule="auto"/>
      </w:pPr>
      <w:r>
        <w:t>Full configuration and code: Notebook 1, Section 4 (“01_Train_Pothole_Detector.ipynb”).</w:t>
      </w:r>
    </w:p>
    <w:p w14:paraId="5EFA792C">
      <w:pPr>
        <w:pStyle w:val="2"/>
      </w:pPr>
      <w:r>
        <w:t>4. End-to-End Pipeline Design (Task 2)</w:t>
      </w:r>
    </w:p>
    <w:p w14:paraId="4397565E">
      <w:pPr>
        <w:spacing w:after="200" w:line="300" w:lineRule="auto"/>
      </w:pPr>
      <w:r>
        <w:t>The fine-tuned detector alone only answers “is there a pothole in this single image?”. A usable system needs more: Task 2 extends it into a pipeline that handles video, avoids double-counting, and produces an actionable output.</w:t>
      </w:r>
    </w:p>
    <w:p w14:paraId="4271ACAA">
      <w:pPr>
        <w:pStyle w:val="3"/>
      </w:pPr>
      <w:r>
        <w:t>4.1 Multi-Object Tracking</w:t>
      </w:r>
    </w:p>
    <w:p w14:paraId="1916701D">
      <w:pPr>
        <w:spacing w:after="200" w:line="300" w:lineRule="auto"/>
      </w:pPr>
      <w:r>
        <w:t>Driving past a single pothole typically triggers detections across many consecutive video frames. Naively counting raw per-frame detections would wildly overstate the number of distinct potholes on a route. The pipeline uses Ultralytics' built-in ByteTrack tracker (model.track(..., persist=True, tracker='bytetrack.yaml')), which assigns a stable track ID to each pothole as it is followed across frames. The reported “unique pothole count” is the number of distinct track IDs, not the number of raw detections.</w:t>
      </w:r>
    </w:p>
    <w:p w14:paraId="50F0DD44">
      <w:pPr>
        <w:pStyle w:val="3"/>
      </w:pPr>
      <w:r>
        <w:t>4.2 Severity Scoring</w:t>
      </w:r>
    </w:p>
    <w:p w14:paraId="2E580F92">
      <w:pPr>
        <w:spacing w:after="200" w:line="300" w:lineRule="auto"/>
      </w:pPr>
      <w:r>
        <w:t>In the absence of metric depth/area information (which would require stereo cameras or LiDAR), severity is estimated using an explainable proxy: the fraction of the camera frame the detected bounding box occupies. A larger relative area implies either a larger pothole or one closer to the vehicle — both reasonable signals for repair urgency.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59D1B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tcBorders>
              <w:top w:val="single" w:color="BFBFBF" w:sz="2" w:space="0"/>
              <w:left w:val="single" w:color="BFBFBF" w:sz="2" w:space="0"/>
              <w:bottom w:val="single" w:color="BFBFBF" w:sz="2" w:space="0"/>
              <w:right w:val="single" w:color="BFBFBF" w:sz="2" w:space="0"/>
            </w:tcBorders>
            <w:shd w:val="clear" w:color="auto" w:fill="1F4E79"/>
            <w:tcMar>
              <w:top w:w="80" w:type="dxa"/>
              <w:left w:w="120" w:type="dxa"/>
              <w:bottom w:w="80" w:type="dxa"/>
              <w:right w:w="120" w:type="dxa"/>
            </w:tcMar>
            <w:vAlign w:val="center"/>
          </w:tcPr>
          <w:p w14:paraId="348C0225">
            <w:pPr>
              <w:jc w:val="left"/>
            </w:pPr>
            <w:r>
              <w:rPr>
                <w:b/>
                <w:bCs/>
                <w:color w:val="FFFFFF"/>
              </w:rPr>
              <w:t>Severity</w:t>
            </w:r>
          </w:p>
        </w:tc>
        <w:tc>
          <w:tcPr>
            <w:tcW w:w="3120" w:type="dxa"/>
            <w:tcBorders>
              <w:top w:val="single" w:color="BFBFBF" w:sz="2" w:space="0"/>
              <w:left w:val="single" w:color="BFBFBF" w:sz="2" w:space="0"/>
              <w:bottom w:val="single" w:color="BFBFBF" w:sz="2" w:space="0"/>
              <w:right w:val="single" w:color="BFBFBF" w:sz="2" w:space="0"/>
            </w:tcBorders>
            <w:shd w:val="clear" w:color="auto" w:fill="1F4E79"/>
            <w:tcMar>
              <w:top w:w="80" w:type="dxa"/>
              <w:left w:w="120" w:type="dxa"/>
              <w:bottom w:w="80" w:type="dxa"/>
              <w:right w:w="120" w:type="dxa"/>
            </w:tcMar>
            <w:vAlign w:val="center"/>
          </w:tcPr>
          <w:p w14:paraId="3EB52445">
            <w:pPr>
              <w:jc w:val="left"/>
            </w:pPr>
            <w:r>
              <w:rPr>
                <w:b/>
                <w:bCs/>
                <w:color w:val="FFFFFF"/>
              </w:rPr>
              <w:t>Relative bbox area</w:t>
            </w:r>
          </w:p>
        </w:tc>
        <w:tc>
          <w:tcPr>
            <w:tcW w:w="3120" w:type="dxa"/>
            <w:tcBorders>
              <w:top w:val="single" w:color="BFBFBF" w:sz="2" w:space="0"/>
              <w:left w:val="single" w:color="BFBFBF" w:sz="2" w:space="0"/>
              <w:bottom w:val="single" w:color="BFBFBF" w:sz="2" w:space="0"/>
              <w:right w:val="single" w:color="BFBFBF" w:sz="2" w:space="0"/>
            </w:tcBorders>
            <w:shd w:val="clear" w:color="auto" w:fill="1F4E79"/>
            <w:tcMar>
              <w:top w:w="80" w:type="dxa"/>
              <w:left w:w="120" w:type="dxa"/>
              <w:bottom w:w="80" w:type="dxa"/>
              <w:right w:w="120" w:type="dxa"/>
            </w:tcMar>
            <w:vAlign w:val="center"/>
          </w:tcPr>
          <w:p w14:paraId="47C257BB">
            <w:pPr>
              <w:jc w:val="left"/>
            </w:pPr>
            <w:r>
              <w:rPr>
                <w:b/>
                <w:bCs/>
                <w:color w:val="FFFFFF"/>
              </w:rPr>
              <w:t>Interpretation</w:t>
            </w:r>
          </w:p>
        </w:tc>
      </w:tr>
      <w:tr w14:paraId="457B5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vAlign w:val="center"/>
          </w:tcPr>
          <w:p w14:paraId="786DAEEB">
            <w:pPr>
              <w:jc w:val="left"/>
            </w:pPr>
            <w:r>
              <w:rPr>
                <w:b w:val="0"/>
                <w:bCs w:val="0"/>
              </w:rPr>
              <w:t>Low</w:t>
            </w:r>
          </w:p>
        </w:tc>
        <w:tc>
          <w:tcPr>
            <w:tcW w:w="312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vAlign w:val="center"/>
          </w:tcPr>
          <w:p w14:paraId="36A843D5">
            <w:pPr>
              <w:jc w:val="left"/>
            </w:pPr>
            <w:r>
              <w:rPr>
                <w:b w:val="0"/>
                <w:bCs w:val="0"/>
              </w:rPr>
              <w:t>&lt; 1.5% of frame</w:t>
            </w:r>
          </w:p>
        </w:tc>
        <w:tc>
          <w:tcPr>
            <w:tcW w:w="312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vAlign w:val="center"/>
          </w:tcPr>
          <w:p w14:paraId="2F8F180B">
            <w:pPr>
              <w:jc w:val="left"/>
            </w:pPr>
            <w:r>
              <w:rPr>
                <w:b w:val="0"/>
                <w:bCs w:val="0"/>
              </w:rPr>
              <w:t>Small or distant</w:t>
            </w:r>
          </w:p>
        </w:tc>
      </w:tr>
      <w:tr w14:paraId="57521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vAlign w:val="center"/>
          </w:tcPr>
          <w:p w14:paraId="6CE191D0">
            <w:pPr>
              <w:jc w:val="left"/>
            </w:pPr>
            <w:r>
              <w:rPr>
                <w:b w:val="0"/>
                <w:bCs w:val="0"/>
              </w:rPr>
              <w:t>Medium</w:t>
            </w:r>
          </w:p>
        </w:tc>
        <w:tc>
          <w:tcPr>
            <w:tcW w:w="312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vAlign w:val="center"/>
          </w:tcPr>
          <w:p w14:paraId="49CBA340">
            <w:pPr>
              <w:jc w:val="left"/>
            </w:pPr>
            <w:r>
              <w:rPr>
                <w:b w:val="0"/>
                <w:bCs w:val="0"/>
              </w:rPr>
              <w:t>1.5% – 5% of frame</w:t>
            </w:r>
          </w:p>
        </w:tc>
        <w:tc>
          <w:tcPr>
            <w:tcW w:w="312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vAlign w:val="center"/>
          </w:tcPr>
          <w:p w14:paraId="65863E18">
            <w:pPr>
              <w:jc w:val="left"/>
            </w:pPr>
            <w:r>
              <w:rPr>
                <w:b w:val="0"/>
                <w:bCs w:val="0"/>
              </w:rPr>
              <w:t>Noticeable damage</w:t>
            </w:r>
          </w:p>
        </w:tc>
      </w:tr>
      <w:tr w14:paraId="26E04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vAlign w:val="center"/>
          </w:tcPr>
          <w:p w14:paraId="2C73ECFD">
            <w:pPr>
              <w:jc w:val="left"/>
            </w:pPr>
            <w:r>
              <w:rPr>
                <w:b w:val="0"/>
                <w:bCs w:val="0"/>
              </w:rPr>
              <w:t>High</w:t>
            </w:r>
          </w:p>
        </w:tc>
        <w:tc>
          <w:tcPr>
            <w:tcW w:w="312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vAlign w:val="center"/>
          </w:tcPr>
          <w:p w14:paraId="1E29BE3B">
            <w:pPr>
              <w:jc w:val="left"/>
            </w:pPr>
            <w:r>
              <w:rPr>
                <w:b w:val="0"/>
                <w:bCs w:val="0"/>
              </w:rPr>
              <w:t>&gt; 5% of frame</w:t>
            </w:r>
          </w:p>
        </w:tc>
        <w:tc>
          <w:tcPr>
            <w:tcW w:w="312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vAlign w:val="center"/>
          </w:tcPr>
          <w:p w14:paraId="25B70761">
            <w:pPr>
              <w:jc w:val="left"/>
            </w:pPr>
            <w:r>
              <w:rPr>
                <w:b w:val="0"/>
                <w:bCs w:val="0"/>
              </w:rPr>
              <w:t>Large / close — prioritize</w:t>
            </w:r>
          </w:p>
        </w:tc>
      </w:tr>
    </w:tbl>
    <w:p w14:paraId="40C130DE">
      <w:pPr>
        <w:spacing w:before="200" w:after="200"/>
      </w:pPr>
    </w:p>
    <w:p w14:paraId="05AFF0AD">
      <w:pPr>
        <w:pStyle w:val="3"/>
      </w:pPr>
      <w:r>
        <w:t>4.3 Performance Measurement</w:t>
      </w:r>
    </w:p>
    <w:p w14:paraId="0F989EE1">
      <w:pPr>
        <w:spacing w:after="200" w:line="300" w:lineRule="auto"/>
      </w:pPr>
      <w:r>
        <w:t>Inference speed (frames per second) is measured directly during the tracking loop, since real-world feasibility depends on whether the pipeline can keep up with live video rather than only working on pre-recorded footage.</w:t>
      </w:r>
    </w:p>
    <w:p w14:paraId="6CB6BEEE">
      <w:pPr>
        <w:pStyle w:val="3"/>
      </w:pPr>
      <w:r>
        <w:t>4.4 Automated Reporting</w:t>
      </w:r>
    </w:p>
    <w:p w14:paraId="17231C0A">
      <w:pPr>
        <w:spacing w:after="200" w:line="300" w:lineRule="auto"/>
      </w:pPr>
      <w:r>
        <w:t>Output is exported as a structured CSV listing every unique pothole track (track ID, first-seen frame, confidence, severity, bounding-box geometry) — the kind of structured output a maintenance-scheduling system could ingest directly.</w:t>
      </w:r>
    </w:p>
    <w:p w14:paraId="21BD8A51">
      <w:pPr>
        <w:pStyle w:val="3"/>
      </w:pPr>
      <w:r>
        <w:t>4.5 Deployment Interface</w:t>
      </w:r>
    </w:p>
    <w:p w14:paraId="631EA086">
      <w:pPr>
        <w:spacing w:after="200" w:line="300" w:lineRule="auto"/>
      </w:pPr>
      <w:r>
        <w:t>The pipeline is wrapped in a Streamlit web application (app/streamlit_app.py) providing an image-upload tab, a video-upload-and-track tab, and a results dashboard with downloadable annotated media and CSV reports — runnable entirely on a CPU-only laptop, requiring no machine learning expertise to operate.</w:t>
      </w:r>
    </w:p>
    <w:p w14:paraId="6FE41B06">
      <w:pPr>
        <w:pStyle w:val="2"/>
      </w:pPr>
      <w:r>
        <w:t>5. Results and Performance Analysis</w:t>
      </w:r>
    </w:p>
    <w:p w14:paraId="4BB94774">
      <w:pPr>
        <w:spacing w:after="200" w:line="300" w:lineRule="auto"/>
      </w:pPr>
      <w:r>
        <w:rPr>
          <w:b/>
          <w:bCs/>
        </w:rPr>
        <w:t>Fill in this section with your own measured numbers after running Notebook 1 (detection metrics) and Notebook 2 (pipeline metrics). The tables below are templates with the exact metric names printed by the notebooks — just copy the values across.</w:t>
      </w:r>
    </w:p>
    <w:p w14:paraId="44532FC0">
      <w:pPr>
        <w:pStyle w:val="3"/>
      </w:pPr>
      <w:r>
        <w:t>5.1 Detection Performance (Notebook 1, Section 5)</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1F534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80" w:type="dxa"/>
            <w:tcBorders>
              <w:top w:val="single" w:color="BFBFBF" w:sz="2" w:space="0"/>
              <w:left w:val="single" w:color="BFBFBF" w:sz="2" w:space="0"/>
              <w:bottom w:val="single" w:color="BFBFBF" w:sz="2" w:space="0"/>
              <w:right w:val="single" w:color="BFBFBF" w:sz="2" w:space="0"/>
            </w:tcBorders>
            <w:shd w:val="clear" w:color="auto" w:fill="1F4E79"/>
            <w:tcMar>
              <w:top w:w="80" w:type="dxa"/>
              <w:left w:w="120" w:type="dxa"/>
              <w:bottom w:w="80" w:type="dxa"/>
              <w:right w:w="120" w:type="dxa"/>
            </w:tcMar>
            <w:vAlign w:val="center"/>
          </w:tcPr>
          <w:p w14:paraId="2381A8E0">
            <w:pPr>
              <w:jc w:val="left"/>
            </w:pPr>
            <w:r>
              <w:rPr>
                <w:b/>
                <w:bCs/>
                <w:color w:val="FFFFFF"/>
              </w:rPr>
              <w:t>Metric</w:t>
            </w:r>
          </w:p>
        </w:tc>
        <w:tc>
          <w:tcPr>
            <w:tcW w:w="4680" w:type="dxa"/>
            <w:tcBorders>
              <w:top w:val="single" w:color="BFBFBF" w:sz="2" w:space="0"/>
              <w:left w:val="single" w:color="BFBFBF" w:sz="2" w:space="0"/>
              <w:bottom w:val="single" w:color="BFBFBF" w:sz="2" w:space="0"/>
              <w:right w:val="single" w:color="BFBFBF" w:sz="2" w:space="0"/>
            </w:tcBorders>
            <w:shd w:val="clear" w:color="auto" w:fill="1F4E79"/>
            <w:tcMar>
              <w:top w:w="80" w:type="dxa"/>
              <w:left w:w="120" w:type="dxa"/>
              <w:bottom w:w="80" w:type="dxa"/>
              <w:right w:w="120" w:type="dxa"/>
            </w:tcMar>
            <w:vAlign w:val="center"/>
          </w:tcPr>
          <w:p w14:paraId="62071456">
            <w:pPr>
              <w:jc w:val="left"/>
            </w:pPr>
            <w:r>
              <w:rPr>
                <w:b/>
                <w:bCs/>
                <w:color w:val="FFFFFF"/>
              </w:rPr>
              <w:t>Value</w:t>
            </w:r>
          </w:p>
        </w:tc>
      </w:tr>
      <w:tr w14:paraId="2C6DA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vAlign w:val="center"/>
          </w:tcPr>
          <w:p w14:paraId="0F32EE26">
            <w:pPr>
              <w:jc w:val="left"/>
            </w:pPr>
            <w:r>
              <w:rPr>
                <w:b w:val="0"/>
                <w:bCs w:val="0"/>
              </w:rPr>
              <w:t>Precision</w:t>
            </w:r>
          </w:p>
        </w:tc>
        <w:tc>
          <w:tcPr>
            <w:tcW w:w="468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vAlign w:val="center"/>
          </w:tcPr>
          <w:p w14:paraId="1240CA09">
            <w:pPr>
              <w:jc w:val="left"/>
              <w:rPr>
                <w:rFonts w:hint="default"/>
                <w:lang w:val="en-US"/>
              </w:rPr>
            </w:pPr>
            <w:r>
              <w:rPr>
                <w:rFonts w:hint="default"/>
                <w:lang w:val="en-US"/>
              </w:rPr>
              <w:t>0.578</w:t>
            </w:r>
          </w:p>
        </w:tc>
      </w:tr>
      <w:tr w14:paraId="364FF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vAlign w:val="center"/>
          </w:tcPr>
          <w:p w14:paraId="230FDE10">
            <w:pPr>
              <w:jc w:val="left"/>
            </w:pPr>
            <w:r>
              <w:rPr>
                <w:b w:val="0"/>
                <w:bCs w:val="0"/>
              </w:rPr>
              <w:t>Recall</w:t>
            </w:r>
          </w:p>
        </w:tc>
        <w:tc>
          <w:tcPr>
            <w:tcW w:w="468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vAlign w:val="center"/>
          </w:tcPr>
          <w:p w14:paraId="7C0B3DE0">
            <w:pPr>
              <w:jc w:val="left"/>
              <w:rPr>
                <w:rFonts w:hint="default"/>
                <w:lang w:val="en-US"/>
              </w:rPr>
            </w:pPr>
            <w:r>
              <w:rPr>
                <w:rFonts w:hint="default"/>
                <w:lang w:val="en-US"/>
              </w:rPr>
              <w:t>0.451</w:t>
            </w:r>
          </w:p>
        </w:tc>
      </w:tr>
      <w:tr w14:paraId="30463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vAlign w:val="center"/>
          </w:tcPr>
          <w:p w14:paraId="1CC9EAA4">
            <w:pPr>
              <w:jc w:val="left"/>
            </w:pPr>
            <w:r>
              <w:rPr>
                <w:b w:val="0"/>
                <w:bCs w:val="0"/>
              </w:rPr>
              <w:t>F1-score</w:t>
            </w:r>
          </w:p>
        </w:tc>
        <w:tc>
          <w:tcPr>
            <w:tcW w:w="468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vAlign w:val="center"/>
          </w:tcPr>
          <w:p w14:paraId="0A2AF6B9">
            <w:pPr>
              <w:jc w:val="left"/>
              <w:rPr>
                <w:rFonts w:hint="default"/>
                <w:lang w:val="en-US"/>
              </w:rPr>
            </w:pPr>
            <w:r>
              <w:rPr>
                <w:rFonts w:hint="default"/>
                <w:lang w:val="en-US"/>
              </w:rPr>
              <w:t>0.507</w:t>
            </w:r>
          </w:p>
        </w:tc>
      </w:tr>
      <w:tr w14:paraId="74168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vAlign w:val="center"/>
          </w:tcPr>
          <w:p w14:paraId="1E473324">
            <w:pPr>
              <w:jc w:val="left"/>
            </w:pPr>
            <w:r>
              <w:rPr>
                <w:b w:val="0"/>
                <w:bCs w:val="0"/>
              </w:rPr>
              <w:t>mAP@0.50</w:t>
            </w:r>
          </w:p>
        </w:tc>
        <w:tc>
          <w:tcPr>
            <w:tcW w:w="468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vAlign w:val="center"/>
          </w:tcPr>
          <w:p w14:paraId="2F6BEC33">
            <w:pPr>
              <w:jc w:val="left"/>
              <w:rPr>
                <w:rFonts w:hint="default"/>
                <w:lang w:val="en-US"/>
              </w:rPr>
            </w:pPr>
            <w:r>
              <w:rPr>
                <w:rFonts w:hint="default"/>
                <w:lang w:val="en-US"/>
              </w:rPr>
              <w:t>0.484</w:t>
            </w:r>
          </w:p>
        </w:tc>
      </w:tr>
      <w:tr w14:paraId="4F420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vAlign w:val="center"/>
          </w:tcPr>
          <w:p w14:paraId="35CCCBF0">
            <w:pPr>
              <w:jc w:val="left"/>
            </w:pPr>
            <w:r>
              <w:rPr>
                <w:b w:val="0"/>
                <w:bCs w:val="0"/>
              </w:rPr>
              <w:t>mAP@0.50:0.95</w:t>
            </w:r>
          </w:p>
        </w:tc>
        <w:tc>
          <w:tcPr>
            <w:tcW w:w="4680" w:type="dxa"/>
            <w:tcBorders>
              <w:top w:val="single" w:color="BFBFBF" w:sz="2" w:space="0"/>
              <w:left w:val="single" w:color="BFBFBF" w:sz="2" w:space="0"/>
              <w:bottom w:val="single" w:color="BFBFBF" w:sz="2" w:space="0"/>
              <w:right w:val="single" w:color="BFBFBF" w:sz="2" w:space="0"/>
            </w:tcBorders>
            <w:tcMar>
              <w:top w:w="80" w:type="dxa"/>
              <w:left w:w="120" w:type="dxa"/>
              <w:bottom w:w="80" w:type="dxa"/>
              <w:right w:w="120" w:type="dxa"/>
            </w:tcMar>
            <w:vAlign w:val="center"/>
          </w:tcPr>
          <w:p w14:paraId="25BD96B7">
            <w:pPr>
              <w:jc w:val="left"/>
              <w:rPr>
                <w:rFonts w:hint="default"/>
                <w:lang w:val="en-US"/>
              </w:rPr>
            </w:pPr>
            <w:r>
              <w:rPr>
                <w:rFonts w:hint="default"/>
                <w:lang w:val="en-US"/>
              </w:rPr>
              <w:t>0.193</w:t>
            </w:r>
          </w:p>
        </w:tc>
      </w:tr>
    </w:tbl>
    <w:p w14:paraId="63ADC328">
      <w:pPr>
        <w:spacing w:before="200" w:after="200"/>
      </w:pPr>
      <w:r>
        <w:rPr>
          <w:b/>
          <w:bCs/>
        </w:rPr>
        <w:t xml:space="preserve">Reference point: </w:t>
      </w:r>
      <w:r>
        <w:rPr>
          <w:i/>
          <w:iCs/>
          <w:color w:val="555555"/>
          <w:sz w:val="20"/>
          <w:szCs w:val="20"/>
        </w:rPr>
        <w:t>the dataset's original authors reported mAP@0.50 ≈ 0.40 for YOLOv8n and ≈ 0.49 for YOLOv8s, training for 50 epochs at 1280px on a 24GB RTX 3090 (several hours). This project trains fewer epochs at 640px to fit a single free Colab session, so a somewhat lower mAP is expected and reasonable — explain this tradeoff in your discussion rather than treating it as a shortfall.</w:t>
      </w:r>
    </w:p>
    <w:p w14:paraId="55D0304A">
      <w:pPr>
        <w:pStyle w:val="2"/>
      </w:pPr>
      <w:bookmarkStart w:id="0" w:name="_GoBack"/>
      <w:bookmarkEnd w:id="0"/>
      <w:r>
        <w:t>6. Demonstration</w:t>
      </w:r>
    </w:p>
    <w:p w14:paraId="703FE66D">
      <w:pPr>
        <w:spacing w:after="200" w:line="300" w:lineRule="auto"/>
      </w:pPr>
      <w:r>
        <w:t>The working system can be demonstrated at two levels:</w:t>
      </w:r>
    </w:p>
    <w:p w14:paraId="171E088E">
      <w:pPr>
        <w:pStyle w:val="16"/>
        <w:numPr>
          <w:ilvl w:val="0"/>
          <w:numId w:val="2"/>
        </w:numPr>
        <w:spacing w:after="120"/>
      </w:pPr>
      <w:r>
        <w:t>Notebook walkthrough — Notebook 1 (training + evaluation) and Notebook 2 (tracking + reporting), run live in Google Colab.</w:t>
      </w:r>
    </w:p>
    <w:p w14:paraId="52222E99">
      <w:pPr>
        <w:pStyle w:val="16"/>
        <w:numPr>
          <w:ilvl w:val="0"/>
          <w:numId w:val="2"/>
        </w:numPr>
        <w:spacing w:after="120"/>
      </w:pPr>
      <w:r>
        <w:t>Live application — the Streamlit app (streamlit run streamlit_app.py), demonstrating image upload → detection → severity-tagged results → downloadable report, and video upload → tracking → unique pothole count → downloadable report, all running on ordinary CPU hardware.</w:t>
      </w:r>
    </w:p>
    <w:p w14:paraId="3E99DDCF">
      <w:pPr>
        <w:spacing w:after="200" w:line="300" w:lineRule="auto"/>
      </w:pPr>
      <w:r>
        <w:t>Suggested demo flow for a presentation: open the app, upload 2–3 contrasting road images (e.g. a clean road, a road with one obvious pothole, a road with several), then upload a short driving video to show the tracking/counting behavior live.</w:t>
      </w:r>
    </w:p>
    <w:p w14:paraId="2651C398">
      <w:pPr>
        <w:pStyle w:val="2"/>
      </w:pPr>
      <w:r>
        <w:t>7. Challenges and Limitations</w:t>
      </w:r>
    </w:p>
    <w:p w14:paraId="6831EDCC">
      <w:pPr>
        <w:pStyle w:val="3"/>
      </w:pPr>
      <w:r>
        <w:t>7.1 Small Object Detection</w:t>
      </w:r>
    </w:p>
    <w:p w14:paraId="7E4E33D2">
      <w:pPr>
        <w:spacing w:after="200" w:line="300" w:lineRule="auto"/>
      </w:pPr>
      <w:r>
        <w:t>As shown by the dataset's bounding-box-size distribution, many potholes occupy a small fraction of the frame, especially when photographed from a moving vehicle at a distance. Small-object detection is a known hard problem for CNN-based detectors because spatial information is progressively downsampled through the network's backbone; this is reflected in lower recall on distant or partially-occluded potholes.</w:t>
      </w:r>
    </w:p>
    <w:p w14:paraId="1115310A">
      <w:pPr>
        <w:pStyle w:val="3"/>
      </w:pPr>
      <w:r>
        <w:t>7.2 Domain Variability</w:t>
      </w:r>
    </w:p>
    <w:p w14:paraId="7F32FDB1">
      <w:pPr>
        <w:spacing w:after="200" w:line="300" w:lineRule="auto"/>
      </w:pPr>
      <w:r>
        <w:t>The dataset combines images from multiple sources, cameras, and lighting/weather conditions. Performance is expected to degrade on conditions not well represented in training data — for example, heavy rain or standing water obscuring pothole edges, which is a particularly relevant failure mode for monsoon-affected cities.</w:t>
      </w:r>
    </w:p>
    <w:p w14:paraId="3EDFEEBA">
      <w:pPr>
        <w:pStyle w:val="3"/>
      </w:pPr>
      <w:r>
        <w:t>7.3 Severity Heuristic is Not Calibrated</w:t>
      </w:r>
    </w:p>
    <w:p w14:paraId="04D35824">
      <w:pPr>
        <w:spacing w:after="200" w:line="300" w:lineRule="auto"/>
      </w:pPr>
      <w:r>
        <w:t>The severity scoring rule (relative bounding-box area) is a simple, explainable proxy, not a physically calibrated depth or area measurement. It does not account for camera mounting height, lens distortion, or vehicle speed, and would need calibration against ground-truth pothole measurements before being used for real repair-budget decisions.</w:t>
      </w:r>
    </w:p>
    <w:p w14:paraId="60F92195">
      <w:pPr>
        <w:pStyle w:val="3"/>
      </w:pPr>
      <w:r>
        <w:t>7.4 Compute Constraints</w:t>
      </w:r>
    </w:p>
    <w:p w14:paraId="0AAD5D7A">
      <w:pPr>
        <w:spacing w:after="200" w:line="300" w:lineRule="auto"/>
      </w:pPr>
      <w:r>
        <w:t>Training was constrained to a single free Google Colab session (time-limited GPU access) and a reduced image resolution (640px vs. the 1280px used in higher-resource reference experiments), which trades some accuracy for practicality. No dedicated local GPU was available for this project, which also shaped the choice of the lightweight YOLOv8 Nano variant for the deployment target.</w:t>
      </w:r>
    </w:p>
    <w:p w14:paraId="76F8C386">
      <w:pPr>
        <w:pStyle w:val="3"/>
      </w:pPr>
      <w:r>
        <w:t>7.5 Annotation Noise</w:t>
      </w:r>
    </w:p>
    <w:p w14:paraId="00BFC1E7">
      <w:pPr>
        <w:spacing w:after="200" w:line="300" w:lineRule="auto"/>
      </w:pPr>
      <w:r>
        <w:t>As with most real-world, multi-source datasets, some bounding-box annotations are likely imprecise or inconsistent across the different original data sources, which places a ceiling on achievable validation metrics independent of model capacity.</w:t>
      </w:r>
    </w:p>
    <w:p w14:paraId="722C35E3">
      <w:pPr>
        <w:pStyle w:val="2"/>
      </w:pPr>
      <w:r>
        <w:t>8. Future Improvements</w:t>
      </w:r>
    </w:p>
    <w:p w14:paraId="498C4A36">
      <w:pPr>
        <w:pStyle w:val="16"/>
        <w:numPr>
          <w:ilvl w:val="0"/>
          <w:numId w:val="1"/>
        </w:numPr>
        <w:spacing w:after="120"/>
      </w:pPr>
      <w:r>
        <w:t>GPS + timestamp fusion: tag each detected pothole with a map location, turning the CSV report into an actual geo-referenced maintenance map.</w:t>
      </w:r>
    </w:p>
    <w:p w14:paraId="00A41592">
      <w:pPr>
        <w:pStyle w:val="16"/>
        <w:numPr>
          <w:ilvl w:val="0"/>
          <w:numId w:val="1"/>
        </w:numPr>
        <w:spacing w:after="120"/>
      </w:pPr>
      <w:r>
        <w:t>Multi-class taxonomy: extend beyond a single 'pothole' class to cracks, raveling, faded lane markings, and other road-damage categories (e.g. using the RDD2022 dataset).</w:t>
      </w:r>
    </w:p>
    <w:p w14:paraId="6D05BDFB">
      <w:pPr>
        <w:pStyle w:val="16"/>
        <w:numPr>
          <w:ilvl w:val="0"/>
          <w:numId w:val="1"/>
        </w:numPr>
        <w:spacing w:after="120"/>
      </w:pPr>
      <w:r>
        <w:t>Calibrated severity model: replace the bounding-box-area heuristic with a small regression model trained on human-rated severity labels, or incorporate stereo depth estimation.</w:t>
      </w:r>
    </w:p>
    <w:p w14:paraId="6CA870BE">
      <w:pPr>
        <w:pStyle w:val="16"/>
        <w:numPr>
          <w:ilvl w:val="0"/>
          <w:numId w:val="1"/>
        </w:numPr>
        <w:spacing w:after="120"/>
      </w:pPr>
      <w:r>
        <w:t>Larger backbone for higher accuracy: revisit YOLOv8s/m once more GPU time is available, given the optional Nano-vs-Small comparison in Notebook 1, Section 7.</w:t>
      </w:r>
    </w:p>
    <w:p w14:paraId="353145EE">
      <w:pPr>
        <w:pStyle w:val="16"/>
        <w:numPr>
          <w:ilvl w:val="0"/>
          <w:numId w:val="1"/>
        </w:numPr>
        <w:spacing w:after="120"/>
      </w:pPr>
      <w:r>
        <w:t>Edge deployment: export to ONNX/TFLite (Notebook 2, Section 6) and deploy on a low-power device such as a Raspberry Pi mounted behind a vehicle windshield, for genuinely continuous monitoring rather than upload-and-process.</w:t>
      </w:r>
    </w:p>
    <w:p w14:paraId="42ECD9C8">
      <w:pPr>
        <w:pStyle w:val="16"/>
        <w:numPr>
          <w:ilvl w:val="0"/>
          <w:numId w:val="1"/>
        </w:numPr>
        <w:spacing w:after="120"/>
      </w:pPr>
      <w:r>
        <w:t>Active learning loop: route low-confidence or disputed detections back to a human reviewer to progressively improve the model on locally collected (e.g. Karachi-specific) road imagery.</w:t>
      </w:r>
    </w:p>
    <w:p w14:paraId="2A2A4DB1">
      <w:pPr>
        <w:pStyle w:val="2"/>
      </w:pPr>
      <w:r>
        <w:t>9. Conclusion</w:t>
      </w:r>
    </w:p>
    <w:p w14:paraId="5E55FD2B">
      <w:pPr>
        <w:spacing w:after="200" w:line="300" w:lineRule="auto"/>
      </w:pPr>
      <w:r>
        <w:t>This project demonstrates a complete, deployable computer vision pipeline for an everyday infrastructure problem: fine-tuning YOLOv8 via transfer learning on a real open pothole dataset (Task 1), then extending it into a tracking-based video pipeline with severity scoring and automated reporting, wrapped in a usable web application (Task 2). The system runs end-to-end on accessible, free-tier compute — Google Colab for training, an ordinary CPU laptop for deployment — which was a deliberate design constraint reflecting realistic resource availability rather than an idealized GPU-rich setup. While the current severity scoring and single-class detection are simplifications appropriate for a portfolio-scale project, the architecture (detect → track → score → report → deploy) generalizes directly to more sophisticated, production-grade road-monitoring systems.</w:t>
      </w:r>
    </w:p>
    <w:p w14:paraId="3E4D28D1">
      <w:pPr>
        <w:pStyle w:val="2"/>
      </w:pPr>
      <w:r>
        <w:t>References</w:t>
      </w:r>
    </w:p>
    <w:p w14:paraId="4ABDA7C3">
      <w:pPr>
        <w:spacing w:after="200" w:line="300" w:lineRule="auto"/>
      </w:pPr>
      <w:r>
        <w:t>Ultralytics YOLOv8 documentation. https://docs.ultralytics.com/</w:t>
      </w:r>
    </w:p>
    <w:p w14:paraId="27FE6909">
      <w:pPr>
        <w:spacing w:after="200" w:line="300" w:lineRule="auto"/>
      </w:pPr>
      <w:r>
        <w:t>Rath, S. Train YOLOv8 on Custom Dataset — A Complete Tutorial. LearnOpenCV. https://learnopencv.com/train-yolov8-on-custom-dataset/ (dataset source and reference benchmark figures).</w:t>
      </w:r>
    </w:p>
    <w:p w14:paraId="5DB7942E">
      <w:pPr>
        <w:spacing w:after="200" w:line="300" w:lineRule="auto"/>
      </w:pPr>
      <w:r>
        <w:t>ByteTrack: Multi-Object Tracking by Associating Every Detection Box. https://github.com/ifzhang/ByteTrack</w:t>
      </w:r>
    </w:p>
    <w:p w14:paraId="46120909">
      <w:pPr>
        <w:spacing w:after="200" w:line="300" w:lineRule="auto"/>
      </w:pPr>
      <w:r>
        <w:t>RDD2022: Road Damage Dataset. https://github.com/sekilab/RoadDamageDetector</w:t>
      </w:r>
    </w:p>
    <w:p w14:paraId="6FA50CF4">
      <w:pPr>
        <w:spacing w:after="200" w:line="300" w:lineRule="auto"/>
      </w:pPr>
      <w:r>
        <w:t>World Health Organization. Global Status Report on Road Safety.</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B4A754">
    <w:pPr>
      <w:jc w:val="center"/>
    </w:pPr>
    <w:r>
      <w:rPr>
        <w:color w:val="808080"/>
        <w:sz w:val="16"/>
        <w:szCs w:val="16"/>
      </w:rPr>
      <w:t xml:space="preserve">Page </w:t>
    </w:r>
    <w:r>
      <w:rPr>
        <w:color w:val="808080"/>
        <w:sz w:val="16"/>
        <w:szCs w:val="16"/>
      </w:rPr>
      <w:fldChar w:fldCharType="begin"/>
    </w:r>
    <w:r>
      <w:rPr>
        <w:color w:val="808080"/>
        <w:sz w:val="16"/>
        <w:szCs w:val="16"/>
      </w:rPr>
      <w:instrText xml:space="preserve">PAGE</w:instrText>
    </w:r>
    <w:r>
      <w:rPr>
        <w:color w:val="808080"/>
        <w:sz w:val="16"/>
        <w:szCs w:val="16"/>
      </w:rPr>
      <w:fldChar w:fldCharType="separate"/>
    </w:r>
    <w:r>
      <w:rPr>
        <w:color w:val="808080"/>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8DC321">
    <w:pPr>
      <w:tabs>
        <w:tab w:val="right" w:pos="9026"/>
      </w:tabs>
    </w:pPr>
    <w:r>
      <w:rPr>
        <w:color w:val="808080"/>
        <w:sz w:val="16"/>
        <w:szCs w:val="16"/>
      </w:rPr>
      <w:t>RoadGuard AI — Pothole Detection</w:t>
    </w:r>
    <w:r>
      <w:rPr>
        <w:color w:val="808080"/>
        <w:sz w:val="16"/>
        <w:szCs w:val="16"/>
      </w:rPr>
      <w:tab/>
      <w:t>Computer Vision Module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548321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pBdr>
        <w:bottom w:val="single" w:color="1F4E79" w:sz="6" w:space="4"/>
      </w:pBdr>
      <w:spacing w:before="360" w:after="200"/>
      <w:outlineLvl w:val="0"/>
    </w:pPr>
    <w:rPr>
      <w:rFonts w:ascii="Arial" w:hAnsi="Arial" w:eastAsia="Arial" w:cs="Arial"/>
      <w:b/>
      <w:bCs/>
      <w:color w:val="1F4E79"/>
      <w:sz w:val="30"/>
      <w:szCs w:val="30"/>
    </w:rPr>
  </w:style>
  <w:style w:type="paragraph" w:styleId="3">
    <w:name w:val="heading 2"/>
    <w:next w:val="1"/>
    <w:qFormat/>
    <w:uiPriority w:val="0"/>
    <w:pPr>
      <w:spacing w:before="260" w:after="140"/>
      <w:outlineLvl w:val="1"/>
    </w:pPr>
    <w:rPr>
      <w:rFonts w:ascii="Arial" w:hAnsi="Arial" w:eastAsia="Arial" w:cs="Arial"/>
      <w:b/>
      <w:bCs/>
      <w:color w:val="2E2E2E"/>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TotalTime>5</TotalTime>
  <ScaleCrop>false</ScaleCrop>
  <LinksUpToDate>false</LinksUpToDate>
  <Application>WPS Office_12.2.0.23203_F1E327BC-269C-435d-A152-05C5408002CA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2026-06-21T08:41:00Z</dcterms:created>
  <dc:creator>RoadGuard AI Project</dc:creator>
  <cp:lastModifiedBy>Administrator</cp:lastModifiedBy>
  <dcterms:modified xsi:type="dcterms:W3CDTF">2026-06-25T14:14:32Z</dcterms:modified>
  <dc:title>RoadGuard AI - Pothole Detection Project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40257257FB6848479FED24C0DC30CBDF_12</vt:lpwstr>
  </property>
</Properties>
</file>