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Georgia" w:cs="Georgia" w:eastAsia="Georgia" w:hAnsi="Georgia"/>
          <w:b/>
          <w:bCs/>
          <w:color w:val="5D3A1A"/>
          <w:sz w:val="36"/>
          <w:szCs w:val="36"/>
        </w:rPr>
        <w:t xml:space="preserve">MANTA ASSOCIADOS</w:t>
      </w:r>
    </w:p>
    <w:p>
      <w:pPr>
        <w:spacing w:after="400"/>
        <w:jc w:val="center"/>
      </w:pPr>
      <w:r>
        <w:rPr>
          <w:color w:val="C45A2B"/>
          <w:sz w:val="22"/>
          <w:szCs w:val="22"/>
        </w:rPr>
        <w:t xml:space="preserve">Consultoria em Infraestrutura e Engenharia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D3A1A"/>
          <w:sz w:val="44"/>
          <w:szCs w:val="44"/>
        </w:rPr>
        <w:t xml:space="preserve">PROPOSTA TÉCNICO-COMERCIAL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[Objeto resumido em uma linha — ex.: Apoio à Gestão Integral da Concessão — {Projeto}]</w:t>
      </w:r>
    </w:p>
    <w:p>
      <w:pPr>
        <w:spacing w:after="120"/>
      </w:pPr>
      <w:r>
        <w:rPr>
          <w:sz w:val="21"/>
          <w:szCs w:val="21"/>
        </w:rPr>
        <w:t xml:space="preserve">ID do Documento: MNT-AAAA-COM-NNNN</w:t>
      </w:r>
    </w:p>
    <w:p>
      <w:pPr>
        <w:spacing w:after="120"/>
      </w:pPr>
      <w:r>
        <w:rPr>
          <w:sz w:val="21"/>
          <w:szCs w:val="21"/>
        </w:rPr>
        <w:t xml:space="preserve">Tipo: [Tipo A — PTC] / [Tipo B — PRT] / [PRC] — REV_00 (ou sufixo de letra _A/_B/_C para revisão em processo regulatório público)</w:t>
      </w:r>
    </w:p>
    <w:p>
      <w:pPr>
        <w:spacing w:after="120"/>
      </w:pPr>
      <w:r>
        <w:rPr>
          <w:sz w:val="21"/>
          <w:szCs w:val="21"/>
        </w:rPr>
        <w:t xml:space="preserve">Destinatário: [Razão social do cliente]</w:t>
      </w:r>
    </w:p>
    <w:p>
      <w:pPr>
        <w:spacing w:after="120"/>
      </w:pPr>
      <w:r>
        <w:rPr>
          <w:sz w:val="21"/>
          <w:szCs w:val="21"/>
        </w:rPr>
        <w:t xml:space="preserve">Data: [DD de mês de AAAA]</w:t>
      </w:r>
    </w:p>
    <w:p>
      <w:pPr>
        <w:spacing w:after="600"/>
      </w:pPr>
      <w:r>
        <w:rPr>
          <w:b/>
          <w:bCs/>
          <w:color w:val="C45A2B"/>
          <w:sz w:val="21"/>
          <w:szCs w:val="21"/>
        </w:rPr>
        <w:t xml:space="preserve">Classificação: CONFIDENCIAL</w:t>
      </w:r>
    </w:p>
    <w:p>
      <w:pPr>
        <w:pBdr>
          <w:top w:val="single" w:color="C45A2B" w:sz="12" w:space="4"/>
        </w:pBdr>
        <w:spacing w:before="300"/>
      </w:pPr>
      <w:r>
        <w:rPr>
          <w:color w:val="444444"/>
          <w:sz w:val="18"/>
          <w:szCs w:val="18"/>
        </w:rPr>
        <w:t xml:space="preserve">Manta Consultoria Ltda. — CNPJ 56.063.961/0001-08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Av. Marcos Penteado de Ulhoa Rodrigues, 939, andar 8, sala 850, Torre I – Edif. Jacarandá, Tamboré, Barueri – SP</w:t>
      </w:r>
    </w:p>
    <w:p>
      <w:r>
        <w:br w:type="page"/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Sumário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300"/>
      </w:tblGrid>
      <w:tr>
        <w:tc>
          <w:tcPr>
            <w:tcW w:type="dxa" w:w="12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53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Introdução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Apresentação da Manta, contexto do projeto, histórico de relacionamento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Sumário Executivo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Síntese em 5 cards: Objeto/Escopo/Prazos/Preço/Entregáveis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Objeto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Descrição formal do que será contratado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Escopo dos Serviços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Frentes de atuação detalhadas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Documentação a ser Disponibilizada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O que o cliente precisa fornecer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Entregáveis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Lista de produtos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Fora do Escopo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Exclusões explícitas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Prazo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Duração, fases, cronograma orientativo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Dos Casos Omissos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Tratamento de situações imprevistas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Benefícios e Valor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Proposta de valor + Cláusula IA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Equipe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Modelo de alocação, perfis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Modalidade Contratual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HH, preço fixo, success fee, híbrida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Preço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Tarifa × Success Fee sempre segregados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Medição e Pagamento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Fluxo mensal + cláusula de atraso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Não Aliciamento e Confidencialidade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24 meses, multa 10×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Validade da Proposta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30 dias corridos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Contato Comercial e Dados da Empresa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Dados fixos da proponente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Limitação de Responsabilidade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Atuação consultiva; limite = valor pago</w:t>
            </w:r>
          </w:p>
        </w:tc>
      </w:tr>
      <w:tr>
        <w:tc>
          <w:tcPr>
            <w:tcW w:type="dxa" w:w="1200"/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Disclaimer</w:t>
            </w:r>
          </w:p>
        </w:tc>
        <w:tc>
          <w:tcPr>
            <w:tcW w:type="dxa" w:w="5300"/>
          </w:tcPr>
          <w:p>
            <w:r>
              <w:rPr>
                <w:sz w:val="19"/>
                <w:szCs w:val="19"/>
              </w:rPr>
              <w:t xml:space="preserve">Confidencialidade, PI, validade</w:t>
            </w:r>
          </w:p>
        </w:tc>
      </w:tr>
      <w:tr>
        <w:tc>
          <w:tcPr>
            <w:tcW w:type="dxa" w:w="1200"/>
            <w:shd w:fill="F2ECE8" w:val="clear"/>
          </w:tcPr>
          <w:p>
            <w:r>
              <w:rPr>
                <w:sz w:val="19"/>
                <w:szCs w:val="19"/>
              </w:rPr>
              <w:t xml:space="preserve">Anexo I</w:t>
            </w:r>
          </w:p>
        </w:tc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Apresentação da Empresa</w:t>
            </w:r>
          </w:p>
        </w:tc>
        <w:tc>
          <w:tcPr>
            <w:tcW w:type="dxa" w:w="5300"/>
            <w:shd w:fill="F2ECE8" w:val="clear"/>
          </w:tcPr>
          <w:p>
            <w:r>
              <w:rPr>
                <w:sz w:val="19"/>
                <w:szCs w:val="19"/>
              </w:rPr>
              <w:t xml:space="preserve">Credenciais, projetos, equipe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Sumário Executivo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Síntese em 5 cards do objeto, escopo, prazos, preço e entregáveis — o detalhamento completo está nas seções indicadas. Não é uma das 18 seções canônicas, é um adicional de valor.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1 · Objeto (Seção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[O que a Manta entrega, com quem, e o modelo de atuação em fases, se houver]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2 · Escopo (Seção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[Frentes de atuação principais; ferramentas de apoio (SaaS) se aplicável]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3 · Prazos (Seção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[Duração, fases, marcos principais]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4 · Preço (Seção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[Quadro-resumo de valores fixos/recorrentes; Success Fee sempre à parte, com nota de exigibilidade por formalização; referência à cláusula de atraso]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5 · Entregáveis (Seção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[Lista curta dos produtos principais]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Rastreabilidade — Objeto → Seção 2 · Escopo → Seção 3 · Prazos → Seção 7 · Preço → Seção 12 · Pagamento e exigibilidade do êxito → Seção 13 · Entregáveis → Seção 5.</w:t>
      </w:r>
    </w:p>
    <w:p>
      <w:r>
        <w:br w:type="page"/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1. Introdução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Apresentação da Manta ao cliente destinatário, contexto do projeto/edital/EVTEA que origina a proposta, e histórico de relacionamento prévio com o cliente ou com o ativo (se houver).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2. Objeto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Descrição formal do que será contratado.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3. Escopo dos Serviços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Frentes de atuação detalhadas (3.1, 3.2, 3.3...). Se houver Comitê Técnico + Ferramentas de Apoio (SaaS), descrever os módulos e a base de conhecimento (RAG) se aplicável.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4. Documentação a ser Disponibilizada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O que o cliente precisa fornecer para a execução dos serviços.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5. Entregáveis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Lista de produtos (relatórios, dashboards, pareceres) — separar por frente/trilha se houver mais de uma.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6. Fora do Escopo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Exclusões explícitas — inclui, quando aplicável, que decisões de negócio/investimento permanecem de competência exclusiva do cliente.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7. Prazo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Duração, fases, cronograma orientativo. Indicar regra de renovação automática e antecedência mínima para não renovação, se aplicável.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8. Dos Casos Omissos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Tratamento de situações imprevistas não cobertas pela proposta.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9. Benefícios e Valor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Proposta de valor (conhecimento, independência, confiabilidade). Cláusula IA — sempre incluir (texto padrão abaixo):</w:t>
      </w:r>
    </w:p>
    <w:p>
      <w:pPr>
        <w:spacing w:after="120"/>
      </w:pPr>
      <w:r>
        <w:rPr>
          <w:sz w:val="21"/>
          <w:szCs w:val="21"/>
        </w:rPr>
        <w:t xml:space="preserve">A MANTA integra recursos de Inteligência Artificial de forma estruturada e sistemática às suas atividades técnicas e analíticas, sempre em apoio — nunca em substituição — ao julgamento técnico sênior. Os recursos de IA são aplicados nos processos de leitura e extração estruturada de dados, identificação de inconsistências e divergências entre registros, cruzamento de informações entre frentes de atuação, consolidação de evidências e geração assistida de relatórios técnicos. Todos os produtos gerados com apoio de IA passam por revisão e validação de profissionais sêniores da MANTA antes da emissão ao cliente.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⚠️ Nunca citar "Manta Mestro" ou a arquitetura interna de IA (agentes por segmento, orquestração, códigos "Manta NN") no texto entregue ao cliente.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10. Equipe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Modelo de alocação, perfis, atuação conjunta entre trilhas/frentes, se houver.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11. Modalidade Contratual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HH, preço fixo, success fee, ou modalidade híbrida.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11.1 Tabela Tarifária Padrão da MANTA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Base 176h/mês. Valores já incluem encargos, overhead e margem — sem custos adicionais exceto deslocamentos (Seção 12).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350"/>
        <w:gridCol w:w="1550"/>
      </w:tblGrid>
      <w:tr>
        <w:tc>
          <w:tcPr>
            <w:tcW w:type="dxa" w:w="32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135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R$/h</w:t>
            </w:r>
          </w:p>
        </w:tc>
        <w:tc>
          <w:tcPr>
            <w:tcW w:type="dxa" w:w="155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Hora extra (1,5×)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Diretoria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Sócio Diretor / Consultor Internacional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900,00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1.350,00</w:t>
            </w:r>
          </w:p>
        </w:tc>
      </w:tr>
      <w:tr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Diretoria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Diretor de Infraestrutura</w:t>
            </w:r>
          </w:p>
        </w:tc>
        <w:tc>
          <w:tcPr>
            <w:tcW w:type="dxa" w:w="1350"/>
            <w:shd w:fill="F2ECE8" w:val="clear"/>
          </w:tcPr>
          <w:p>
            <w:r>
              <w:rPr>
                <w:sz w:val="19"/>
                <w:szCs w:val="19"/>
              </w:rPr>
              <w:t xml:space="preserve">700,00</w:t>
            </w:r>
          </w:p>
        </w:tc>
        <w:tc>
          <w:tcPr>
            <w:tcW w:type="dxa" w:w="1550"/>
            <w:shd w:fill="F2ECE8" w:val="clear"/>
          </w:tcPr>
          <w:p>
            <w:r>
              <w:rPr>
                <w:sz w:val="19"/>
                <w:szCs w:val="19"/>
              </w:rPr>
              <w:t xml:space="preserve">1.050,00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Master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550,00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825,00</w:t>
            </w:r>
          </w:p>
        </w:tc>
      </w:tr>
      <w:tr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Sênior</w:t>
            </w:r>
          </w:p>
        </w:tc>
        <w:tc>
          <w:tcPr>
            <w:tcW w:type="dxa" w:w="1350"/>
            <w:shd w:fill="F2ECE8" w:val="clear"/>
          </w:tcPr>
          <w:p>
            <w:r>
              <w:rPr>
                <w:sz w:val="19"/>
                <w:szCs w:val="19"/>
              </w:rPr>
              <w:t xml:space="preserve">522,50</w:t>
            </w:r>
          </w:p>
        </w:tc>
        <w:tc>
          <w:tcPr>
            <w:tcW w:type="dxa" w:w="1550"/>
            <w:shd w:fill="F2ECE8" w:val="clear"/>
          </w:tcPr>
          <w:p>
            <w:r>
              <w:rPr>
                <w:sz w:val="19"/>
                <w:szCs w:val="19"/>
              </w:rPr>
              <w:t xml:space="preserve">783,75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Pleno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496,38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744,57</w:t>
            </w:r>
          </w:p>
        </w:tc>
      </w:tr>
      <w:tr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Especialista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Master</w:t>
            </w:r>
          </w:p>
        </w:tc>
        <w:tc>
          <w:tcPr>
            <w:tcW w:type="dxa" w:w="1350"/>
            <w:shd w:fill="F2ECE8" w:val="clear"/>
          </w:tcPr>
          <w:p>
            <w:r>
              <w:rPr>
                <w:sz w:val="19"/>
                <w:szCs w:val="19"/>
              </w:rPr>
              <w:t xml:space="preserve">500,00</w:t>
            </w:r>
          </w:p>
        </w:tc>
        <w:tc>
          <w:tcPr>
            <w:tcW w:type="dxa" w:w="1550"/>
            <w:shd w:fill="F2ECE8" w:val="clear"/>
          </w:tcPr>
          <w:p>
            <w:r>
              <w:rPr>
                <w:sz w:val="19"/>
                <w:szCs w:val="19"/>
              </w:rPr>
              <w:t xml:space="preserve">750,00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Especialista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Sênior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475,00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712,50</w:t>
            </w:r>
          </w:p>
        </w:tc>
      </w:tr>
      <w:tr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Especialista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Pleno</w:t>
            </w:r>
          </w:p>
        </w:tc>
        <w:tc>
          <w:tcPr>
            <w:tcW w:type="dxa" w:w="1350"/>
            <w:shd w:fill="F2ECE8" w:val="clear"/>
          </w:tcPr>
          <w:p>
            <w:r>
              <w:rPr>
                <w:sz w:val="19"/>
                <w:szCs w:val="19"/>
              </w:rPr>
              <w:t xml:space="preserve">470,00</w:t>
            </w:r>
          </w:p>
        </w:tc>
        <w:tc>
          <w:tcPr>
            <w:tcW w:type="dxa" w:w="1550"/>
            <w:shd w:fill="F2ECE8" w:val="clear"/>
          </w:tcPr>
          <w:p>
            <w:r>
              <w:rPr>
                <w:sz w:val="19"/>
                <w:szCs w:val="19"/>
              </w:rPr>
              <w:t xml:space="preserve">705,00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Especialista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Júnior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470,00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705,00</w:t>
            </w:r>
          </w:p>
        </w:tc>
      </w:tr>
      <w:tr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Engenharia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Master</w:t>
            </w:r>
          </w:p>
        </w:tc>
        <w:tc>
          <w:tcPr>
            <w:tcW w:type="dxa" w:w="1350"/>
            <w:shd w:fill="F2ECE8" w:val="clear"/>
          </w:tcPr>
          <w:p>
            <w:r>
              <w:rPr>
                <w:sz w:val="19"/>
                <w:szCs w:val="19"/>
              </w:rPr>
              <w:t xml:space="preserve">561,00</w:t>
            </w:r>
          </w:p>
        </w:tc>
        <w:tc>
          <w:tcPr>
            <w:tcW w:type="dxa" w:w="1550"/>
            <w:shd w:fill="F2ECE8" w:val="clear"/>
          </w:tcPr>
          <w:p>
            <w:r>
              <w:rPr>
                <w:sz w:val="19"/>
                <w:szCs w:val="19"/>
              </w:rPr>
              <w:t xml:space="preserve">841,50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Engenharia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Sênior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532,95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799,43</w:t>
            </w:r>
          </w:p>
        </w:tc>
      </w:tr>
      <w:tr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Engenharia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Pleno</w:t>
            </w:r>
          </w:p>
        </w:tc>
        <w:tc>
          <w:tcPr>
            <w:tcW w:type="dxa" w:w="1350"/>
            <w:shd w:fill="F2ECE8" w:val="clear"/>
          </w:tcPr>
          <w:p>
            <w:r>
              <w:rPr>
                <w:sz w:val="19"/>
                <w:szCs w:val="19"/>
              </w:rPr>
              <w:t xml:space="preserve">506,30</w:t>
            </w:r>
          </w:p>
        </w:tc>
        <w:tc>
          <w:tcPr>
            <w:tcW w:type="dxa" w:w="1550"/>
            <w:shd w:fill="F2ECE8" w:val="clear"/>
          </w:tcPr>
          <w:p>
            <w:r>
              <w:rPr>
                <w:sz w:val="19"/>
                <w:szCs w:val="19"/>
              </w:rPr>
              <w:t xml:space="preserve">759,45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Engenharia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Júnior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480,99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721,49</w:t>
            </w:r>
          </w:p>
        </w:tc>
      </w:tr>
      <w:tr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Analista (Engenharia/Software)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Sênior</w:t>
            </w:r>
          </w:p>
        </w:tc>
        <w:tc>
          <w:tcPr>
            <w:tcW w:type="dxa" w:w="1350"/>
            <w:shd w:fill="F2ECE8" w:val="clear"/>
          </w:tcPr>
          <w:p>
            <w:r>
              <w:rPr>
                <w:sz w:val="19"/>
                <w:szCs w:val="19"/>
              </w:rPr>
              <w:t xml:space="preserve">285,00</w:t>
            </w:r>
          </w:p>
        </w:tc>
        <w:tc>
          <w:tcPr>
            <w:tcW w:type="dxa" w:w="1550"/>
            <w:shd w:fill="F2ECE8" w:val="clear"/>
          </w:tcPr>
          <w:p>
            <w:r>
              <w:rPr>
                <w:sz w:val="19"/>
                <w:szCs w:val="19"/>
              </w:rPr>
              <w:t xml:space="preserve">427,50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Analista (Engenharia/Software)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Pleno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176,00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264,00</w:t>
            </w:r>
          </w:p>
        </w:tc>
      </w:tr>
      <w:tr>
        <w:tc>
          <w:tcPr>
            <w:tcW w:type="dxa" w:w="3200"/>
            <w:shd w:fill="F2ECE8" w:val="clear"/>
          </w:tcPr>
          <w:p>
            <w:r>
              <w:rPr>
                <w:sz w:val="19"/>
                <w:szCs w:val="19"/>
              </w:rPr>
              <w:t xml:space="preserve">Analista (Engenharia/Software)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Júnior</w:t>
            </w:r>
          </w:p>
        </w:tc>
        <w:tc>
          <w:tcPr>
            <w:tcW w:type="dxa" w:w="1350"/>
            <w:shd w:fill="F2ECE8" w:val="clear"/>
          </w:tcPr>
          <w:p>
            <w:r>
              <w:rPr>
                <w:sz w:val="19"/>
                <w:szCs w:val="19"/>
              </w:rPr>
              <w:t xml:space="preserve">135,38</w:t>
            </w:r>
          </w:p>
        </w:tc>
        <w:tc>
          <w:tcPr>
            <w:tcW w:type="dxa" w:w="1550"/>
            <w:shd w:fill="F2ECE8" w:val="clear"/>
          </w:tcPr>
          <w:p>
            <w:r>
              <w:rPr>
                <w:sz w:val="19"/>
                <w:szCs w:val="19"/>
              </w:rPr>
              <w:t xml:space="preserve">203,07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Estágio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Estagiário</w:t>
            </w:r>
          </w:p>
        </w:tc>
        <w:tc>
          <w:tcPr>
            <w:tcW w:type="dxa" w:w="1350"/>
          </w:tcPr>
          <w:p>
            <w:r>
              <w:rPr>
                <w:sz w:val="19"/>
                <w:szCs w:val="19"/>
              </w:rPr>
              <w:t xml:space="preserve">80,00</w:t>
            </w:r>
          </w:p>
        </w:tc>
        <w:tc>
          <w:tcPr>
            <w:tcW w:type="dxa" w:w="1550"/>
          </w:tcPr>
          <w:p>
            <w:r>
              <w:rPr>
                <w:sz w:val="19"/>
                <w:szCs w:val="19"/>
              </w:rPr>
              <w:t xml:space="preserve">120,00</w:t>
            </w:r>
          </w:p>
        </w:tc>
      </w:tr>
    </w:tbl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Perfis sem correspondência direta (ex.: Projetista Sênior) → função Especialista pelo nível de senioridade equivalente. Atividades de orçamento/planejamento → Coordenação, Especialista ou Engenharia por senioridade — sem função ou tabela específica de Orçamentista (removida na v3.3.6). Produtos de software ligados a IA usam a mesma graduação de "Analista (Engenharia/Software)".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12. Preço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Detalhar por fase/frente. Regras obrigatórias abaixo.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Segregação Tarifa × Success Fee</w:t>
      </w:r>
    </w:p>
    <w:p>
      <w:pPr>
        <w:spacing w:after="120"/>
      </w:pPr>
      <w:r>
        <w:rPr>
          <w:sz w:val="21"/>
          <w:szCs w:val="21"/>
        </w:rPr>
        <w:t xml:space="preserve">A remuneração sempre separa duas tabelas: (a) Tarifa — remuneração fixa por perfil/hora do escopo-base; (b) Success Fee — remuneração contingente, calculada como percentual sobre o critério de sucesso definido especificamente em cada proposta (economia de custo, conquista, ou cumprimento de cronograma). Nunca somar as duas em uma única linha de preço.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Exigibilidade do Success Fee</w:t>
      </w:r>
    </w:p>
    <w:p>
      <w:pPr>
        <w:spacing w:after="120"/>
      </w:pPr>
      <w:r>
        <w:rPr>
          <w:sz w:val="21"/>
          <w:szCs w:val="21"/>
        </w:rPr>
        <w:t xml:space="preserve">Só se torna exigível a partir da formalização documentada do evento que caracteriza o sucesso — nunca de uma percepção informal de resultado: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00"/>
      </w:tblGrid>
      <w:tr>
        <w:tc>
          <w:tcPr>
            <w:tcW w:type="dxa" w:w="39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 de sucesso</w:t>
            </w:r>
          </w:p>
        </w:tc>
        <w:tc>
          <w:tcPr>
            <w:tcW w:type="dxa" w:w="58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 que torna o success fee exigível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Economia de custo (CAPEX/OPEX)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Formalização da aprovação do orçamento pelo cliente incorporando a economia identificada</w:t>
            </w:r>
          </w:p>
        </w:tc>
      </w:tr>
      <w:tr>
        <w:tc>
          <w:tcPr>
            <w:tcW w:type="dxa" w:w="3900"/>
            <w:shd w:fill="F2ECE8" w:val="clear"/>
          </w:tcPr>
          <w:p>
            <w:r>
              <w:rPr>
                <w:sz w:val="19"/>
                <w:szCs w:val="19"/>
              </w:rPr>
              <w:t xml:space="preserve">Conquista (leilão, licitação, aprovação regulatória)</w:t>
            </w:r>
          </w:p>
        </w:tc>
        <w:tc>
          <w:tcPr>
            <w:tcW w:type="dxa" w:w="5800"/>
            <w:shd w:fill="F2ECE8" w:val="clear"/>
          </w:tcPr>
          <w:p>
            <w:r>
              <w:rPr>
                <w:sz w:val="19"/>
                <w:szCs w:val="19"/>
              </w:rPr>
              <w:t xml:space="preserve">Formalização da conquista (homologação, assinatura de contrato, publicação da aprovação)</w:t>
            </w:r>
          </w:p>
        </w:tc>
      </w:tr>
      <w:tr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Cronograma / marco contratual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Formalização do marco atingido e aprovado pelo cliente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Sem a formalização do evento-gatilho, não há success fee devido — a mera expectativa de sucesso não gera exigibilidade nem vencimento de prazo de pagamento.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Deslocamentos e Despesas Reembolsáveis</w:t>
      </w:r>
    </w:p>
    <w:p>
      <w:pPr>
        <w:spacing w:after="120"/>
      </w:pPr>
      <w:r>
        <w:rPr>
          <w:sz w:val="21"/>
          <w:szCs w:val="21"/>
        </w:rPr>
        <w:t xml:space="preserve">Sempre por conta do cliente, mediante comprovação fiscal e tarefas previamente aprovadas: táxi/aplicativos, deslocamentos locais, passagens, traslados, hospedagem. Duas modalidades de ressarcimento: Nota de Débito (valor exato, sem impostos) ou Nota Fiscal (recomposição tributária, alíquota 17,50%).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12.X Reajuste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Reajuste anual pelo IPCA (ou índice equivalente), a partir do 13º mês de vigência, como padrão.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13. Medição e Pagamento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600"/>
        <w:gridCol w:w="3600"/>
      </w:tblGrid>
      <w:tr>
        <w:tc>
          <w:tcPr>
            <w:tcW w:type="dxa" w:w="35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6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3600"/>
            <w:shd w:fill="5D3A1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3500"/>
          </w:tcPr>
          <w:p>
            <w:r>
              <w:rPr>
                <w:sz w:val="19"/>
                <w:szCs w:val="19"/>
              </w:rPr>
              <w:t xml:space="preserve">Apresentação do Boletim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MANTA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Até o dia 5 do mês seguinte</w:t>
            </w:r>
          </w:p>
        </w:tc>
      </w:tr>
      <w:tr>
        <w:tc>
          <w:tcPr>
            <w:tcW w:type="dxa" w:w="3500"/>
            <w:shd w:fill="F2ECE8" w:val="clear"/>
          </w:tcPr>
          <w:p>
            <w:r>
              <w:rPr>
                <w:sz w:val="19"/>
                <w:szCs w:val="19"/>
              </w:rPr>
              <w:t xml:space="preserve">Aprovação</w:t>
            </w:r>
          </w:p>
        </w:tc>
        <w:tc>
          <w:tcPr>
            <w:tcW w:type="dxa" w:w="2600"/>
            <w:shd w:fill="F2ECE8" w:val="clear"/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Até o dia 10</w:t>
            </w:r>
          </w:p>
        </w:tc>
      </w:tr>
      <w:tr>
        <w:tc>
          <w:tcPr>
            <w:tcW w:type="dxa" w:w="3500"/>
          </w:tcPr>
          <w:p>
            <w:r>
              <w:rPr>
                <w:sz w:val="19"/>
                <w:szCs w:val="19"/>
              </w:rPr>
              <w:t xml:space="preserve">Emissão da Nota Fiscal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MANTA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Dia 10, após aprovação</w:t>
            </w:r>
          </w:p>
        </w:tc>
      </w:tr>
      <w:tr>
        <w:tc>
          <w:tcPr>
            <w:tcW w:type="dxa" w:w="3500"/>
            <w:shd w:fill="F2ECE8" w:val="clear"/>
          </w:tcPr>
          <w:p>
            <w:r>
              <w:rPr>
                <w:sz w:val="19"/>
                <w:szCs w:val="19"/>
              </w:rPr>
              <w:t xml:space="preserve">Pagamento</w:t>
            </w:r>
          </w:p>
        </w:tc>
        <w:tc>
          <w:tcPr>
            <w:tcW w:type="dxa" w:w="2600"/>
            <w:shd w:fill="F2ECE8" w:val="clear"/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600"/>
            <w:shd w:fill="F2ECE8" w:val="clear"/>
          </w:tcPr>
          <w:p>
            <w:r>
              <w:rPr>
                <w:sz w:val="19"/>
                <w:szCs w:val="19"/>
              </w:rPr>
              <w:t xml:space="preserve">Até o dia 25, transferência bancária</w:t>
            </w:r>
          </w:p>
        </w:tc>
      </w:tr>
    </w:tbl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C45A2B"/>
          <w:sz w:val="24"/>
          <w:szCs w:val="24"/>
        </w:rPr>
        <w:t xml:space="preserve">Atraso de pagamento</w:t>
      </w:r>
    </w:p>
    <w:p>
      <w:pPr>
        <w:spacing w:after="120"/>
      </w:pPr>
      <w:r>
        <w:rPr>
          <w:sz w:val="21"/>
          <w:szCs w:val="21"/>
        </w:rPr>
        <w:t xml:space="preserve">Aplicável tanto à Tarifa quanto ao Success Fee. Em caso de atraso no pagamento de qualquer fatura além do prazo de vencimento acordado, incidem sobre o valor em aberto, sem necessidade de aviso ou notificação prévia: multa moratória de 2% sobre o valor da fatura em atraso; juros de mora de 1% ao mês, pro rata die, desde o vencimento até o efetivo pagamento; atualização monetária pelo IPCA (ou índice equivalente pactuado) sobre o saldo devedor no mesmo período. Percentuais de referência — revisão jurídica recomendada antes do próximo uso real em proposta de cliente.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14. Não Aliciamento e Confidencialidade</w:t>
      </w:r>
    </w:p>
    <w:p>
      <w:pPr>
        <w:spacing w:after="120"/>
      </w:pPr>
      <w:r>
        <w:rPr>
          <w:sz w:val="21"/>
          <w:szCs w:val="21"/>
        </w:rPr>
        <w:t xml:space="preserve">Vigência do contrato + 24 (vinte e quatro) meses; penalidade de 10× (dez vezes) o valor total da proposta em caso de descumprimento. Sigilo sobre informações técnicas, financeiras e estratégicas, por prazo indeterminado.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15. Validade da Proposta</w:t>
      </w:r>
    </w:p>
    <w:p>
      <w:pPr>
        <w:spacing w:after="120"/>
      </w:pPr>
      <w:r>
        <w:rPr>
          <w:sz w:val="21"/>
          <w:szCs w:val="21"/>
        </w:rPr>
        <w:t xml:space="preserve">30 (trinta) dias corridos, contados da data de emissão — padrão.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16. Contato Comercial e Dados da Empresa</w:t>
      </w:r>
    </w:p>
    <w:p>
      <w:pPr>
        <w:spacing w:after="120"/>
      </w:pPr>
      <w:r>
        <w:rPr>
          <w:sz w:val="21"/>
          <w:szCs w:val="21"/>
        </w:rPr>
        <w:t xml:space="preserve">Contato Comercial: Willer Monteiro — (31) 98757-2197 — comercial@mantaassociados.com</w:t>
      </w:r>
    </w:p>
    <w:p>
      <w:pPr>
        <w:spacing w:after="120"/>
      </w:pPr>
      <w:r>
        <w:rPr>
          <w:sz w:val="21"/>
          <w:szCs w:val="21"/>
        </w:rPr>
        <w:t xml:space="preserve">Razão Social: Manta Consultoria Ltda. — CNPJ 56.063.961/0001-08</w:t>
      </w:r>
    </w:p>
    <w:p>
      <w:pPr>
        <w:spacing w:after="120"/>
      </w:pPr>
      <w:r>
        <w:rPr>
          <w:sz w:val="21"/>
          <w:szCs w:val="21"/>
        </w:rPr>
        <w:t xml:space="preserve">Endereço: Av. Marcos Penteado de Ulhoa Rodrigues, 939, andar 8, sala 850, Torre I – Edif. Jacarandá, 06.460-040, Tamboré, Barueri – SP</w:t>
      </w:r>
    </w:p>
    <w:p>
      <w:pPr>
        <w:spacing w:after="120"/>
      </w:pPr>
      <w:r>
        <w:rPr>
          <w:sz w:val="21"/>
          <w:szCs w:val="21"/>
        </w:rPr>
        <w:t xml:space="preserve">Dados Bancários: Banco Santander — Agência 3630 — Conta Corrente 13008405-3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17. Limitação de Responsabilidade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Atuação consultiva/de suporte técnico, não substitui a responsabilidade legal/contratual/regulatória do cliente. Responsabilidade da Manta tipicamente limitada ao valor pago nos últimos 12 meses.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18. Disclaimer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Confidencialidade do documento, propriedade intelectual do conteúdo técnico/metodológico e das ferramentas proprietárias da Manta.</w:t>
      </w:r>
    </w:p>
    <w:p>
      <w:pPr>
        <w:pStyle w:val="Heading1"/>
        <w:pBdr>
          <w:bottom w:val="single" w:color="C45A2B" w:sz="12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5D3A1A"/>
          <w:sz w:val="30"/>
          <w:szCs w:val="30"/>
        </w:rPr>
        <w:t xml:space="preserve">Anexo I — Apresentação da Empresa</w:t>
      </w:r>
    </w:p>
    <w:p>
      <w:pPr>
        <w:pBdr>
          <w:left w:val="single" w:color="C45A2B" w:sz="24" w:space="4"/>
        </w:pBdr>
        <w:shd w:fill="F2ECE8" w:val="clear"/>
        <w:spacing w:after="160"/>
      </w:pPr>
      <w:r>
        <w:rPr>
          <w:i/>
          <w:iCs/>
          <w:color w:val="5A5A5A"/>
          <w:sz w:val="19"/>
          <w:szCs w:val="19"/>
        </w:rPr>
        <w:t xml:space="preserve">Credenciais, projetos de referência (buscar no corpus indexado 03-exemplares/bd/manta_propostas_index.json — ex.: Rodoanel SP, Fernão Dias, Rodoanel Complementar), equipe.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[CLIENTE] | [PROJETO] | v[VERSÃO] | [DATA] | [AUTOR] | CONFIDENCIAL | trace: [ID]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5"/>
        <w:szCs w:val="15"/>
      </w:rPr>
      <w:t xml:space="preserve">[ID DO DOCUMENTO] · REV_00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2026-09-10T15:31:09.144Z</dcterms:created>
  <dcterms:modified xsi:type="dcterms:W3CDTF">2026-09-10T15:31:09.144Z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