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36" w:lineRule="auto"/>
        <w:jc w:val="center"/>
        <w:bidi w:val="1"/>
      </w:pPr>
      <w:r>
        <w:rPr>
          <w:rFonts w:ascii="Cairo" w:hAnsi="Cairo" w:cs="Cairo" w:eastAsia="Tahoma"/>
          <w:b/>
          <w:color w:val="111827"/>
          <w:sz w:val="44"/>
          <w:rtl w:val="1"/>
          <w:szCs w:val="44"/>
        </w:rPr>
        <w:t>الشروط والأحكام</w:t>
      </w:r>
    </w:p>
    <w:p>
      <w:pPr>
        <w:spacing w:before="0" w:after="80" w:line="336" w:lineRule="auto"/>
        <w:jc w:val="center"/>
        <w:bidi w:val="1"/>
      </w:pPr>
      <w:r>
        <w:rPr>
          <w:rFonts w:ascii="Cairo" w:hAnsi="Cairo" w:cs="Cairo" w:eastAsia="Tahoma"/>
          <w:b/>
          <w:color w:val="4B5563"/>
          <w:sz w:val="24"/>
          <w:rtl w:val="1"/>
          <w:szCs w:val="24"/>
        </w:rPr>
        <w:t>شركة العربة الفاخرة (Luxury Cart Company)</w:t>
      </w:r>
    </w:p>
    <w:p>
      <w:pPr>
        <w:spacing w:before="0" w:after="80" w:line="336" w:lineRule="auto"/>
        <w:jc w:val="center"/>
        <w:bidi w:val="1"/>
      </w:pPr>
      <w:r>
        <w:rPr>
          <w:rFonts w:ascii="Cairo" w:hAnsi="Cairo" w:cs="Cairo" w:eastAsia="Tahoma"/>
          <w:b/>
          <w:color w:val="4B5563"/>
          <w:sz w:val="24"/>
          <w:rtl w:val="1"/>
          <w:szCs w:val="24"/>
        </w:rPr>
        <w:t>منصة  وورك فورس/WORKFORCE</w:t>
      </w:r>
    </w:p>
    <w:p>
      <w:pPr>
        <w:spacing w:before="0" w:after="80" w:line="336" w:lineRule="auto"/>
        <w:jc w:val="center"/>
        <w:bidi w:val="1"/>
      </w:pPr>
      <w:r>
        <w:rPr>
          <w:rFonts w:ascii="Cairo" w:hAnsi="Cairo" w:cs="Cairo" w:eastAsia="Tahoma"/>
          <w:b/>
          <w:color w:val="4B5563"/>
          <w:sz w:val="24"/>
          <w:rtl w:val="1"/>
          <w:szCs w:val="24"/>
        </w:rPr>
        <w:t>تاريخ السريان: 30 أبريل 2026</w:t>
      </w:r>
    </w:p>
    <w:p>
      <w:pPr>
        <w:spacing w:before="280" w:after="80" w:line="336" w:lineRule="auto"/>
        <w:jc w:val="right"/>
        <w:bidi w:val="1"/>
      </w:pPr>
      <w:r>
        <w:rPr>
          <w:rFonts w:ascii="Cairo" w:hAnsi="Cairo" w:cs="Cairo" w:eastAsia="Tahoma"/>
          <w:b/>
          <w:color w:val="16366F"/>
          <w:sz w:val="28"/>
          <w:rtl w:val="1"/>
          <w:szCs w:val="28"/>
        </w:rPr>
        <w:t>1. قبول الشروط</w:t>
      </w:r>
    </w:p>
    <w:p>
      <w:pPr>
        <w:spacing w:before="0" w:after="120" w:line="336" w:lineRule="auto"/>
        <w:jc w:val="right"/>
        <w:bidi w:val="1"/>
      </w:pPr>
      <w:r>
        <w:rPr>
          <w:rFonts w:ascii="Cairo" w:hAnsi="Cairo" w:cs="Cairo" w:eastAsia="Tahoma"/>
          <w:b w:val="0"/>
          <w:sz w:val="22"/>
          <w:rtl w:val="1"/>
          <w:szCs w:val="22"/>
        </w:rPr>
        <w:t>باستخدامك لمنصة WORKFORCE ("المنصة")، فإنك ("المستخدم") توافق على الالتزام بهذه الشروط والأحكام ("الشروط"). إن لم توافق عليها، فلا يحق لك أن تستخدم المنصة.</w:t>
      </w:r>
    </w:p>
    <w:p>
      <w:pPr>
        <w:spacing w:before="280" w:after="80" w:line="336" w:lineRule="auto"/>
        <w:jc w:val="right"/>
        <w:bidi w:val="1"/>
      </w:pPr>
      <w:r>
        <w:rPr>
          <w:rFonts w:ascii="Cairo" w:hAnsi="Cairo" w:cs="Cairo" w:eastAsia="Tahoma"/>
          <w:b/>
          <w:color w:val="16366F"/>
          <w:sz w:val="28"/>
          <w:rtl w:val="1"/>
          <w:szCs w:val="28"/>
        </w:rPr>
        <w:t>2. تعريفات</w:t>
      </w:r>
    </w:p>
    <w:p>
      <w:pPr>
        <w:spacing w:before="0" w:after="40" w:line="336" w:lineRule="auto"/>
        <w:jc w:val="right"/>
        <w:bidi w:val="1"/>
        <w:numPr>
          <w:ilvl w:val="0"/>
          <w:numId w:val="10"/>
        </w:numPr>
      </w:pPr>
      <w:r>
        <w:rPr>
          <w:rFonts w:ascii="Cairo" w:hAnsi="Cairo" w:cs="Cairo" w:eastAsia="Tahoma"/>
          <w:b w:val="0"/>
          <w:sz w:val="22"/>
          <w:rtl w:val="1"/>
          <w:szCs w:val="22"/>
        </w:rPr>
        <w:t>"الشركة" أو "نحن": شركة العربة الفاخرة (Luxury Cart Company).</w:t>
      </w:r>
    </w:p>
    <w:p>
      <w:pPr>
        <w:spacing w:before="0" w:after="40" w:line="336" w:lineRule="auto"/>
        <w:jc w:val="right"/>
        <w:bidi w:val="1"/>
        <w:numPr>
          <w:ilvl w:val="0"/>
          <w:numId w:val="10"/>
        </w:numPr>
      </w:pPr>
      <w:r>
        <w:rPr>
          <w:rFonts w:ascii="Cairo" w:hAnsi="Cairo" w:cs="Cairo" w:eastAsia="Tahoma"/>
          <w:b w:val="0"/>
          <w:sz w:val="22"/>
          <w:rtl w:val="1"/>
          <w:szCs w:val="22"/>
        </w:rPr>
        <w:t>"صاحب العمل": شركة العربة الفاخرة.</w:t>
      </w:r>
    </w:p>
    <w:p>
      <w:pPr>
        <w:spacing w:before="0" w:after="40" w:line="336" w:lineRule="auto"/>
        <w:jc w:val="right"/>
        <w:bidi w:val="1"/>
        <w:numPr>
          <w:ilvl w:val="0"/>
          <w:numId w:val="10"/>
        </w:numPr>
      </w:pPr>
      <w:r>
        <w:rPr>
          <w:rFonts w:ascii="Cairo" w:hAnsi="Cairo" w:cs="Cairo" w:eastAsia="Tahoma"/>
          <w:b w:val="0"/>
          <w:sz w:val="22"/>
          <w:rtl w:val="1"/>
          <w:szCs w:val="22"/>
        </w:rPr>
        <w:t>"المرشح": الشخص الذي يتقدم للوظائف عبر المنصة.</w:t>
      </w:r>
    </w:p>
    <w:p>
      <w:pPr>
        <w:spacing w:before="0" w:after="40" w:line="336" w:lineRule="auto"/>
        <w:jc w:val="right"/>
        <w:bidi w:val="1"/>
        <w:numPr>
          <w:ilvl w:val="0"/>
          <w:numId w:val="10"/>
        </w:numPr>
      </w:pPr>
      <w:r>
        <w:rPr>
          <w:rFonts w:ascii="Cairo" w:hAnsi="Cairo" w:cs="Cairo" w:eastAsia="Tahoma"/>
          <w:b w:val="0"/>
          <w:sz w:val="22"/>
          <w:rtl w:val="1"/>
          <w:szCs w:val="22"/>
        </w:rPr>
        <w:t>"الموظف": العامل الذي تم توظيفه وإدارته عبر المنصة.</w:t>
      </w:r>
    </w:p>
    <w:p>
      <w:pPr>
        <w:spacing w:before="0" w:after="40" w:line="336" w:lineRule="auto"/>
        <w:jc w:val="right"/>
        <w:bidi w:val="1"/>
        <w:numPr>
          <w:ilvl w:val="0"/>
          <w:numId w:val="10"/>
        </w:numPr>
      </w:pPr>
      <w:r>
        <w:rPr>
          <w:rFonts w:ascii="Cairo" w:hAnsi="Cairo" w:cs="Cairo" w:eastAsia="Tahoma"/>
          <w:b w:val="0"/>
          <w:sz w:val="22"/>
          <w:rtl w:val="1"/>
          <w:szCs w:val="22"/>
        </w:rPr>
        <w:t>"شركات القوى العاملة": شركة تزويد العمالة التي تُورّد دفعات من العمال.</w:t>
      </w:r>
    </w:p>
    <w:p>
      <w:pPr>
        <w:spacing w:before="0" w:after="40" w:line="336" w:lineRule="auto"/>
        <w:jc w:val="right"/>
        <w:bidi w:val="1"/>
        <w:numPr>
          <w:ilvl w:val="0"/>
          <w:numId w:val="10"/>
        </w:numPr>
      </w:pPr>
      <w:r>
        <w:rPr>
          <w:rFonts w:ascii="Cairo" w:hAnsi="Cairo" w:cs="Cairo" w:eastAsia="Tahoma"/>
          <w:b w:val="0"/>
          <w:sz w:val="22"/>
          <w:rtl w:val="1"/>
          <w:szCs w:val="22"/>
        </w:rPr>
        <w:t>"المسؤول": مستخدم لديه صلاحيات إدارية ضمن حساب صاحب العمل.</w:t>
      </w:r>
    </w:p>
    <w:p>
      <w:pPr>
        <w:spacing w:before="280" w:after="80" w:line="336" w:lineRule="auto"/>
        <w:jc w:val="right"/>
        <w:bidi w:val="1"/>
      </w:pPr>
      <w:r>
        <w:rPr>
          <w:rFonts w:ascii="Cairo" w:hAnsi="Cairo" w:cs="Cairo" w:eastAsia="Tahoma"/>
          <w:b/>
          <w:color w:val="16366F"/>
          <w:sz w:val="28"/>
          <w:rtl w:val="1"/>
          <w:szCs w:val="28"/>
        </w:rPr>
        <w:t>3. الأهلية</w:t>
      </w:r>
    </w:p>
    <w:p>
      <w:pPr>
        <w:spacing w:before="0" w:after="120" w:line="336" w:lineRule="auto"/>
        <w:jc w:val="right"/>
        <w:bidi w:val="1"/>
      </w:pPr>
      <w:r>
        <w:rPr>
          <w:rFonts w:ascii="Cairo" w:hAnsi="Cairo" w:cs="Cairo" w:eastAsia="Tahoma"/>
          <w:b w:val="0"/>
          <w:sz w:val="22"/>
          <w:rtl w:val="1"/>
          <w:szCs w:val="22"/>
        </w:rPr>
        <w:t>يجب ألا يقل عمرك عن 15 عاماً وأن تكون مؤهلاً نظاماً للدخول في عقد ملزم بموجب أنظمة المملكة العربية السعودية لاستخدام المنصة.</w:t>
      </w:r>
    </w:p>
    <w:p>
      <w:pPr>
        <w:spacing w:before="280" w:after="80" w:line="336" w:lineRule="auto"/>
        <w:jc w:val="right"/>
        <w:bidi w:val="1"/>
      </w:pPr>
      <w:r>
        <w:rPr>
          <w:rFonts w:ascii="Cairo" w:hAnsi="Cairo" w:cs="Cairo" w:eastAsia="Tahoma"/>
          <w:b/>
          <w:color w:val="16366F"/>
          <w:sz w:val="28"/>
          <w:rtl w:val="1"/>
          <w:szCs w:val="28"/>
        </w:rPr>
        <w:t>4. الحسابات والأمن</w:t>
      </w:r>
    </w:p>
    <w:p>
      <w:pPr>
        <w:spacing w:before="0" w:after="40" w:line="336" w:lineRule="auto"/>
        <w:jc w:val="right"/>
        <w:bidi w:val="1"/>
        <w:numPr>
          <w:ilvl w:val="0"/>
          <w:numId w:val="10"/>
        </w:numPr>
      </w:pPr>
      <w:r>
        <w:rPr>
          <w:rFonts w:ascii="Cairo" w:hAnsi="Cairo" w:cs="Cairo" w:eastAsia="Tahoma"/>
          <w:b w:val="0"/>
          <w:sz w:val="22"/>
          <w:rtl w:val="1"/>
          <w:szCs w:val="22"/>
        </w:rPr>
        <w:t>أنت مسؤول عن دقة البيانات التي تُدخلها.</w:t>
      </w:r>
    </w:p>
    <w:p>
      <w:pPr>
        <w:spacing w:before="0" w:after="40" w:line="336" w:lineRule="auto"/>
        <w:jc w:val="right"/>
        <w:bidi w:val="1"/>
        <w:numPr>
          <w:ilvl w:val="0"/>
          <w:numId w:val="10"/>
        </w:numPr>
      </w:pPr>
      <w:r>
        <w:rPr>
          <w:rFonts w:ascii="Cairo" w:hAnsi="Cairo" w:cs="Cairo" w:eastAsia="Tahoma"/>
          <w:b w:val="0"/>
          <w:sz w:val="22"/>
          <w:rtl w:val="1"/>
          <w:szCs w:val="22"/>
        </w:rPr>
        <w:t>يجب الحفاظ على سرية بيانات الدخول، وإبلاغنا فوراً عن أي وصول غير مصرح به.</w:t>
      </w:r>
    </w:p>
    <w:p>
      <w:pPr>
        <w:spacing w:before="0" w:after="40" w:line="336" w:lineRule="auto"/>
        <w:jc w:val="right"/>
        <w:bidi w:val="1"/>
        <w:numPr>
          <w:ilvl w:val="0"/>
          <w:numId w:val="10"/>
        </w:numPr>
      </w:pPr>
      <w:r>
        <w:rPr>
          <w:rFonts w:ascii="Cairo" w:hAnsi="Cairo" w:cs="Cairo" w:eastAsia="Tahoma"/>
          <w:b w:val="0"/>
          <w:sz w:val="22"/>
          <w:rtl w:val="1"/>
          <w:szCs w:val="22"/>
        </w:rPr>
        <w:t>أنت مسؤول عن جميع الأنشطة التي تتم تحت حسابك.</w:t>
      </w:r>
    </w:p>
    <w:p>
      <w:pPr>
        <w:spacing w:before="0" w:after="40" w:line="336" w:lineRule="auto"/>
        <w:jc w:val="right"/>
        <w:bidi w:val="1"/>
        <w:numPr>
          <w:ilvl w:val="0"/>
          <w:numId w:val="10"/>
        </w:numPr>
      </w:pPr>
      <w:r>
        <w:rPr>
          <w:rFonts w:ascii="Cairo" w:hAnsi="Cairo" w:cs="Cairo" w:eastAsia="Tahoma"/>
          <w:b w:val="0"/>
          <w:sz w:val="22"/>
          <w:rtl w:val="1"/>
          <w:szCs w:val="22"/>
        </w:rPr>
        <w:t>يحق لنا تعليق أو إنهاء الحسابات المخالفة للشروط أو الأنظمة المعمول بها.</w:t>
      </w:r>
    </w:p>
    <w:p>
      <w:pPr>
        <w:spacing w:before="280" w:after="80" w:line="336" w:lineRule="auto"/>
        <w:jc w:val="right"/>
        <w:bidi w:val="1"/>
      </w:pPr>
      <w:r>
        <w:rPr>
          <w:rFonts w:ascii="Cairo" w:hAnsi="Cairo" w:cs="Cairo" w:eastAsia="Tahoma"/>
          <w:b/>
          <w:color w:val="16366F"/>
          <w:sz w:val="28"/>
          <w:rtl w:val="1"/>
          <w:szCs w:val="28"/>
        </w:rPr>
        <w:t>5. الاستخدام المقبول</w:t>
      </w:r>
    </w:p>
    <w:p>
      <w:pPr>
        <w:spacing w:before="0" w:after="120" w:line="336" w:lineRule="auto"/>
        <w:jc w:val="right"/>
        <w:bidi w:val="1"/>
      </w:pPr>
      <w:r>
        <w:rPr>
          <w:rFonts w:ascii="Cairo" w:hAnsi="Cairo" w:cs="Cairo" w:eastAsia="Tahoma"/>
          <w:b w:val="0"/>
          <w:sz w:val="22"/>
          <w:rtl w:val="1"/>
          <w:szCs w:val="22"/>
        </w:rPr>
        <w:t>توافق على عدم القيام بما يلي:</w:t>
      </w:r>
    </w:p>
    <w:p>
      <w:pPr>
        <w:spacing w:before="0" w:after="40" w:line="336" w:lineRule="auto"/>
        <w:jc w:val="right"/>
        <w:bidi w:val="1"/>
        <w:numPr>
          <w:ilvl w:val="0"/>
          <w:numId w:val="11"/>
        </w:numPr>
      </w:pPr>
      <w:r>
        <w:rPr>
          <w:rFonts w:ascii="Cairo" w:hAnsi="Cairo" w:cs="Cairo" w:eastAsia="Tahoma"/>
          <w:b w:val="0"/>
          <w:sz w:val="22"/>
          <w:rtl w:val="1"/>
          <w:szCs w:val="22"/>
        </w:rPr>
        <w:t>تقديم بيانات شخصية أو وثائق غير صحيحة أو مضللة أو احتيالية.</w:t>
      </w:r>
    </w:p>
    <w:p>
      <w:pPr>
        <w:spacing w:before="0" w:after="40" w:line="336" w:lineRule="auto"/>
        <w:jc w:val="right"/>
        <w:bidi w:val="1"/>
        <w:numPr>
          <w:ilvl w:val="0"/>
          <w:numId w:val="11"/>
        </w:numPr>
      </w:pPr>
      <w:r>
        <w:rPr>
          <w:rFonts w:ascii="Cairo" w:hAnsi="Cairo" w:cs="Cairo" w:eastAsia="Tahoma"/>
          <w:b w:val="0"/>
          <w:sz w:val="22"/>
          <w:rtl w:val="1"/>
          <w:szCs w:val="22"/>
        </w:rPr>
        <w:t>رفع وثائق هوية أو صورة أو بيانات حيوية تخص شخصاً آخر دون تفويض نظامي.</w:t>
      </w:r>
    </w:p>
    <w:p>
      <w:pPr>
        <w:spacing w:before="0" w:after="40" w:line="336" w:lineRule="auto"/>
        <w:jc w:val="right"/>
        <w:bidi w:val="1"/>
        <w:numPr>
          <w:ilvl w:val="0"/>
          <w:numId w:val="11"/>
        </w:numPr>
      </w:pPr>
      <w:r>
        <w:rPr>
          <w:rFonts w:ascii="Cairo" w:hAnsi="Cairo" w:cs="Cairo" w:eastAsia="Tahoma"/>
          <w:b w:val="0"/>
          <w:sz w:val="22"/>
          <w:rtl w:val="1"/>
          <w:szCs w:val="22"/>
        </w:rPr>
        <w:t>محاولة الوصول إلى بيانات تخص جهة أخرى أو صاحب عمل آخر أو مرشح أو موظف آخر.</w:t>
      </w:r>
    </w:p>
    <w:p>
      <w:pPr>
        <w:spacing w:before="0" w:after="40" w:line="336" w:lineRule="auto"/>
        <w:jc w:val="right"/>
        <w:bidi w:val="1"/>
        <w:numPr>
          <w:ilvl w:val="0"/>
          <w:numId w:val="11"/>
        </w:numPr>
      </w:pPr>
      <w:r>
        <w:rPr>
          <w:rFonts w:ascii="Cairo" w:hAnsi="Cairo" w:cs="Cairo" w:eastAsia="Tahoma"/>
          <w:b w:val="0"/>
          <w:sz w:val="22"/>
          <w:rtl w:val="1"/>
          <w:szCs w:val="22"/>
        </w:rPr>
        <w:t>الهندسة العكسية أو نسخ المنصة أو بياناتها أو سحبها بطرق مؤتمتة.</w:t>
      </w:r>
    </w:p>
    <w:p>
      <w:pPr>
        <w:spacing w:before="0" w:after="40" w:line="336" w:lineRule="auto"/>
        <w:jc w:val="right"/>
        <w:bidi w:val="1"/>
        <w:numPr>
          <w:ilvl w:val="0"/>
          <w:numId w:val="11"/>
        </w:numPr>
      </w:pPr>
      <w:r>
        <w:rPr>
          <w:rFonts w:ascii="Cairo" w:hAnsi="Cairo" w:cs="Cairo" w:eastAsia="Tahoma"/>
          <w:b w:val="0"/>
          <w:sz w:val="22"/>
          <w:rtl w:val="1"/>
          <w:szCs w:val="22"/>
        </w:rPr>
        <w:t>استخدام المنصة لإرسال رسائل غير مصرّح بها خارج نطاق الإشعارات التشغيلية المخصصة لها.</w:t>
      </w:r>
    </w:p>
    <w:p>
      <w:pPr>
        <w:spacing w:before="0" w:after="40" w:line="336" w:lineRule="auto"/>
        <w:jc w:val="right"/>
        <w:bidi w:val="1"/>
        <w:numPr>
          <w:ilvl w:val="0"/>
          <w:numId w:val="11"/>
        </w:numPr>
      </w:pPr>
      <w:r>
        <w:rPr>
          <w:rFonts w:ascii="Cairo" w:hAnsi="Cairo" w:cs="Cairo" w:eastAsia="Tahoma"/>
          <w:b w:val="0"/>
          <w:sz w:val="22"/>
          <w:rtl w:val="1"/>
          <w:szCs w:val="22"/>
        </w:rPr>
        <w:t>التأثير على أمن المنصة أو توافرها أو سلامتها.</w:t>
      </w:r>
    </w:p>
    <w:p>
      <w:pPr>
        <w:spacing w:before="0" w:after="120" w:line="336" w:lineRule="auto"/>
        <w:jc w:val="right"/>
        <w:bidi w:val="1"/>
      </w:pPr>
      <w:r>
        <w:rPr>
          <w:rFonts w:ascii="Cairo" w:hAnsi="Cairo" w:cs="Cairo" w:eastAsia="Tahoma"/>
          <w:b w:val="0"/>
          <w:sz w:val="22"/>
          <w:rtl w:val="1"/>
          <w:szCs w:val="22"/>
        </w:rPr>
        <w:t>تستوجب المخالفات إيقاف الحساب فوراً وقد يُبلَّغ عنها للجهات المختصة.</w:t>
      </w:r>
    </w:p>
    <w:p>
      <w:pPr>
        <w:spacing w:before="0" w:after="40" w:line="336" w:lineRule="auto"/>
        <w:jc w:val="right"/>
        <w:bidi w:val="1"/>
        <w:numPr>
          <w:ilvl w:val="0"/>
          <w:numId w:val="11"/>
        </w:numPr>
      </w:pPr>
      <w:r>
        <w:rPr>
          <w:rFonts w:ascii="Cairo" w:hAnsi="Cairo" w:cs="Cairo" w:eastAsia="Tahoma"/>
          <w:b w:val="0"/>
          <w:sz w:val="22"/>
          <w:rtl w:val="1"/>
          <w:szCs w:val="22"/>
        </w:rPr>
        <w:t>العقود والتوقيعات الإلكترونية</w:t>
      </w:r>
    </w:p>
    <w:p>
      <w:pPr>
        <w:spacing w:before="0" w:after="120" w:line="336" w:lineRule="auto"/>
        <w:jc w:val="right"/>
        <w:bidi w:val="1"/>
      </w:pPr>
      <w:r>
        <w:rPr>
          <w:rFonts w:ascii="Cairo" w:hAnsi="Cairo" w:cs="Cairo" w:eastAsia="Tahoma"/>
          <w:b w:val="0"/>
          <w:sz w:val="22"/>
          <w:rtl w:val="1"/>
          <w:szCs w:val="22"/>
        </w:rPr>
        <w:t>تُصدر المنصة عقود عمل ثنائية اللغة وتدعم التوقيع الإلكتروني. وبتوقيعك إلكترونياً، فإنك تُقر بأن للتوقيع الإلكتروني الأثر النظامي ذاته للتوقيع اليدوي وفقاً لنظام التعاملات الإلكترونية السعودي.</w:t>
      </w:r>
    </w:p>
    <w:p>
      <w:pPr>
        <w:spacing w:before="0" w:after="40" w:line="336" w:lineRule="auto"/>
        <w:jc w:val="right"/>
        <w:bidi w:val="1"/>
        <w:numPr>
          <w:ilvl w:val="0"/>
          <w:numId w:val="11"/>
        </w:numPr>
      </w:pPr>
      <w:r>
        <w:rPr>
          <w:rFonts w:ascii="Cairo" w:hAnsi="Cairo" w:cs="Cairo" w:eastAsia="Tahoma"/>
          <w:b w:val="0"/>
          <w:sz w:val="22"/>
          <w:rtl w:val="1"/>
          <w:szCs w:val="22"/>
        </w:rPr>
        <w:t>الحضور والنطاق الجغرافي والتحقق البيومتري</w:t>
      </w:r>
    </w:p>
    <w:p>
      <w:pPr>
        <w:spacing w:before="0" w:after="40" w:line="336" w:lineRule="auto"/>
        <w:jc w:val="right"/>
        <w:bidi w:val="1"/>
        <w:numPr>
          <w:ilvl w:val="0"/>
          <w:numId w:val="10"/>
        </w:numPr>
      </w:pPr>
      <w:r>
        <w:rPr>
          <w:rFonts w:ascii="Cairo" w:hAnsi="Cairo" w:cs="Cairo" w:eastAsia="Tahoma"/>
          <w:b w:val="0"/>
          <w:sz w:val="22"/>
          <w:rtl w:val="1"/>
          <w:szCs w:val="22"/>
        </w:rPr>
        <w:t>يستلزم تسجيل الدخول والخروج تحديد الموقع الجغرافي والتقاط صورة حيّة تتم مقارنتها بصورتك المسجّلة في النظام.</w:t>
      </w:r>
    </w:p>
    <w:p>
      <w:pPr>
        <w:spacing w:before="0" w:after="40" w:line="336" w:lineRule="auto"/>
        <w:jc w:val="right"/>
        <w:bidi w:val="1"/>
        <w:numPr>
          <w:ilvl w:val="0"/>
          <w:numId w:val="10"/>
        </w:numPr>
      </w:pPr>
      <w:r>
        <w:rPr>
          <w:rFonts w:ascii="Cairo" w:hAnsi="Cairo" w:cs="Cairo" w:eastAsia="Tahoma"/>
          <w:b w:val="0"/>
          <w:sz w:val="22"/>
          <w:rtl w:val="1"/>
          <w:szCs w:val="22"/>
        </w:rPr>
        <w:t>المحاولات التي تُكتشف على أنها احتيالية (موقع وهمي، تهرب، صورة من صورة، …) سترفض وقد يترتب عليها إجراءات تأديبية من صاحب العمل.</w:t>
      </w:r>
    </w:p>
    <w:p>
      <w:pPr>
        <w:spacing w:before="0" w:after="40" w:line="336" w:lineRule="auto"/>
        <w:jc w:val="right"/>
        <w:bidi w:val="1"/>
        <w:numPr>
          <w:ilvl w:val="0"/>
          <w:numId w:val="10"/>
        </w:numPr>
      </w:pPr>
      <w:r>
        <w:rPr>
          <w:rFonts w:ascii="Cairo" w:hAnsi="Cairo" w:cs="Cairo" w:eastAsia="Tahoma"/>
          <w:b w:val="0"/>
          <w:sz w:val="22"/>
          <w:rtl w:val="1"/>
          <w:szCs w:val="22"/>
        </w:rPr>
        <w:t>لا تحلّ المنصة محلّ القرار الإداري لصاحب العمل، وقرارات الحضور النهائية تعود لصاحب العمل.</w:t>
      </w:r>
    </w:p>
    <w:p>
      <w:pPr>
        <w:spacing w:before="280" w:after="80" w:line="336" w:lineRule="auto"/>
        <w:jc w:val="right"/>
        <w:bidi w:val="1"/>
      </w:pPr>
      <w:r>
        <w:rPr>
          <w:rFonts w:ascii="Cairo" w:hAnsi="Cairo" w:cs="Cairo" w:eastAsia="Tahoma"/>
          <w:b/>
          <w:color w:val="16366F"/>
          <w:sz w:val="28"/>
          <w:rtl w:val="1"/>
          <w:szCs w:val="28"/>
        </w:rPr>
        <w:t>8. الرواتب والمدفوعات</w:t>
      </w:r>
    </w:p>
    <w:p>
      <w:pPr>
        <w:spacing w:before="0" w:after="40" w:line="336" w:lineRule="auto"/>
        <w:jc w:val="right"/>
        <w:bidi w:val="1"/>
        <w:numPr>
          <w:ilvl w:val="0"/>
          <w:numId w:val="10"/>
        </w:numPr>
      </w:pPr>
      <w:r>
        <w:rPr>
          <w:rFonts w:ascii="Cairo" w:hAnsi="Cairo" w:cs="Cairo" w:eastAsia="Tahoma"/>
          <w:b w:val="0"/>
          <w:sz w:val="22"/>
          <w:rtl w:val="1"/>
          <w:szCs w:val="22"/>
        </w:rPr>
        <w:t>تُحتسب الرواتب بناءً على الحضور والجداول والقواعد التي يضبطها صاحب العمل.</w:t>
      </w:r>
    </w:p>
    <w:p>
      <w:pPr>
        <w:spacing w:before="0" w:after="40" w:line="336" w:lineRule="auto"/>
        <w:jc w:val="right"/>
        <w:bidi w:val="1"/>
        <w:numPr>
          <w:ilvl w:val="0"/>
          <w:numId w:val="10"/>
        </w:numPr>
      </w:pPr>
      <w:r>
        <w:rPr>
          <w:rFonts w:ascii="Cairo" w:hAnsi="Cairo" w:cs="Cairo" w:eastAsia="Tahoma"/>
          <w:b w:val="0"/>
          <w:sz w:val="22"/>
          <w:rtl w:val="1"/>
          <w:szCs w:val="22"/>
        </w:rPr>
        <w:t>لا تقوم الشركة بصرف الرواتب مباشرة للعمالة المستأجرة من شركات القوى العاملة؛ ويبقى الشركات وحدها مسؤولة عن دفع المستحقات للموظفين.</w:t>
      </w:r>
    </w:p>
    <w:p>
      <w:pPr>
        <w:spacing w:before="0" w:after="40" w:line="336" w:lineRule="auto"/>
        <w:jc w:val="right"/>
        <w:bidi w:val="1"/>
        <w:numPr>
          <w:ilvl w:val="0"/>
          <w:numId w:val="10"/>
        </w:numPr>
      </w:pPr>
      <w:r>
        <w:rPr>
          <w:rFonts w:ascii="Cairo" w:hAnsi="Cairo" w:cs="Cairo" w:eastAsia="Tahoma"/>
          <w:b w:val="0"/>
          <w:sz w:val="22"/>
          <w:rtl w:val="1"/>
          <w:szCs w:val="22"/>
        </w:rPr>
        <w:t>يجب الإبلاغ عن أي خطأ إلى صاحب العمل عبر قنوات المخصصة لذلك داخل التطبيق.</w:t>
      </w:r>
    </w:p>
    <w:p>
      <w:pPr>
        <w:spacing w:before="280" w:after="80" w:line="336" w:lineRule="auto"/>
        <w:jc w:val="right"/>
        <w:bidi w:val="1"/>
      </w:pPr>
      <w:r>
        <w:rPr>
          <w:rFonts w:ascii="Cairo" w:hAnsi="Cairo" w:cs="Cairo" w:eastAsia="Tahoma"/>
          <w:b/>
          <w:color w:val="16366F"/>
          <w:sz w:val="28"/>
          <w:rtl w:val="1"/>
          <w:szCs w:val="28"/>
        </w:rPr>
        <w:t>9. الإشعارات</w:t>
      </w:r>
    </w:p>
    <w:p>
      <w:pPr>
        <w:spacing w:before="0" w:after="120" w:line="336" w:lineRule="auto"/>
        <w:jc w:val="right"/>
        <w:bidi w:val="1"/>
      </w:pPr>
      <w:r>
        <w:rPr>
          <w:rFonts w:ascii="Cairo" w:hAnsi="Cairo" w:cs="Cairo" w:eastAsia="Tahoma"/>
          <w:b w:val="0"/>
          <w:sz w:val="22"/>
          <w:rtl w:val="1"/>
          <w:szCs w:val="22"/>
        </w:rPr>
        <w:t>باستخدامك للمنصة، فإنك توافق على تلقّي إشعارات تشغيلية (رسائل نصية، واتساب، بريد إلكتروني، إشعارات داخل التطبيق) تشمل تذكير المستندات ودعوات المقابلات وروابط العقود وتنبيهات الرواتب والأمن. وتقر مسبقا بأن هذه ليست رسائل تسويقية.</w:t>
      </w:r>
    </w:p>
    <w:p>
      <w:pPr>
        <w:spacing w:before="280" w:after="80" w:line="336" w:lineRule="auto"/>
        <w:jc w:val="right"/>
        <w:bidi w:val="1"/>
      </w:pPr>
      <w:r>
        <w:rPr>
          <w:rFonts w:ascii="Cairo" w:hAnsi="Cairo" w:cs="Cairo" w:eastAsia="Tahoma"/>
          <w:b/>
          <w:color w:val="16366F"/>
          <w:sz w:val="28"/>
          <w:rtl w:val="1"/>
          <w:szCs w:val="28"/>
        </w:rPr>
        <w:t>10. الملكية الفكرية</w:t>
      </w:r>
    </w:p>
    <w:p>
      <w:pPr>
        <w:spacing w:before="0" w:after="120" w:line="336" w:lineRule="auto"/>
        <w:jc w:val="right"/>
        <w:bidi w:val="1"/>
      </w:pPr>
      <w:r>
        <w:rPr>
          <w:rFonts w:ascii="Cairo" w:hAnsi="Cairo" w:cs="Cairo" w:eastAsia="Tahoma"/>
          <w:b w:val="0"/>
          <w:sz w:val="22"/>
          <w:rtl w:val="1"/>
          <w:szCs w:val="22"/>
        </w:rPr>
        <w:t>جميع التصاميم والشعارات والنصوص ومحتوى المنصة مملوكة للشركة أو مرخّصة لها. ويُمنح لك ترخيص محدود وغير حصري وغير قابل للنقل وقابل للإلغاء لاستخدام المنصة في الغرض المخصصة له. ولا يجوز لك نسخها أو تعديلها أو توزيعها أو اشتقاق أعمال منها.</w:t>
      </w:r>
    </w:p>
    <w:p>
      <w:pPr>
        <w:spacing w:before="280" w:after="80" w:line="336" w:lineRule="auto"/>
        <w:jc w:val="right"/>
        <w:bidi w:val="1"/>
      </w:pPr>
      <w:r>
        <w:rPr>
          <w:rFonts w:ascii="Cairo" w:hAnsi="Cairo" w:cs="Cairo" w:eastAsia="Tahoma"/>
          <w:b/>
          <w:color w:val="16366F"/>
          <w:sz w:val="28"/>
          <w:rtl w:val="1"/>
          <w:szCs w:val="28"/>
        </w:rPr>
        <w:t>11. بيانات صاحب العمل / العميل</w:t>
      </w:r>
    </w:p>
    <w:p>
      <w:pPr>
        <w:spacing w:before="0" w:after="40" w:line="336" w:lineRule="auto"/>
        <w:jc w:val="right"/>
        <w:bidi w:val="1"/>
        <w:numPr>
          <w:ilvl w:val="0"/>
          <w:numId w:val="10"/>
        </w:numPr>
      </w:pPr>
      <w:r>
        <w:rPr>
          <w:rFonts w:ascii="Cairo" w:hAnsi="Cairo" w:cs="Cairo" w:eastAsia="Tahoma"/>
          <w:b w:val="0"/>
          <w:sz w:val="22"/>
          <w:rtl w:val="1"/>
          <w:szCs w:val="22"/>
        </w:rPr>
        <w:t>يحتفظ أصحاب العمل بملكية البيانات التي يرفعونها.</w:t>
      </w:r>
    </w:p>
    <w:p>
      <w:pPr>
        <w:spacing w:before="0" w:after="40" w:line="336" w:lineRule="auto"/>
        <w:jc w:val="right"/>
        <w:bidi w:val="1"/>
        <w:numPr>
          <w:ilvl w:val="0"/>
          <w:numId w:val="10"/>
        </w:numPr>
      </w:pPr>
      <w:r>
        <w:rPr>
          <w:rFonts w:ascii="Cairo" w:hAnsi="Cairo" w:cs="Cairo" w:eastAsia="Tahoma"/>
          <w:b w:val="0"/>
          <w:sz w:val="22"/>
          <w:rtl w:val="1"/>
          <w:szCs w:val="22"/>
        </w:rPr>
        <w:t>تتحمل شركات القوى العاملة مسؤولية وجود الأساس النظامي لرفع ومعالجة بيانات المرشحين والموظفين والحصول على الموافقات اللازمة.</w:t>
      </w:r>
    </w:p>
    <w:p>
      <w:pPr>
        <w:spacing w:before="0" w:after="40" w:line="336" w:lineRule="auto"/>
        <w:jc w:val="right"/>
        <w:bidi w:val="1"/>
        <w:numPr>
          <w:ilvl w:val="0"/>
          <w:numId w:val="10"/>
        </w:numPr>
      </w:pPr>
      <w:r>
        <w:rPr>
          <w:rFonts w:ascii="Cairo" w:hAnsi="Cairo" w:cs="Cairo" w:eastAsia="Tahoma"/>
          <w:b w:val="0"/>
          <w:sz w:val="22"/>
          <w:rtl w:val="1"/>
          <w:szCs w:val="22"/>
        </w:rPr>
        <w:t>تُعالج الشركة هذه البيانات نيابةً عن شركات القوى العاملة وفق سياسة الخصوصية ونظام حماية البيانات الشخصية.</w:t>
      </w:r>
    </w:p>
    <w:p>
      <w:pPr>
        <w:spacing w:before="280" w:after="80" w:line="336" w:lineRule="auto"/>
        <w:jc w:val="right"/>
        <w:bidi w:val="1"/>
      </w:pPr>
      <w:r>
        <w:rPr>
          <w:rFonts w:ascii="Cairo" w:hAnsi="Cairo" w:cs="Cairo" w:eastAsia="Tahoma"/>
          <w:b/>
          <w:color w:val="16366F"/>
          <w:sz w:val="28"/>
          <w:rtl w:val="1"/>
          <w:szCs w:val="28"/>
        </w:rPr>
        <w:t>12. توافر الخدمة</w:t>
      </w:r>
    </w:p>
    <w:p>
      <w:pPr>
        <w:spacing w:before="0" w:after="120" w:line="336" w:lineRule="auto"/>
        <w:jc w:val="right"/>
        <w:bidi w:val="1"/>
      </w:pPr>
      <w:r>
        <w:rPr>
          <w:rFonts w:ascii="Cairo" w:hAnsi="Cairo" w:cs="Cairo" w:eastAsia="Tahoma"/>
          <w:b w:val="0"/>
          <w:sz w:val="22"/>
          <w:rtl w:val="1"/>
          <w:szCs w:val="22"/>
        </w:rPr>
        <w:t>نسعى لإتاحة المنصة على مدار الساعة، لكننا لا نضمن استمرارية الخدمة دون انقطاع. وقد تتسبب أعمال الصيانة أو التحديثات أو الاعتماديات الخارجية (AWS، مزوّدو الاتصالات) في توقف مؤقت.</w:t>
      </w:r>
    </w:p>
    <w:p>
      <w:pPr>
        <w:spacing w:before="280" w:after="80" w:line="336" w:lineRule="auto"/>
        <w:jc w:val="right"/>
        <w:bidi w:val="1"/>
      </w:pPr>
      <w:r>
        <w:rPr>
          <w:rFonts w:ascii="Cairo" w:hAnsi="Cairo" w:cs="Cairo" w:eastAsia="Tahoma"/>
          <w:b/>
          <w:color w:val="16366F"/>
          <w:sz w:val="28"/>
          <w:rtl w:val="1"/>
          <w:szCs w:val="28"/>
        </w:rPr>
        <w:t>13. إخلاء المسؤولية</w:t>
      </w:r>
    </w:p>
    <w:p>
      <w:pPr>
        <w:spacing w:before="0" w:after="120" w:line="336" w:lineRule="auto"/>
        <w:jc w:val="right"/>
        <w:bidi w:val="1"/>
      </w:pPr>
      <w:r>
        <w:rPr>
          <w:rFonts w:ascii="Cairo" w:hAnsi="Cairo" w:cs="Cairo" w:eastAsia="Tahoma"/>
          <w:b w:val="0"/>
          <w:sz w:val="22"/>
          <w:rtl w:val="1"/>
          <w:szCs w:val="22"/>
        </w:rPr>
        <w:t>تُقدَّم المنصة "كما هي" و"حسب توفّرها". وإلى أقصى حد يسمح به النظام، تُخلي الشركة مسؤوليتها عن جميع الضمانات الصريحة أو الضمنية، بما في ذلك ضمانات القابلية للتسويق والملاءمة لغرض معين وعدم الانتهاك.</w:t>
      </w:r>
    </w:p>
    <w:p>
      <w:pPr>
        <w:spacing w:before="280" w:after="80" w:line="336" w:lineRule="auto"/>
        <w:jc w:val="right"/>
        <w:bidi w:val="1"/>
      </w:pPr>
      <w:r>
        <w:rPr>
          <w:rFonts w:ascii="Cairo" w:hAnsi="Cairo" w:cs="Cairo" w:eastAsia="Tahoma"/>
          <w:b/>
          <w:color w:val="16366F"/>
          <w:sz w:val="28"/>
          <w:rtl w:val="1"/>
          <w:szCs w:val="28"/>
        </w:rPr>
        <w:t>14. تحديد المسؤولية</w:t>
      </w:r>
    </w:p>
    <w:p>
      <w:pPr>
        <w:spacing w:before="0" w:after="120" w:line="336" w:lineRule="auto"/>
        <w:jc w:val="right"/>
        <w:bidi w:val="1"/>
      </w:pPr>
      <w:r>
        <w:rPr>
          <w:rFonts w:ascii="Cairo" w:hAnsi="Cairo" w:cs="Cairo" w:eastAsia="Tahoma"/>
          <w:b w:val="0"/>
          <w:sz w:val="22"/>
          <w:rtl w:val="1"/>
          <w:szCs w:val="22"/>
        </w:rPr>
        <w:t>إلى الحد الذي تُجيزه أنظمة المملكة العربية السعودية، لا تتحمّل الشركة أي مسؤولية عن الأضرار غير المباشرة أو العَرَضية أو الخاصة أو التبعية أو التأديبية، أو فقدان الأرباح أو الإيرادات أو البيانات أو السمعة، الناتجة عن استخدامك للمنصة. ولا تتجاوز مسؤوليتنا الإجمالية الرسوم التي دفعها صاحب العمل للشركة خلال 12 شهراً السابقة للمطالبة، أو 1,000 ريال سعودي، أيهما أقل، ما لم يحظر النظام ذلك.</w:t>
      </w:r>
    </w:p>
    <w:p>
      <w:pPr>
        <w:spacing w:before="280" w:after="80" w:line="336" w:lineRule="auto"/>
        <w:jc w:val="right"/>
        <w:bidi w:val="1"/>
      </w:pPr>
      <w:r>
        <w:rPr>
          <w:rFonts w:ascii="Cairo" w:hAnsi="Cairo" w:cs="Cairo" w:eastAsia="Tahoma"/>
          <w:b/>
          <w:color w:val="16366F"/>
          <w:sz w:val="28"/>
          <w:rtl w:val="1"/>
          <w:szCs w:val="28"/>
        </w:rPr>
        <w:t>15. التعويض</w:t>
      </w:r>
    </w:p>
    <w:p>
      <w:pPr>
        <w:spacing w:before="0" w:after="120" w:line="336" w:lineRule="auto"/>
        <w:jc w:val="right"/>
        <w:bidi w:val="1"/>
      </w:pPr>
      <w:r>
        <w:rPr>
          <w:rFonts w:ascii="Cairo" w:hAnsi="Cairo" w:cs="Cairo" w:eastAsia="Tahoma"/>
          <w:b w:val="0"/>
          <w:sz w:val="22"/>
          <w:rtl w:val="1"/>
          <w:szCs w:val="22"/>
        </w:rPr>
        <w:t>توافق على تعويض الشركة ومديريها وموظفيها وشركائها وحمايتهم من أي مطالبة أو خسارة أو نفقة (بما فيها الأتعاب القانونية) ناتجة عن إخلالك بهذه الشروط أو سوء استخدامك للمنصة.</w:t>
      </w:r>
    </w:p>
    <w:p>
      <w:pPr>
        <w:spacing w:before="280" w:after="80" w:line="336" w:lineRule="auto"/>
        <w:jc w:val="right"/>
        <w:bidi w:val="1"/>
      </w:pPr>
      <w:r>
        <w:rPr>
          <w:rFonts w:ascii="Cairo" w:hAnsi="Cairo" w:cs="Cairo" w:eastAsia="Tahoma"/>
          <w:b/>
          <w:color w:val="16366F"/>
          <w:sz w:val="28"/>
          <w:rtl w:val="1"/>
          <w:szCs w:val="28"/>
        </w:rPr>
        <w:t>16. الإنهاء</w:t>
      </w:r>
    </w:p>
    <w:p>
      <w:pPr>
        <w:spacing w:before="0" w:after="120" w:line="336" w:lineRule="auto"/>
        <w:jc w:val="right"/>
        <w:bidi w:val="1"/>
      </w:pPr>
      <w:r>
        <w:rPr>
          <w:rFonts w:ascii="Cairo" w:hAnsi="Cairo" w:cs="Cairo" w:eastAsia="Tahoma"/>
          <w:b w:val="0"/>
          <w:sz w:val="22"/>
          <w:rtl w:val="1"/>
          <w:szCs w:val="22"/>
        </w:rPr>
        <w:t>يحق لنا تعليق أو إنهاء وصولك فوراً عند مخالفتك للشروط أو النظام، أو عند إغلاق حساب صاحب العمل التابع له. وعند الإنهاء، ينتهي حقك في استخدام المنصة، مع بقاء الأحكام التي يقتضي طبيعتها الاستمرار (الملكية الفكرية، المسؤولية، التعويض، النظام الحاكم) سارية.</w:t>
      </w:r>
    </w:p>
    <w:p>
      <w:pPr>
        <w:spacing w:before="280" w:after="80" w:line="336" w:lineRule="auto"/>
        <w:jc w:val="right"/>
        <w:bidi w:val="1"/>
      </w:pPr>
      <w:r>
        <w:rPr>
          <w:rFonts w:ascii="Cairo" w:hAnsi="Cairo" w:cs="Cairo" w:eastAsia="Tahoma"/>
          <w:b/>
          <w:color w:val="16366F"/>
          <w:sz w:val="28"/>
          <w:rtl w:val="1"/>
          <w:szCs w:val="28"/>
        </w:rPr>
        <w:t>17. تعديل الشروط</w:t>
      </w:r>
    </w:p>
    <w:p>
      <w:pPr>
        <w:spacing w:before="0" w:after="120" w:line="336" w:lineRule="auto"/>
        <w:jc w:val="right"/>
        <w:bidi w:val="1"/>
      </w:pPr>
      <w:r>
        <w:rPr>
          <w:rFonts w:ascii="Cairo" w:hAnsi="Cairo" w:cs="Cairo" w:eastAsia="Tahoma"/>
          <w:b w:val="0"/>
          <w:sz w:val="22"/>
          <w:rtl w:val="1"/>
          <w:szCs w:val="22"/>
        </w:rPr>
        <w:t>يحق لنا تعديل هذه الشروط من حين لآخر، ويتم إبلاغك بالتغييرات الجوهرية عبر المنصة. ويُعدّ استمرارك في استخدام المنصة بعد تاريخ سريان التعديل قبولاً به.</w:t>
      </w:r>
    </w:p>
    <w:p>
      <w:pPr>
        <w:spacing w:before="280" w:after="80" w:line="336" w:lineRule="auto"/>
        <w:jc w:val="right"/>
        <w:bidi w:val="1"/>
      </w:pPr>
      <w:r>
        <w:rPr>
          <w:rFonts w:ascii="Cairo" w:hAnsi="Cairo" w:cs="Cairo" w:eastAsia="Tahoma"/>
          <w:b/>
          <w:color w:val="16366F"/>
          <w:sz w:val="28"/>
          <w:rtl w:val="1"/>
          <w:szCs w:val="28"/>
        </w:rPr>
        <w:t>18. النظام الحاكم والاختصاص القضائي</w:t>
      </w:r>
    </w:p>
    <w:p>
      <w:pPr>
        <w:spacing w:before="0" w:after="120" w:line="336" w:lineRule="auto"/>
        <w:jc w:val="right"/>
        <w:bidi w:val="1"/>
      </w:pPr>
      <w:r>
        <w:rPr>
          <w:rFonts w:ascii="Cairo" w:hAnsi="Cairo" w:cs="Cairo" w:eastAsia="Tahoma"/>
          <w:b w:val="0"/>
          <w:sz w:val="22"/>
          <w:rtl w:val="1"/>
          <w:szCs w:val="22"/>
        </w:rPr>
        <w:t>تخضع هذه الشروط لأنظمة المملكة العربية السعودية. وتختص بالنظر في أي نزاع المحاكم المختصة في جدة.</w:t>
      </w:r>
    </w:p>
    <w:p>
      <w:pPr>
        <w:spacing w:before="280" w:after="80" w:line="336" w:lineRule="auto"/>
        <w:jc w:val="right"/>
        <w:bidi w:val="1"/>
      </w:pPr>
      <w:r>
        <w:rPr>
          <w:rFonts w:ascii="Cairo" w:hAnsi="Cairo" w:cs="Cairo" w:eastAsia="Tahoma"/>
          <w:b/>
          <w:color w:val="16366F"/>
          <w:sz w:val="28"/>
          <w:rtl w:val="1"/>
          <w:szCs w:val="28"/>
        </w:rPr>
        <w:t>19. التواصل</w:t>
      </w:r>
    </w:p>
    <w:p>
      <w:pPr>
        <w:spacing w:before="0" w:after="80" w:line="336" w:lineRule="auto"/>
        <w:jc w:val="center"/>
        <w:bidi w:val="1"/>
      </w:pPr>
      <w:r>
        <w:rPr>
          <w:rFonts w:ascii="Cairo" w:hAnsi="Cairo" w:cs="Cairo" w:eastAsia="Tahoma"/>
          <w:b/>
          <w:color w:val="4B5563"/>
          <w:sz w:val="24"/>
          <w:rtl w:val="1"/>
          <w:szCs w:val="24"/>
        </w:rPr>
        <w:t>شركة العربة الفاخرة (Luxury Cart Company)</w:t>
      </w:r>
    </w:p>
    <w:p>
      <w:pPr>
        <w:spacing w:before="0" w:after="120" w:line="336" w:lineRule="auto"/>
        <w:jc w:val="right"/>
        <w:bidi w:val="1"/>
      </w:pPr>
      <w:r>
        <w:rPr>
          <w:rFonts w:ascii="Cairo" w:hAnsi="Cairo" w:cs="Cairo" w:eastAsia="Tahoma"/>
          <w:b w:val="0"/>
          <w:sz w:val="22"/>
          <w:rtl w:val="1"/>
          <w:szCs w:val="22"/>
        </w:rPr>
        <w:t>البريد الإلكتروني: HR@luxurycartsgroup.com</w:t>
      </w:r>
    </w:p>
    <w:p>
      <w:pPr>
        <w:spacing w:before="0" w:after="120" w:line="336" w:lineRule="auto"/>
        <w:jc w:val="right"/>
        <w:bidi w:val="1"/>
      </w:pPr>
      <w:r>
        <w:rPr>
          <w:rFonts w:ascii="Cairo" w:hAnsi="Cairo" w:cs="Cairo" w:eastAsia="Tahoma"/>
          <w:b w:val="0"/>
          <w:sz w:val="22"/>
          <w:rtl w:val="1"/>
          <w:szCs w:val="22"/>
        </w:rPr>
        <w:t>العنوان: البغدادية الغربية، جدة، المملكة العربية السعودية</w:t>
      </w:r>
    </w:p>
    <w:sectPr w:rsidR="00FC693F" w:rsidRPr="0006063C" w:rsidSect="00034616">
      <w:pgSz w:w="11906" w:h="16838"/>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Cairo" w:hAnsi="Cairo" w:cs="Cairo"/>
      </w:rPr>
    </w:lvl>
  </w:abstractNum>
  <w:abstractNum w:abstractNumId="10">
    <w:multiLevelType w:val="hybridMulti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