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RIBA STAGE 1 FEASIBILITY REPORT</w:t>
      </w:r>
    </w:p>
    <w:p>
      <w:pPr>
        <w:spacing w:after="120" w:before="240"/>
      </w:pPr>
    </w:p>
    <w:p>
      <w:pPr>
        <w:jc w:val="center"/>
      </w:pPr>
      <w:r>
        <w:rPr>
          <w:b/>
          <w:bCs/>
          <w:sz w:val="36"/>
          <w:szCs w:val="36"/>
        </w:rPr>
        <w:t xml:space="preserve">Project: </w:t>
      </w:r>
      <w:r>
        <w:t xml:space="preserve">{PROJ_NAME}</w:t>
      </w:r>
    </w:p>
    <w:p>
      <w:pPr>
        <w:jc w:val="center"/>
      </w:pPr>
      <w:r>
        <w:rPr>
          <w:sz w:val="28"/>
          <w:szCs w:val="28"/>
        </w:rPr>
        <w:t xml:space="preserve">Date: </w:t>
      </w:r>
      <w:r>
        <w:t xml:space="preserve">{PROJ_DATE}</w:t>
      </w:r>
    </w:p>
    <w:p>
      <w:pPr>
        <w:jc w:val="center"/>
      </w:pPr>
      <w:r>
        <w:rPr>
          <w:sz w:val="28"/>
          <w:szCs w:val="28"/>
        </w:rPr>
        <w:t xml:space="preserve">Confidence Grade: </w:t>
      </w:r>
      <w:r>
        <w:t xml:space="preserve">{PROJ_CONFIDENCE}</w:t>
      </w:r>
      <w:r>
        <w:rPr>
          <w:sz w:val="28"/>
          <w:szCs w:val="28"/>
        </w:rPr>
        <w:t xml:space="preserve"> | Risk: </w:t>
      </w:r>
      <w:r>
        <w:t xml:space="preserve">{PROJ_RISK_BADGE}</w:t>
      </w:r>
    </w:p>
    <w:p>
      <w:pPr>
        <w:pageBreakBefore/>
      </w:pP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1. Executive Summary</w:t>
      </w:r>
    </w:p>
    <w:p>
      <w:pPr>
        <w:spacing w:after="60" w:before="60"/>
      </w:pPr>
      <w:r>
        <w:t xml:space="preserve">{EXEC_SUMMARY}</w:t>
      </w:r>
    </w:p>
    <w:p>
      <w:pPr>
        <w:spacing w:after="60" w:before="120"/>
      </w:pPr>
      <w:r>
        <w:rPr>
          <w:b/>
          <w:bCs/>
        </w:rPr>
        <w:t xml:space="preserve">Key Findings</w:t>
      </w:r>
    </w:p>
    <w:p>
      <w:pPr>
        <w:spacing w:after="60" w:before="60"/>
      </w:pPr>
      <w:r>
        <w:t xml:space="preserve">{KEY_FINDING_1}</w:t>
      </w:r>
    </w:p>
    <w:p>
      <w:pPr>
        <w:spacing w:after="60" w:before="60"/>
      </w:pPr>
      <w:r>
        <w:t xml:space="preserve">{KEY_FINDING_2}</w:t>
      </w:r>
    </w:p>
    <w:p>
      <w:pPr>
        <w:spacing w:after="60" w:before="60"/>
      </w:pPr>
      <w:r>
        <w:t xml:space="preserve">{KEY_FINDING_3}</w:t>
      </w:r>
    </w:p>
    <w:p>
      <w:pPr>
        <w:spacing w:after="60" w:before="60"/>
      </w:pPr>
      <w:r>
        <w:t xml:space="preserve">{KEY_FINDING_4}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2. Scope of Works</w:t>
      </w:r>
    </w:p>
    <w:p>
      <w:pPr>
        <w:spacing w:after="60" w:before="120"/>
      </w:pPr>
      <w:r>
        <w:rPr>
          <w:b/>
          <w:bCs/>
        </w:rPr>
        <w:t xml:space="preserve">Included Works</w:t>
      </w:r>
    </w:p>
    <w:p>
      <w:pPr>
        <w:spacing w:after="60" w:before="60"/>
      </w:pPr>
      <w:r>
        <w:t xml:space="preserve">{SCOPE_INCLUDED}</w:t>
      </w:r>
    </w:p>
    <w:p>
      <w:pPr>
        <w:spacing w:after="60" w:before="120"/>
      </w:pPr>
      <w:r>
        <w:rPr>
          <w:b/>
          <w:bCs/>
        </w:rPr>
        <w:t xml:space="preserve">Exclusions</w:t>
      </w:r>
    </w:p>
    <w:p>
      <w:pPr>
        <w:spacing w:after="60" w:before="60"/>
      </w:pPr>
      <w:r>
        <w:t xml:space="preserve">{SCOPE_EXCLUDED}</w:t>
      </w:r>
    </w:p>
    <w:p>
      <w:pPr>
        <w:spacing w:after="60" w:before="120"/>
      </w:pPr>
      <w:r>
        <w:rPr>
          <w:b/>
          <w:bCs/>
        </w:rPr>
        <w:t xml:space="preserve">Scope Assumptions</w:t>
      </w:r>
    </w:p>
    <w:p>
      <w:pPr>
        <w:spacing w:after="60" w:before="60"/>
      </w:pPr>
      <w:r>
        <w:t xml:space="preserve">{SCOPE_ASSUMPTIONS}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3.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{#riskRows}</w:t>
            </w:r>
            <w:r>
              <w:t xml:space="preserve">{ref}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{category}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{description}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{likelihood}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{impact}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{rating}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{mitigation}</w:t>
            </w:r>
            <w:r>
              <w:t xml:space="preserve">{/riskRows}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4. High-Level Programme</w:t>
      </w:r>
    </w:p>
    <w:p>
      <w:pPr>
        <w:spacing w:after="120" w:before="60"/>
      </w:pPr>
      <w:r>
        <w:rPr>
          <w:b/>
          <w:bCs/>
        </w:rPr>
        <w:t xml:space="preserve">Total programme: </w:t>
      </w:r>
      <w:r>
        <w:t xml:space="preserve">{PROG_TOTAL_WEEKS}</w:t>
      </w:r>
      <w:r>
        <w:t xml:space="preserve"> weeks | Procurement route: </w:t>
      </w:r>
      <w:r>
        <w:t xml:space="preserve">{PROG_ROUTE}</w:t>
      </w:r>
    </w:p>
    <w:p>
      <w:pPr>
        <w:spacing w:after="60" w:before="60"/>
      </w:pPr>
      <w:r>
        <w:t xml:space="preserve">{PROG_TARGET_STATUS}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 (weeks)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{#progRows}</w:t>
            </w:r>
            <w:r>
              <w:t xml:space="preserve">{stage}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{activity}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{durationWks}</w:t>
            </w:r>
            <w:r>
              <w:t xml:space="preserve">{/progRows}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Milestones</w:t>
      </w:r>
    </w:p>
    <w:p>
      <w:pPr>
        <w:spacing w:after="60" w:before="60"/>
      </w:pPr>
      <w:r>
        <w:t xml:space="preserve">{PROG_MILESTONES}</w:t>
      </w:r>
    </w:p>
    <w:p>
      <w:pPr>
        <w:spacing w:after="60" w:before="120"/>
      </w:pPr>
      <w:r>
        <w:rPr>
          <w:b/>
          <w:bCs/>
        </w:rPr>
        <w:t xml:space="preserve">Programme Assumptions</w:t>
      </w:r>
    </w:p>
    <w:p>
      <w:pPr>
        <w:spacing w:after="60" w:before="60"/>
      </w:pPr>
      <w:r>
        <w:t xml:space="preserve">{PROG_ASSUMPTIONS}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5. Order of Cost Estimate (NRM1)</w:t>
      </w:r>
    </w:p>
    <w:p>
      <w:pPr>
        <w:spacing w:after="60" w:before="60"/>
      </w:pPr>
      <w:r>
        <w:rPr>
          <w:b/>
          <w:bCs/>
        </w:rPr>
        <w:t xml:space="preserve">GIFA: </w:t>
      </w:r>
      <w:r>
        <w:t xml:space="preserve">{COST_GIFA}</w:t>
      </w:r>
      <w:r>
        <w:t xml:space="preserve"> m²   </w:t>
      </w:r>
      <w:r>
        <w:rPr>
          <w:b/>
          <w:bCs/>
        </w:rPr>
        <w:t xml:space="preserve">Region: </w:t>
      </w:r>
      <w:r>
        <w:t xml:space="preserve">{COST_REGION}</w:t>
      </w:r>
      <w:r>
        <w:t xml:space="preserve">   </w:t>
      </w:r>
      <w:r>
        <w:rPr>
          <w:b/>
          <w:bCs/>
        </w:rPr>
        <w:t xml:space="preserve">BCIS Factor: </w:t>
      </w:r>
      <w:r>
        <w:t xml:space="preserve">{COST_FACTOR}</w:t>
      </w:r>
      <w:r>
        <w:t xml:space="preserve">   </w:t>
      </w:r>
      <w:r>
        <w:rPr>
          <w:b/>
          <w:bCs/>
        </w:rPr>
        <w:t xml:space="preserve">Specification: </w:t>
      </w:r>
      <w:r>
        <w:t xml:space="preserve">{COST_SPEC}</w:t>
      </w:r>
    </w:p>
    <w:p>
      <w:pPr>
        <w:spacing w:after="60" w:before="60"/>
      </w:pPr>
      <w:r>
        <w:t xml:space="preserve">{COST_NARRATIVE}</w:t>
      </w:r>
    </w:p>
    <w:p>
      <w:pPr>
        <w:spacing w:after="60" w:before="120"/>
      </w:pPr>
      <w:r>
        <w:rPr>
          <w:b/>
          <w:bCs/>
        </w:rPr>
        <w:t xml:space="preserve">Section 1 — Works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 (£)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 (£)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{#worksRows}</w:t>
            </w:r>
            <w:r>
              <w:t xml:space="preserve">{code}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{description}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{unit}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{rate}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{qty}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{lineMid}</w:t>
            </w:r>
            <w:r>
              <w:t xml:space="preserve">{/worksRows}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Section 2 — Construction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(£)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{#constructionRows}</w:t>
            </w:r>
            <w:r>
              <w:t xml:space="preserve">{item}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{rate}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{amount}</w:t>
            </w:r>
            <w:r>
              <w:t xml:space="preserve">{/constructionRows}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Section 3 — Total Project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 (£)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{#totalRows}</w:t>
            </w:r>
            <w:r>
              <w:t xml:space="preserve">{item}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{rate}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{amount}</w:t>
            </w:r>
            <w:r>
              <w:t xml:space="preserve">{/totalRows}</w:t>
            </w:r>
          </w:p>
        </w:tc>
      </w:tr>
    </w:tbl>
    <w:p>
      <w:pPr>
        <w:spacing w:after="60" w:before="120"/>
      </w:pPr>
      <w:r>
        <w:rPr>
          <w:b/>
          <w:bCs/>
        </w:rPr>
        <w:t xml:space="preserve">Total Cost Range: </w:t>
      </w:r>
      <w:r>
        <w:t xml:space="preserve">{COST_TOTAL_RANGE}</w:t>
      </w:r>
      <w:r>
        <w:t xml:space="preserve">   Cost Risk: </w:t>
      </w:r>
      <w:r>
        <w:t xml:space="preserve">{COST_RISK_BADGE}</w:t>
      </w:r>
    </w:p>
    <w:p>
      <w:pPr>
        <w:spacing w:after="60" w:before="120"/>
      </w:pPr>
      <w:r>
        <w:rPr>
          <w:b/>
          <w:bCs/>
        </w:rPr>
        <w:t xml:space="preserve">Cost Assumptions</w:t>
      </w:r>
    </w:p>
    <w:p>
      <w:pPr>
        <w:spacing w:after="60" w:before="60"/>
      </w:pPr>
      <w:r>
        <w:t xml:space="preserve">{COST_ASSUMPTIONS}</w:t>
      </w:r>
    </w:p>
    <w:p>
      <w:pPr>
        <w:spacing w:after="60" w:before="60"/>
      </w:pPr>
      <w:r>
        <w:rPr>
          <w:b/>
          <w:bCs/>
        </w:rPr>
        <w:t xml:space="preserve">Cost Exclusions</w:t>
      </w:r>
    </w:p>
    <w:p>
      <w:pPr>
        <w:spacing w:after="60" w:before="60"/>
      </w:pPr>
      <w:r>
        <w:t xml:space="preserve">{COST_EXCLUSIONS}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6. ROI &amp; Financial Case</w:t>
      </w:r>
    </w:p>
    <w:p>
      <w:pPr>
        <w:spacing w:after="120" w:before="60"/>
      </w:pPr>
      <w:r>
        <w:t xml:space="preserve">Benefit type: </w:t>
      </w:r>
      <w:r>
        <w:t xml:space="preserve">{ROI_BENEFIT_TYPE}</w:t>
      </w:r>
      <w:r>
        <w:t xml:space="preserve">   Annual benefit: </w:t>
      </w:r>
      <w:r>
        <w:t xml:space="preserve">{ROI_ANNUAL}</w:t>
      </w:r>
      <w:r>
        <w:t xml:space="preserve">   Project cost (mid): </w:t>
      </w:r>
      <w:r>
        <w:t xml:space="preserve">{ROI_MID_COST}</w:t>
      </w:r>
      <w:r>
        <w:t xml:space="preserve">   Simple payback: </w:t>
      </w:r>
      <w:r>
        <w:t xml:space="preserve">{ROI_PAYBACK}</w:t>
      </w:r>
    </w:p>
    <w:p>
      <w:pPr>
        <w:spacing w:after="60" w:before="60"/>
      </w:pPr>
      <w:r>
        <w:t xml:space="preserve">{ROI_NARRATIVE}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7. Procurement Recommendation</w:t>
      </w:r>
    </w:p>
    <w:p>
      <w:pPr>
        <w:spacing w:after="60" w:before="60"/>
      </w:pPr>
      <w:r>
        <w:rPr>
          <w:b/>
          <w:bCs/>
        </w:rPr>
        <w:t xml:space="preserve">Route: </w:t>
      </w:r>
      <w:r>
        <w:t xml:space="preserve">{PROC_ROUTE}</w:t>
      </w:r>
      <w:r>
        <w:rPr>
          <w:b/>
          <w:bCs/>
        </w:rPr>
        <w:t xml:space="preserve">   Contract: </w:t>
      </w:r>
      <w:r>
        <w:t xml:space="preserve">{PROC_CONTRACT}</w:t>
      </w:r>
    </w:p>
    <w:p>
      <w:pPr>
        <w:spacing w:after="120" w:before="60"/>
      </w:pPr>
      <w:r>
        <w:t xml:space="preserve">Design responsibility: </w:t>
      </w:r>
      <w:r>
        <w:t xml:space="preserve">{PROC_DESIGN_RESP}</w:t>
      </w:r>
      <w:r>
        <w:t xml:space="preserve">   Tender type: </w:t>
      </w:r>
      <w:r>
        <w:t xml:space="preserve">{PROC_TENDER_TYPE}</w:t>
      </w:r>
    </w:p>
    <w:p>
      <w:pPr>
        <w:spacing w:after="60" w:before="60"/>
      </w:pPr>
      <w:r>
        <w:t xml:space="preserve">{PROC_NARRATIVE}</w:t>
      </w:r>
    </w:p>
    <w:p>
      <w:pPr>
        <w:spacing w:after="60" w:before="120"/>
      </w:pPr>
      <w:r>
        <w:rPr>
          <w:b/>
          <w:bCs/>
        </w:rPr>
        <w:t xml:space="preserve">Commercial Considerations</w:t>
      </w:r>
    </w:p>
    <w:p>
      <w:pPr>
        <w:spacing w:after="60" w:before="60"/>
      </w:pPr>
      <w:r>
        <w:t xml:space="preserve">{PROC_CONSIDERATIONS}</w:t>
      </w:r>
    </w:p>
    <w:p>
      <w:pPr>
        <w:spacing w:after="60" w:before="60"/>
      </w:pPr>
      <w:r>
        <w:t xml:space="preserve">{PROC_CONFLICTS}</w:t>
      </w:r>
    </w:p>
    <w:p>
      <w:pPr>
        <w:pStyle w:val="Heading1"/>
        <w:spacing w:after="120" w:before="240"/>
      </w:pPr>
      <w:r>
        <w:rPr>
          <w:b/>
          <w:bCs/>
          <w:color w:val="1F3864"/>
        </w:rPr>
        <w:t xml:space="preserve">8. Constraints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shd w:fill="1F3864" w:val="solid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shd w:fill="F2F2F2" w:val="solid"/>
          </w:tcPr>
          <w:p>
            <w:pPr>
              <w:spacing w:after="40" w:before="40"/>
            </w:pPr>
            <w:r>
              <w:t xml:space="preserve">{#constraintRows}</w:t>
            </w:r>
            <w:r>
              <w:t xml:space="preserve">{category}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{title}</w:t>
            </w:r>
          </w:p>
        </w:tc>
        <w:tc>
          <w:tcPr>
            <w:shd w:fill="F2F2F2" w:val="solid"/>
          </w:tcPr>
          <w:p>
            <w:pPr>
              <w:spacing w:after="40" w:before="40"/>
            </w:pPr>
            <w:r>
              <w:t xml:space="preserve">{text}</w:t>
            </w:r>
            <w:r>
              <w:t xml:space="preserve">{/constraintRows}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</w:rPr>
        <w:t xml:space="preserve">9. Recommendations &amp; Next Steps</w:t>
      </w:r>
    </w:p>
    <w:p>
      <w:pPr>
        <w:spacing w:after="60" w:before="60"/>
      </w:pPr>
      <w:r>
        <w:t xml:space="preserve">{NEXT_STEPS}</w:t>
      </w:r>
    </w:p>
    <w:p>
      <w:pPr>
        <w:pageBreakBefore/>
      </w:pPr>
    </w:p>
    <w:p>
      <w:pPr>
        <w:pStyle w:val="Heading3"/>
        <w:spacing w:after="120" w:before="240"/>
      </w:pPr>
      <w:r>
        <w:rPr>
          <w:b/>
          <w:bCs/>
          <w:color w:val="1F3864"/>
        </w:rPr>
        <w:t xml:space="preserve">Disclaimer</w:t>
      </w:r>
    </w:p>
    <w:p>
      <w:pPr>
        <w:spacing w:after="60" w:before="60"/>
      </w:pPr>
      <w:r>
        <w:rPr>
          <w:i/>
          <w:iCs/>
          <w:sz w:val="18"/>
          <w:szCs w:val="18"/>
        </w:rPr>
        <w:t xml:space="preserve">This report has been produced at RIBA Stage 0–1 using benchmark cost and programme data from published industry sources (BCIS, RICS, Cushman &amp; Wakefield). All figures are indicative and subject to change following completion of surveys, design development, and competitive procurement. This report does not constitute a formal cost plan and should not be used as the basis for a financial commitment without review by a Chartered Quantity Surveyor. Programme durations are indicative and assume standard productivity and client decision-making within the gateway periods shown.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2026-05-24T21:27:53.098Z</dcterms:created>
  <dcterms:modified xsi:type="dcterms:W3CDTF">2026-05-24T21:27:53.099Z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