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MNR Whitepaper v1.1 (Updated)</w:t>
      </w:r>
    </w:p>
    <w:p>
      <w:pPr>
        <w:pStyle w:val="Heading1"/>
      </w:pPr>
      <w:r>
        <w:t>Project Overview</w:t>
      </w:r>
    </w:p>
    <w:p>
      <w:r>
        <w:t>Miner Network Reward (MNR) is a community-focused cryptocurrency built on a Monero-based architecture. MNR is designed to support fair CPU mining, long-term community participation, and a future marketplace ecosystem.</w:t>
      </w:r>
    </w:p>
    <w:p>
      <w:pPr>
        <w:pStyle w:val="Heading1"/>
      </w:pPr>
      <w:r>
        <w:t>Network Identity</w:t>
      </w:r>
    </w:p>
    <w:p>
      <w:r>
        <w:t>Network Name: MNR Network</w:t>
        <w:br/>
        <w:t>Currency Name: Miner Network Reward</w:t>
        <w:br/>
        <w:t>Ticker: MNR</w:t>
      </w:r>
    </w:p>
    <w:p>
      <w:pPr>
        <w:pStyle w:val="Heading1"/>
      </w:pPr>
      <w:r>
        <w:t>Core Principles</w:t>
      </w:r>
    </w:p>
    <w:p>
      <w:r>
        <w:t>CPU First</w:t>
        <w:br/>
        <w:t>Fair Mining</w:t>
        <w:br/>
        <w:t>ASIC Resistance</w:t>
        <w:br/>
        <w:t>Community Utility</w:t>
        <w:br/>
        <w:t>Loyalty Rewards</w:t>
        <w:br/>
        <w:t>Low Energy Philosophy</w:t>
        <w:br/>
        <w:t>Sustainable Growth</w:t>
        <w:br/>
        <w:t>Transparency</w:t>
      </w:r>
    </w:p>
    <w:p>
      <w:pPr>
        <w:pStyle w:val="Heading1"/>
      </w:pPr>
      <w:r>
        <w:t>Blockchain Specifications</w:t>
      </w:r>
    </w:p>
    <w:p>
      <w:r>
        <w:t>Base Technology: Monero Fork</w:t>
        <w:br/>
        <w:t>Mining Algorithm: RandomX (Initial Implementation)</w:t>
        <w:br/>
        <w:t>Mining Type: CPU Only</w:t>
        <w:br/>
        <w:t>Block Time: 5 Minutes</w:t>
        <w:br/>
        <w:t>Block Reward: 30 MNR</w:t>
        <w:br/>
        <w:t>Halving Schedule: Every 4 Years</w:t>
        <w:br/>
        <w:t>Maximum Supply: 500,000,000 MNR</w:t>
        <w:br/>
        <w:t>Privacy: Optional (Future Development)</w:t>
      </w:r>
    </w:p>
    <w:p>
      <w:pPr>
        <w:pStyle w:val="Heading1"/>
      </w:pPr>
      <w:r>
        <w:t>Premine Allocation</w:t>
      </w:r>
    </w:p>
    <w:p>
      <w:r>
        <w:t>Total Premine: 2% (10,000,000 MNR)</w:t>
        <w:br/>
        <w:br/>
        <w:t>Development: 20% (2,000,000 MNR)</w:t>
        <w:br/>
        <w:t>Liquidity: 20% (2,000,000 MNR)</w:t>
        <w:br/>
        <w:t>Marketing: 20% (2,000,000 MNR)</w:t>
        <w:br/>
        <w:t>Strategic Reserve: 40% (4,000,000 MNR)</w:t>
      </w:r>
    </w:p>
    <w:p>
      <w:pPr>
        <w:pStyle w:val="Heading1"/>
      </w:pPr>
      <w:r>
        <w:t>Loyalty Program</w:t>
      </w:r>
    </w:p>
    <w:p>
      <w:r>
        <w:t>Bronze Miner: 30+ Days Active</w:t>
        <w:br/>
        <w:t>Silver Miner: 100+ Days Active</w:t>
        <w:br/>
        <w:t>Gold Miner: 365+ Days Active</w:t>
        <w:br/>
        <w:t>Diamond Miner: 730+ Days Active</w:t>
        <w:br/>
        <w:br/>
        <w:t>Initial Loyalty Bonus: 5%</w:t>
        <w:br/>
        <w:t>Additional Loyalty Increase: +2% per year</w:t>
      </w:r>
    </w:p>
    <w:p>
      <w:pPr>
        <w:pStyle w:val="Heading1"/>
      </w:pPr>
      <w:r>
        <w:t>Marketplace Vision</w:t>
      </w:r>
    </w:p>
    <w:p>
      <w:r>
        <w:t>Marketplace</w:t>
        <w:br/>
        <w:t>Auctions</w:t>
        <w:br/>
        <w:t>Garage Sales</w:t>
        <w:br/>
        <w:t>Business Liquidations</w:t>
        <w:br/>
        <w:t>Services Marketplace</w:t>
        <w:br/>
        <w:t>Peer-to-Peer Commerce</w:t>
        <w:br/>
        <w:t>Community Rewards</w:t>
      </w:r>
    </w:p>
    <w:p>
      <w:pPr>
        <w:pStyle w:val="Heading1"/>
      </w:pPr>
      <w:r>
        <w:t>Revenue Model</w:t>
      </w:r>
    </w:p>
    <w:p>
      <w:r>
        <w:t>Official Pool Fee: 1%</w:t>
        <w:br/>
        <w:t>Marketplace Fee: 0.5%</w:t>
        <w:br/>
        <w:t>Auction Fees</w:t>
        <w:br/>
        <w:t>Premium Features</w:t>
        <w:br/>
        <w:t>Business Services</w:t>
        <w:br/>
        <w:br/>
        <w:t>A portion of ecosystem fees may be burned to reduce circulating supply.</w:t>
      </w:r>
    </w:p>
    <w:p>
      <w:pPr>
        <w:pStyle w:val="Heading1"/>
      </w:pPr>
      <w:r>
        <w:t>Roadmap Summary</w:t>
      </w:r>
    </w:p>
    <w:p>
      <w:r>
        <w:t>Phase 1: Foundation</w:t>
        <w:br/>
        <w:t>Phase 2: Development</w:t>
        <w:br/>
        <w:t>Phase 3: Testnet</w:t>
        <w:br/>
        <w:t>Phase 4: Mainnet Launch</w:t>
        <w:br/>
        <w:t>Phase 5: Community Growth</w:t>
        <w:br/>
        <w:t>Phase 6: Exchange Listings</w:t>
        <w:br/>
        <w:t>Phase 7: Marketplace Launch</w:t>
        <w:br/>
        <w:t>Phase 8: Ecosystem Expansion</w:t>
      </w:r>
    </w:p>
    <w:p>
      <w:pPr>
        <w:pStyle w:val="Heading1"/>
      </w:pPr>
      <w:r>
        <w:t>Long-Term Vision</w:t>
      </w:r>
    </w:p>
    <w:p>
      <w:r>
        <w:t>Build a global community-powered economy where mining, commerce, auctions, services, and digital trade operate through the MNR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