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98" w:type="dxa"/>
        <w:tblInd w:w="1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411"/>
        <w:gridCol w:w="4246"/>
        <w:gridCol w:w="2441"/>
      </w:tblGrid>
      <w:tr w:rsidR="00077950" w:rsidRPr="00EC6A4B" w:rsidTr="007D68E2">
        <w:trPr>
          <w:trHeight w:val="330"/>
          <w:tblHeader/>
        </w:trPr>
        <w:tc>
          <w:tcPr>
            <w:tcW w:w="2400" w:type="dxa"/>
            <w:vMerge w:val="restart"/>
            <w:shd w:val="clear" w:color="auto" w:fill="8DB3E2" w:themeFill="text2" w:themeFillTint="66"/>
            <w:noWrap/>
          </w:tcPr>
          <w:p w:rsidR="00077950" w:rsidRPr="00EC6A4B" w:rsidRDefault="00077950" w:rsidP="00077950">
            <w:pPr>
              <w:spacing w:after="0" w:line="240" w:lineRule="auto"/>
              <w:jc w:val="left"/>
              <w:rPr>
                <w:rFonts w:eastAsia="Times New Roman" w:cs="Times New Roman"/>
                <w:b/>
                <w:bCs/>
                <w:color w:val="000000"/>
                <w:sz w:val="18"/>
                <w:szCs w:val="18"/>
                <w:lang w:val="es-ES" w:eastAsia="es-ES"/>
              </w:rPr>
            </w:pPr>
          </w:p>
          <w:p w:rsidR="00077950" w:rsidRPr="00EC6A4B" w:rsidRDefault="00077950" w:rsidP="00077950">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MANEJO DE RECURSOS HÍDRICOS</w:t>
            </w:r>
          </w:p>
        </w:tc>
        <w:tc>
          <w:tcPr>
            <w:tcW w:w="6698" w:type="dxa"/>
            <w:gridSpan w:val="2"/>
            <w:shd w:val="clear" w:color="auto" w:fill="8DB3E2" w:themeFill="text2" w:themeFillTint="66"/>
            <w:vAlign w:val="center"/>
          </w:tcPr>
          <w:p w:rsidR="00077950" w:rsidRPr="00EC6A4B" w:rsidRDefault="00077950" w:rsidP="00077950">
            <w:pPr>
              <w:spacing w:after="0"/>
              <w:jc w:val="left"/>
              <w:rPr>
                <w:rFonts w:eastAsia="Times New Roman"/>
                <w:color w:val="000000"/>
                <w:sz w:val="16"/>
                <w:szCs w:val="16"/>
              </w:rPr>
            </w:pPr>
            <w:r w:rsidRPr="00EC6A4B">
              <w:rPr>
                <w:color w:val="000000"/>
                <w:sz w:val="16"/>
                <w:szCs w:val="16"/>
              </w:rPr>
              <w:t>OBJ 01. Equilibrio, seguridad y disponibilidad de recursos hídricos</w:t>
            </w:r>
          </w:p>
        </w:tc>
      </w:tr>
      <w:tr w:rsidR="00077950" w:rsidRPr="00EC6A4B" w:rsidTr="007D68E2">
        <w:trPr>
          <w:trHeight w:val="330"/>
          <w:tblHeader/>
        </w:trPr>
        <w:tc>
          <w:tcPr>
            <w:tcW w:w="2400" w:type="dxa"/>
            <w:vMerge/>
            <w:shd w:val="clear" w:color="auto" w:fill="8DB3E2" w:themeFill="text2" w:themeFillTint="66"/>
            <w:noWrap/>
          </w:tcPr>
          <w:p w:rsidR="00077950" w:rsidRPr="00EC6A4B" w:rsidRDefault="00077950" w:rsidP="00077950">
            <w:pPr>
              <w:spacing w:after="0" w:line="240" w:lineRule="auto"/>
              <w:jc w:val="left"/>
              <w:rPr>
                <w:rFonts w:eastAsia="Times New Roman" w:cs="Times New Roman"/>
                <w:b/>
                <w:bCs/>
                <w:color w:val="000000"/>
                <w:sz w:val="18"/>
                <w:szCs w:val="18"/>
                <w:lang w:val="es-ES" w:eastAsia="es-ES"/>
              </w:rPr>
            </w:pPr>
          </w:p>
        </w:tc>
        <w:tc>
          <w:tcPr>
            <w:tcW w:w="6698" w:type="dxa"/>
            <w:gridSpan w:val="2"/>
            <w:shd w:val="clear" w:color="auto" w:fill="8DB3E2" w:themeFill="text2" w:themeFillTint="66"/>
            <w:vAlign w:val="center"/>
          </w:tcPr>
          <w:p w:rsidR="00077950" w:rsidRPr="00EC6A4B" w:rsidRDefault="00077950" w:rsidP="00077950">
            <w:pPr>
              <w:rPr>
                <w:color w:val="000000"/>
                <w:sz w:val="16"/>
                <w:szCs w:val="16"/>
              </w:rPr>
            </w:pPr>
            <w:r w:rsidRPr="00EC6A4B">
              <w:rPr>
                <w:color w:val="000000"/>
                <w:sz w:val="16"/>
                <w:szCs w:val="16"/>
              </w:rPr>
              <w:t>L02. Aumentar la seguridad de acceso y disponibilidad de los recursos hídricos mediante desarrollo de infraestructura hidráulica</w:t>
            </w:r>
          </w:p>
        </w:tc>
      </w:tr>
      <w:tr w:rsidR="00077950" w:rsidRPr="00EC6A4B" w:rsidTr="007D68E2">
        <w:trPr>
          <w:trHeight w:val="673"/>
          <w:tblHeader/>
        </w:trPr>
        <w:tc>
          <w:tcPr>
            <w:tcW w:w="6654" w:type="dxa"/>
            <w:gridSpan w:val="2"/>
            <w:shd w:val="clear" w:color="auto" w:fill="F2F2F2" w:themeFill="background1" w:themeFillShade="F2"/>
            <w:noWrap/>
          </w:tcPr>
          <w:p w:rsidR="00077950" w:rsidRPr="00EC6A4B" w:rsidRDefault="00077950" w:rsidP="00A2612C">
            <w:pPr>
              <w:spacing w:after="0" w:line="240" w:lineRule="auto"/>
              <w:jc w:val="left"/>
              <w:rPr>
                <w:rFonts w:eastAsia="Times New Roman" w:cs="Times New Roman"/>
                <w:b/>
                <w:color w:val="000000"/>
                <w:sz w:val="22"/>
                <w:szCs w:val="18"/>
                <w:lang w:val="es-ES" w:eastAsia="es-ES"/>
              </w:rPr>
            </w:pPr>
            <w:r w:rsidRPr="00EC6A4B">
              <w:rPr>
                <w:rFonts w:eastAsia="Times New Roman" w:cs="Times New Roman"/>
                <w:b/>
                <w:color w:val="000000"/>
                <w:sz w:val="22"/>
                <w:szCs w:val="18"/>
                <w:lang w:val="es-ES" w:eastAsia="es-ES"/>
              </w:rPr>
              <w:t xml:space="preserve">Implementación de </w:t>
            </w:r>
            <w:r w:rsidR="00A2612C" w:rsidRPr="00EC6A4B">
              <w:rPr>
                <w:rFonts w:eastAsia="Times New Roman" w:cs="Times New Roman"/>
                <w:b/>
                <w:color w:val="000000"/>
                <w:sz w:val="22"/>
                <w:szCs w:val="18"/>
                <w:lang w:val="es-ES" w:eastAsia="es-ES"/>
              </w:rPr>
              <w:t xml:space="preserve">Infraestructura para la recarga de acuíferos </w:t>
            </w:r>
          </w:p>
        </w:tc>
        <w:tc>
          <w:tcPr>
            <w:tcW w:w="2444" w:type="dxa"/>
            <w:shd w:val="clear" w:color="auto" w:fill="F2F2F2" w:themeFill="background1" w:themeFillShade="F2"/>
          </w:tcPr>
          <w:p w:rsidR="00077950" w:rsidRPr="00EC6A4B" w:rsidRDefault="00077950" w:rsidP="00F17532">
            <w:pPr>
              <w:spacing w:after="0" w:line="240" w:lineRule="auto"/>
              <w:jc w:val="center"/>
              <w:rPr>
                <w:rFonts w:eastAsia="Times New Roman" w:cs="Times New Roman"/>
                <w:b/>
                <w:color w:val="000000"/>
                <w:sz w:val="22"/>
                <w:szCs w:val="18"/>
                <w:lang w:val="es-ES" w:eastAsia="es-ES"/>
              </w:rPr>
            </w:pPr>
            <w:r w:rsidRPr="00EC6A4B">
              <w:rPr>
                <w:rFonts w:eastAsia="Times New Roman" w:cs="Times New Roman"/>
                <w:b/>
                <w:color w:val="000000"/>
                <w:sz w:val="52"/>
                <w:szCs w:val="18"/>
                <w:lang w:val="es-ES" w:eastAsia="es-ES"/>
              </w:rPr>
              <w:t>SL-04</w:t>
            </w:r>
          </w:p>
        </w:tc>
      </w:tr>
      <w:tr w:rsidR="00501739" w:rsidRPr="00EC6A4B" w:rsidTr="007D68E2">
        <w:trPr>
          <w:trHeight w:val="128"/>
          <w:tblHeader/>
        </w:trPr>
        <w:tc>
          <w:tcPr>
            <w:tcW w:w="9098" w:type="dxa"/>
            <w:gridSpan w:val="3"/>
            <w:shd w:val="clear" w:color="auto" w:fill="auto"/>
            <w:noWrap/>
          </w:tcPr>
          <w:p w:rsidR="00501739" w:rsidRPr="00EC6A4B" w:rsidRDefault="00501739" w:rsidP="0019177F">
            <w:pPr>
              <w:spacing w:after="0" w:line="240" w:lineRule="auto"/>
              <w:jc w:val="left"/>
              <w:rPr>
                <w:rFonts w:eastAsia="Times New Roman" w:cs="Times New Roman"/>
                <w:b/>
                <w:color w:val="000000"/>
                <w:sz w:val="4"/>
                <w:szCs w:val="4"/>
                <w:lang w:val="es-ES" w:eastAsia="es-ES"/>
              </w:rPr>
            </w:pPr>
          </w:p>
        </w:tc>
      </w:tr>
      <w:tr w:rsidR="007A3540" w:rsidRPr="00EC6A4B" w:rsidTr="007D68E2">
        <w:trPr>
          <w:trHeight w:val="300"/>
        </w:trPr>
        <w:tc>
          <w:tcPr>
            <w:tcW w:w="9098" w:type="dxa"/>
            <w:gridSpan w:val="3"/>
            <w:shd w:val="clear" w:color="auto" w:fill="F2F2F2" w:themeFill="background1" w:themeFillShade="F2"/>
            <w:noWrap/>
            <w:hideMark/>
          </w:tcPr>
          <w:p w:rsidR="007A3540" w:rsidRPr="00EC6A4B" w:rsidRDefault="007A3540" w:rsidP="0009649D">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Antecedentes</w:t>
            </w:r>
            <w:r w:rsidR="0009649D" w:rsidRPr="00EC6A4B">
              <w:rPr>
                <w:rFonts w:eastAsia="Times New Roman" w:cs="Times New Roman"/>
                <w:b/>
                <w:bCs/>
                <w:color w:val="000000"/>
                <w:sz w:val="18"/>
                <w:szCs w:val="18"/>
                <w:lang w:val="es-ES" w:eastAsia="es-ES"/>
              </w:rPr>
              <w:t xml:space="preserve"> Generales de l</w:t>
            </w:r>
            <w:r w:rsidRPr="00EC6A4B">
              <w:rPr>
                <w:rFonts w:eastAsia="Times New Roman" w:cs="Times New Roman"/>
                <w:b/>
                <w:bCs/>
                <w:color w:val="000000"/>
                <w:sz w:val="18"/>
                <w:szCs w:val="18"/>
                <w:lang w:val="es-ES" w:eastAsia="es-ES"/>
              </w:rPr>
              <w:t>a Sub Línea de Acción</w:t>
            </w:r>
          </w:p>
        </w:tc>
      </w:tr>
      <w:tr w:rsidR="007A3540" w:rsidRPr="00EC6A4B" w:rsidTr="007D68E2">
        <w:trPr>
          <w:trHeight w:val="1250"/>
        </w:trPr>
        <w:tc>
          <w:tcPr>
            <w:tcW w:w="9098" w:type="dxa"/>
            <w:gridSpan w:val="3"/>
            <w:shd w:val="clear" w:color="auto" w:fill="auto"/>
            <w:noWrap/>
          </w:tcPr>
          <w:p w:rsidR="007A3540" w:rsidRPr="00EC6A4B" w:rsidRDefault="0083726E" w:rsidP="005B0802">
            <w:pPr>
              <w:rPr>
                <w:rFonts w:eastAsia="Times New Roman"/>
                <w:sz w:val="18"/>
                <w:lang w:eastAsia="es-ES"/>
              </w:rPr>
            </w:pPr>
            <w:r w:rsidRPr="00EC6A4B">
              <w:rPr>
                <w:rFonts w:eastAsia="Times New Roman"/>
                <w:sz w:val="18"/>
                <w:lang w:eastAsia="es-ES"/>
              </w:rPr>
              <w:t xml:space="preserve">Según señala DGA, para constituir derechos de aprovechamiento de aguas subterráneas en un sector acuífero se requiere la disponibilidad de recurso hídrico subterráneo (volumen sustentable), entendido como aquel volumen que permite un equilibrio de largo plazo del sistema, otorgando respaldo físico a los derechos de aprovechamiento constituidos de aguas subterráneas, no generando afección a derechos de terceros (tanto superficiales como subterráneos), y no produciendo impactos no deseados a la fuente y al medioambiente. Una vez otorgada la totalidad de este volumen sustentable en calidad de derechos de aprovechamiento de aguas definitivos, la DGA estima que existe el riesgo grave de disminución del sector acuífero, procediendo a declararlo en restricción. </w:t>
            </w:r>
          </w:p>
          <w:p w:rsidR="00A2612C" w:rsidRPr="00EC6A4B" w:rsidRDefault="0083726E" w:rsidP="0009649D">
            <w:pPr>
              <w:rPr>
                <w:rFonts w:eastAsia="Times New Roman"/>
                <w:sz w:val="18"/>
                <w:lang w:eastAsia="es-ES"/>
              </w:rPr>
            </w:pPr>
            <w:r w:rsidRPr="00EC6A4B">
              <w:rPr>
                <w:rFonts w:eastAsia="Times New Roman"/>
                <w:sz w:val="18"/>
                <w:lang w:eastAsia="es-ES"/>
              </w:rPr>
              <w:t xml:space="preserve">De este modo, la región cuenta con dos zonas de restricción de acuíferos, en el sector Belco-Arenal (cuenca del Río Perquilauquén), y en el sector Teno – Lontué, en la parte baja de las cuencas del mismo nombre. </w:t>
            </w:r>
            <w:r w:rsidR="00E22D00" w:rsidRPr="00EC6A4B">
              <w:rPr>
                <w:rFonts w:eastAsia="Times New Roman"/>
                <w:sz w:val="18"/>
                <w:lang w:eastAsia="es-ES"/>
              </w:rPr>
              <w:t xml:space="preserve">Esta restricción está asociada al no desarrollo del potencial productivo de cada territorio, por lo que se requiere evaluar alternativas para aumentar la disponibilidad de agua. </w:t>
            </w:r>
          </w:p>
          <w:p w:rsidR="0009649D" w:rsidRPr="00EC6A4B" w:rsidRDefault="0009649D" w:rsidP="0009649D">
            <w:pPr>
              <w:rPr>
                <w:rFonts w:eastAsia="Times New Roman"/>
                <w:sz w:val="18"/>
                <w:lang w:eastAsia="es-ES"/>
              </w:rPr>
            </w:pPr>
          </w:p>
        </w:tc>
      </w:tr>
      <w:tr w:rsidR="007A3540" w:rsidRPr="00EC6A4B" w:rsidTr="007D68E2">
        <w:trPr>
          <w:trHeight w:val="300"/>
        </w:trPr>
        <w:tc>
          <w:tcPr>
            <w:tcW w:w="9098" w:type="dxa"/>
            <w:gridSpan w:val="3"/>
            <w:shd w:val="clear" w:color="auto" w:fill="F2F2F2" w:themeFill="background1" w:themeFillShade="F2"/>
            <w:noWrap/>
            <w:hideMark/>
          </w:tcPr>
          <w:p w:rsidR="007A3540" w:rsidRPr="00EC6A4B" w:rsidRDefault="007A3540" w:rsidP="005D7702">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Objetivo General de las Iniciativas dentro de la Sub Línea de Acción  </w:t>
            </w:r>
          </w:p>
        </w:tc>
      </w:tr>
      <w:tr w:rsidR="007A3540" w:rsidRPr="00EC6A4B" w:rsidTr="007D68E2">
        <w:trPr>
          <w:trHeight w:val="607"/>
        </w:trPr>
        <w:tc>
          <w:tcPr>
            <w:tcW w:w="9098" w:type="dxa"/>
            <w:gridSpan w:val="3"/>
            <w:shd w:val="clear" w:color="auto" w:fill="auto"/>
            <w:noWrap/>
          </w:tcPr>
          <w:p w:rsidR="007A3540" w:rsidRPr="00EC6A4B" w:rsidRDefault="005B0802" w:rsidP="0009649D">
            <w:pPr>
              <w:rPr>
                <w:rFonts w:eastAsia="Times New Roman"/>
                <w:sz w:val="18"/>
                <w:lang w:val="es-ES" w:eastAsia="es-ES"/>
              </w:rPr>
            </w:pPr>
            <w:r w:rsidRPr="00EC6A4B">
              <w:rPr>
                <w:rFonts w:eastAsia="Times New Roman"/>
                <w:sz w:val="18"/>
                <w:lang w:val="es-ES" w:eastAsia="es-ES"/>
              </w:rPr>
              <w:t>Realizar un manejo efectivo de los acuíferos de las zonas afectadas por decretos de restricción</w:t>
            </w:r>
            <w:r w:rsidR="0009649D" w:rsidRPr="00EC6A4B">
              <w:rPr>
                <w:rFonts w:eastAsia="Times New Roman"/>
                <w:sz w:val="18"/>
                <w:lang w:val="es-ES" w:eastAsia="es-ES"/>
              </w:rPr>
              <w:t xml:space="preserve"> mediante el desarrollo de infraestructura de recarga</w:t>
            </w:r>
            <w:r w:rsidRPr="00EC6A4B">
              <w:rPr>
                <w:rFonts w:eastAsia="Times New Roman"/>
                <w:sz w:val="18"/>
                <w:lang w:val="es-ES" w:eastAsia="es-ES"/>
              </w:rPr>
              <w:t xml:space="preserve">. </w:t>
            </w:r>
          </w:p>
        </w:tc>
      </w:tr>
      <w:tr w:rsidR="007A3540" w:rsidRPr="00EC6A4B" w:rsidTr="007D68E2">
        <w:trPr>
          <w:trHeight w:val="300"/>
        </w:trPr>
        <w:tc>
          <w:tcPr>
            <w:tcW w:w="9098" w:type="dxa"/>
            <w:gridSpan w:val="3"/>
            <w:shd w:val="clear" w:color="auto" w:fill="F2F2F2" w:themeFill="background1" w:themeFillShade="F2"/>
            <w:noWrap/>
            <w:hideMark/>
          </w:tcPr>
          <w:p w:rsidR="007A3540" w:rsidRPr="00EC6A4B" w:rsidRDefault="007A3540" w:rsidP="005D7702">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Descripción General de las Iniciativas dentro de la Sub Línea de Acción  </w:t>
            </w:r>
          </w:p>
        </w:tc>
      </w:tr>
      <w:tr w:rsidR="007A3540" w:rsidRPr="00EC6A4B" w:rsidTr="007D68E2">
        <w:trPr>
          <w:trHeight w:val="1724"/>
        </w:trPr>
        <w:tc>
          <w:tcPr>
            <w:tcW w:w="9098" w:type="dxa"/>
            <w:gridSpan w:val="3"/>
            <w:shd w:val="clear" w:color="auto" w:fill="auto"/>
            <w:noWrap/>
          </w:tcPr>
          <w:p w:rsidR="00240D93" w:rsidRPr="00EC6A4B" w:rsidRDefault="00240D93" w:rsidP="005D7702">
            <w:pPr>
              <w:rPr>
                <w:rFonts w:eastAsia="Times New Roman"/>
                <w:sz w:val="18"/>
                <w:lang w:val="es-ES" w:eastAsia="es-ES"/>
              </w:rPr>
            </w:pPr>
            <w:r w:rsidRPr="00EC6A4B">
              <w:rPr>
                <w:rFonts w:eastAsia="Times New Roman"/>
                <w:sz w:val="18"/>
                <w:lang w:val="es-ES" w:eastAsia="es-ES"/>
              </w:rPr>
              <w:t xml:space="preserve">La recarga de acuíferos es una alternativa que se debe evaluar para complementar los mecanismos de recarga natural estimados para una cuenca. A continuación se presenta un listado de métodos generales descritos en la bibliografía, y se evalúan y costean tres alternativas de infiltración. La información que se presenta corresponde a </w:t>
            </w:r>
            <w:r w:rsidRPr="00EC6A4B">
              <w:rPr>
                <w:rFonts w:eastAsia="Times New Roman"/>
                <w:sz w:val="18"/>
                <w:lang w:eastAsia="es-ES"/>
              </w:rPr>
              <w:t xml:space="preserve">los antecedentes recopilados en la </w:t>
            </w:r>
            <w:r w:rsidRPr="00EC6A4B">
              <w:rPr>
                <w:rFonts w:eastAsia="Times New Roman"/>
                <w:sz w:val="18"/>
                <w:lang w:val="es-ES" w:eastAsia="es-ES"/>
              </w:rPr>
              <w:t>tesis “Recarga Artificial de Acuíferos en la cuenca del río Maule” (Moreno, 2015 – Universidad de Chile).</w:t>
            </w:r>
          </w:p>
          <w:p w:rsidR="00240D93" w:rsidRPr="00EC6A4B" w:rsidRDefault="00240D93" w:rsidP="005D7702">
            <w:pPr>
              <w:rPr>
                <w:rFonts w:eastAsia="Times New Roman"/>
                <w:sz w:val="18"/>
                <w:lang w:val="es-ES" w:eastAsia="es-ES"/>
              </w:rPr>
            </w:pPr>
            <w:r w:rsidRPr="00EC6A4B">
              <w:rPr>
                <w:rFonts w:eastAsia="Times New Roman"/>
                <w:sz w:val="18"/>
                <w:lang w:val="es-ES" w:eastAsia="es-ES"/>
              </w:rPr>
              <w:t xml:space="preserve">Sin embargo, se debe dejar claro que los antecedentes, valores de recarga y costos se presentan con propósito de ilustrar las alternativas disponibles y cuantificar su relevancia en cada acuífero. Sin embargo, su evaluación, diseño e implementación debe ser realizada mediante un estudio específico. </w:t>
            </w:r>
          </w:p>
          <w:p w:rsidR="00CB4ADE" w:rsidRPr="00EC6A4B" w:rsidRDefault="00CB4ADE" w:rsidP="005D7702">
            <w:pPr>
              <w:rPr>
                <w:rFonts w:eastAsia="Times New Roman"/>
                <w:sz w:val="18"/>
                <w:lang w:val="es-ES" w:eastAsia="es-ES"/>
              </w:rPr>
            </w:pPr>
          </w:p>
          <w:p w:rsidR="00CB4ADE" w:rsidRPr="00EC6A4B" w:rsidRDefault="00CB4ADE" w:rsidP="005D7702">
            <w:pPr>
              <w:rPr>
                <w:rFonts w:eastAsia="Times New Roman"/>
                <w:sz w:val="18"/>
                <w:lang w:val="es-ES" w:eastAsia="es-ES"/>
              </w:rPr>
            </w:pPr>
            <w:r w:rsidRPr="00EC6A4B">
              <w:rPr>
                <w:rFonts w:eastAsia="Times New Roman"/>
                <w:sz w:val="18"/>
                <w:lang w:val="es-ES" w:eastAsia="es-ES"/>
              </w:rPr>
              <w:t>MECANISMOS DE RECARGA DE ACUÍFEROS</w:t>
            </w:r>
          </w:p>
          <w:p w:rsidR="005D7702" w:rsidRPr="00EC6A4B" w:rsidRDefault="00060F38" w:rsidP="005D7702">
            <w:pPr>
              <w:rPr>
                <w:rFonts w:eastAsia="Times New Roman"/>
                <w:sz w:val="18"/>
                <w:lang w:val="es-ES" w:eastAsia="es-ES"/>
              </w:rPr>
            </w:pPr>
            <w:r w:rsidRPr="00EC6A4B">
              <w:rPr>
                <w:rFonts w:eastAsia="Times New Roman"/>
                <w:sz w:val="18"/>
                <w:lang w:val="es-ES" w:eastAsia="es-ES"/>
              </w:rPr>
              <w:t>Los sistemas de recarga de acuíferos pueden ser  de múltiples tipos, y en cada caso se debe realizar una evaluación detallada para establecer cuál es la alternativa adecuada para cada sector, dependiendo de las características hidrogeológicas y la disponibilidad de agua (cantidad, calidad y oportunidad).</w:t>
            </w:r>
            <w:r w:rsidR="005D7702" w:rsidRPr="00EC6A4B">
              <w:rPr>
                <w:rFonts w:eastAsia="Times New Roman"/>
                <w:sz w:val="18"/>
                <w:lang w:val="es-ES" w:eastAsia="es-ES"/>
              </w:rPr>
              <w:t xml:space="preserve"> </w:t>
            </w:r>
            <w:r w:rsidRPr="00EC6A4B">
              <w:rPr>
                <w:rFonts w:eastAsia="Times New Roman"/>
                <w:sz w:val="18"/>
                <w:lang w:val="es-ES" w:eastAsia="es-ES"/>
              </w:rPr>
              <w:t>A continuación se listan distintos métodos de recarga</w:t>
            </w:r>
            <w:r w:rsidR="005D7702" w:rsidRPr="00EC6A4B">
              <w:rPr>
                <w:rFonts w:eastAsia="Times New Roman"/>
                <w:sz w:val="18"/>
                <w:lang w:val="es-ES" w:eastAsia="es-ES"/>
              </w:rPr>
              <w:t>:</w:t>
            </w:r>
          </w:p>
          <w:p w:rsidR="00060F38" w:rsidRPr="00EC6A4B" w:rsidRDefault="005D7702" w:rsidP="005D7702">
            <w:pPr>
              <w:rPr>
                <w:rFonts w:eastAsia="Times New Roman"/>
                <w:sz w:val="18"/>
                <w:lang w:val="es-ES" w:eastAsia="es-ES"/>
              </w:rPr>
            </w:pPr>
            <w:r w:rsidRPr="00EC6A4B">
              <w:rPr>
                <w:rFonts w:eastAsia="Times New Roman"/>
                <w:sz w:val="18"/>
                <w:lang w:val="es-ES" w:eastAsia="es-ES"/>
              </w:rPr>
              <w:lastRenderedPageBreak/>
              <w:t>A. Aguas superficiales</w:t>
            </w:r>
          </w:p>
          <w:p w:rsidR="005D7702" w:rsidRPr="00EC6A4B" w:rsidRDefault="00060F38" w:rsidP="00437D46">
            <w:pPr>
              <w:pStyle w:val="Prrafodelista"/>
              <w:numPr>
                <w:ilvl w:val="0"/>
                <w:numId w:val="23"/>
              </w:numPr>
              <w:rPr>
                <w:rFonts w:eastAsia="Times New Roman"/>
                <w:sz w:val="18"/>
                <w:lang w:val="es-ES" w:eastAsia="es-ES"/>
              </w:rPr>
            </w:pPr>
            <w:r w:rsidRPr="00EC6A4B">
              <w:rPr>
                <w:rFonts w:eastAsia="Times New Roman"/>
                <w:sz w:val="18"/>
                <w:lang w:val="es-ES" w:eastAsia="es-ES"/>
              </w:rPr>
              <w:t xml:space="preserve">En </w:t>
            </w:r>
            <w:r w:rsidR="005D7702" w:rsidRPr="00EC6A4B">
              <w:rPr>
                <w:rFonts w:eastAsia="Times New Roman"/>
                <w:sz w:val="18"/>
                <w:lang w:val="es-ES" w:eastAsia="es-ES"/>
              </w:rPr>
              <w:t xml:space="preserve">cursos </w:t>
            </w:r>
            <w:r w:rsidRPr="00EC6A4B">
              <w:rPr>
                <w:rFonts w:eastAsia="Times New Roman"/>
                <w:sz w:val="18"/>
                <w:lang w:val="es-ES" w:eastAsia="es-ES"/>
              </w:rPr>
              <w:t>de agua</w:t>
            </w:r>
          </w:p>
          <w:p w:rsidR="00060F38"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 xml:space="preserve">1.1 </w:t>
            </w:r>
            <w:r w:rsidR="00060F38" w:rsidRPr="00EC6A4B">
              <w:rPr>
                <w:rFonts w:eastAsia="Times New Roman"/>
                <w:sz w:val="18"/>
                <w:lang w:val="es-ES" w:eastAsia="es-ES"/>
              </w:rPr>
              <w:t>Represas perforadas</w:t>
            </w:r>
          </w:p>
          <w:p w:rsidR="00060F38"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 xml:space="preserve">1.2 </w:t>
            </w:r>
            <w:r w:rsidR="00060F38" w:rsidRPr="00EC6A4B">
              <w:rPr>
                <w:rFonts w:eastAsia="Times New Roman"/>
                <w:sz w:val="18"/>
                <w:lang w:val="es-ES" w:eastAsia="es-ES"/>
              </w:rPr>
              <w:t>Estanques de percolación asociados a represas de control</w:t>
            </w:r>
          </w:p>
          <w:p w:rsidR="00060F38"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 xml:space="preserve">1.3 </w:t>
            </w:r>
            <w:r w:rsidR="00060F38" w:rsidRPr="00EC6A4B">
              <w:rPr>
                <w:rFonts w:eastAsia="Times New Roman"/>
                <w:sz w:val="18"/>
                <w:lang w:val="es-ES" w:eastAsia="es-ES"/>
              </w:rPr>
              <w:t>Represas de arena para almacenamiento</w:t>
            </w:r>
          </w:p>
          <w:p w:rsidR="005D7702"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1.4 Diques</w:t>
            </w:r>
          </w:p>
          <w:p w:rsidR="005D7702" w:rsidRPr="00EC6A4B" w:rsidRDefault="005D7702" w:rsidP="005D7702">
            <w:pPr>
              <w:pStyle w:val="Prrafodelista"/>
              <w:rPr>
                <w:rFonts w:eastAsia="Times New Roman"/>
                <w:sz w:val="18"/>
                <w:lang w:val="es-ES" w:eastAsia="es-ES"/>
              </w:rPr>
            </w:pPr>
          </w:p>
          <w:p w:rsidR="00060F38" w:rsidRPr="00EC6A4B" w:rsidRDefault="00060F38" w:rsidP="00437D46">
            <w:pPr>
              <w:pStyle w:val="Prrafodelista"/>
              <w:numPr>
                <w:ilvl w:val="0"/>
                <w:numId w:val="23"/>
              </w:numPr>
              <w:rPr>
                <w:rFonts w:eastAsia="Times New Roman"/>
                <w:sz w:val="18"/>
                <w:lang w:val="es-ES" w:eastAsia="es-ES"/>
              </w:rPr>
            </w:pPr>
            <w:r w:rsidRPr="00EC6A4B">
              <w:rPr>
                <w:rFonts w:eastAsia="Times New Roman"/>
                <w:sz w:val="18"/>
                <w:lang w:val="es-ES" w:eastAsia="es-ES"/>
              </w:rPr>
              <w:t>Fuera de curso</w:t>
            </w:r>
          </w:p>
          <w:p w:rsidR="00060F38"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 xml:space="preserve">2.1 </w:t>
            </w:r>
            <w:r w:rsidR="00060F38" w:rsidRPr="00EC6A4B">
              <w:rPr>
                <w:rFonts w:eastAsia="Times New Roman"/>
                <w:sz w:val="18"/>
                <w:lang w:val="es-ES" w:eastAsia="es-ES"/>
              </w:rPr>
              <w:t>Laguna o cuenca de infiltración</w:t>
            </w:r>
          </w:p>
          <w:p w:rsidR="00060F38" w:rsidRPr="00EC6A4B" w:rsidRDefault="005D7702" w:rsidP="00437D46">
            <w:pPr>
              <w:pStyle w:val="Prrafodelista"/>
              <w:numPr>
                <w:ilvl w:val="0"/>
                <w:numId w:val="21"/>
              </w:numPr>
              <w:rPr>
                <w:rFonts w:eastAsia="Times New Roman"/>
                <w:sz w:val="18"/>
                <w:lang w:val="es-ES" w:eastAsia="es-ES"/>
              </w:rPr>
            </w:pPr>
            <w:r w:rsidRPr="00EC6A4B">
              <w:rPr>
                <w:rFonts w:eastAsia="Times New Roman"/>
                <w:sz w:val="18"/>
                <w:lang w:val="es-ES" w:eastAsia="es-ES"/>
              </w:rPr>
              <w:t xml:space="preserve">2.2 </w:t>
            </w:r>
            <w:r w:rsidR="00060F38" w:rsidRPr="00EC6A4B">
              <w:rPr>
                <w:rFonts w:eastAsia="Times New Roman"/>
                <w:sz w:val="18"/>
                <w:lang w:val="es-ES" w:eastAsia="es-ES"/>
              </w:rPr>
              <w:t>Inundación controlada</w:t>
            </w:r>
          </w:p>
          <w:p w:rsidR="005D7702" w:rsidRPr="00EC6A4B" w:rsidRDefault="005D7702" w:rsidP="005D7702">
            <w:pPr>
              <w:rPr>
                <w:rFonts w:eastAsia="Times New Roman"/>
                <w:sz w:val="18"/>
                <w:lang w:val="es-ES" w:eastAsia="es-ES"/>
              </w:rPr>
            </w:pPr>
          </w:p>
          <w:p w:rsidR="005D7702" w:rsidRPr="00EC6A4B" w:rsidRDefault="005D7702" w:rsidP="005D7702">
            <w:pPr>
              <w:rPr>
                <w:rFonts w:eastAsia="Times New Roman"/>
                <w:sz w:val="18"/>
                <w:lang w:val="es-ES" w:eastAsia="es-ES"/>
              </w:rPr>
            </w:pPr>
            <w:r w:rsidRPr="00EC6A4B">
              <w:rPr>
                <w:rFonts w:eastAsia="Times New Roman"/>
                <w:sz w:val="18"/>
                <w:lang w:val="es-ES" w:eastAsia="es-ES"/>
              </w:rPr>
              <w:t xml:space="preserve">B. Sistemas subsuperficiales </w:t>
            </w:r>
          </w:p>
          <w:p w:rsidR="005D7702" w:rsidRPr="00EC6A4B" w:rsidRDefault="005D7702" w:rsidP="00437D46">
            <w:pPr>
              <w:pStyle w:val="Prrafodelista"/>
              <w:numPr>
                <w:ilvl w:val="0"/>
                <w:numId w:val="22"/>
              </w:numPr>
              <w:rPr>
                <w:rFonts w:eastAsia="Times New Roman"/>
                <w:sz w:val="18"/>
                <w:lang w:val="es-ES" w:eastAsia="es-ES"/>
              </w:rPr>
            </w:pPr>
            <w:r w:rsidRPr="00EC6A4B">
              <w:rPr>
                <w:rFonts w:eastAsia="Times New Roman"/>
                <w:sz w:val="18"/>
                <w:lang w:val="es-ES" w:eastAsia="es-ES"/>
              </w:rPr>
              <w:t>Pozo a la zona vadosa</w:t>
            </w:r>
          </w:p>
          <w:p w:rsidR="005D7702" w:rsidRPr="00EC6A4B" w:rsidRDefault="005D7702" w:rsidP="00437D46">
            <w:pPr>
              <w:pStyle w:val="Prrafodelista"/>
              <w:numPr>
                <w:ilvl w:val="0"/>
                <w:numId w:val="22"/>
              </w:numPr>
              <w:rPr>
                <w:rFonts w:eastAsia="Times New Roman"/>
                <w:sz w:val="18"/>
                <w:lang w:val="es-ES" w:eastAsia="es-ES"/>
              </w:rPr>
            </w:pPr>
            <w:r w:rsidRPr="00EC6A4B">
              <w:rPr>
                <w:rFonts w:eastAsia="Times New Roman"/>
                <w:sz w:val="18"/>
                <w:lang w:val="es-ES" w:eastAsia="es-ES"/>
              </w:rPr>
              <w:t>Zanjas o fosas de recarga</w:t>
            </w:r>
          </w:p>
          <w:p w:rsidR="005D7702" w:rsidRPr="00EC6A4B" w:rsidRDefault="005D7702" w:rsidP="005D7702">
            <w:pPr>
              <w:rPr>
                <w:rFonts w:eastAsia="Times New Roman"/>
                <w:sz w:val="18"/>
                <w:lang w:val="es-ES" w:eastAsia="es-ES"/>
              </w:rPr>
            </w:pPr>
          </w:p>
          <w:p w:rsidR="005D7702" w:rsidRPr="00EC6A4B" w:rsidRDefault="005D7702" w:rsidP="005D7702">
            <w:pPr>
              <w:rPr>
                <w:rFonts w:eastAsia="Times New Roman"/>
                <w:sz w:val="18"/>
                <w:lang w:val="es-ES" w:eastAsia="es-ES"/>
              </w:rPr>
            </w:pPr>
            <w:r w:rsidRPr="00EC6A4B">
              <w:rPr>
                <w:rFonts w:eastAsia="Times New Roman"/>
                <w:sz w:val="18"/>
                <w:lang w:val="es-ES" w:eastAsia="es-ES"/>
              </w:rPr>
              <w:t>C. Sistemas Directo al acuífero</w:t>
            </w:r>
          </w:p>
          <w:p w:rsidR="005D7702" w:rsidRPr="00EC6A4B" w:rsidRDefault="005D7702" w:rsidP="00437D46">
            <w:pPr>
              <w:pStyle w:val="Prrafodelista"/>
              <w:numPr>
                <w:ilvl w:val="0"/>
                <w:numId w:val="24"/>
              </w:numPr>
              <w:rPr>
                <w:rFonts w:eastAsia="Times New Roman"/>
                <w:sz w:val="18"/>
                <w:lang w:val="es-ES" w:eastAsia="es-ES"/>
              </w:rPr>
            </w:pPr>
            <w:r w:rsidRPr="00EC6A4B">
              <w:rPr>
                <w:rFonts w:eastAsia="Times New Roman"/>
                <w:sz w:val="18"/>
                <w:lang w:val="es-ES" w:eastAsia="es-ES"/>
              </w:rPr>
              <w:t>Pozos de inyección</w:t>
            </w:r>
          </w:p>
          <w:p w:rsidR="005D7702" w:rsidRPr="00EC6A4B" w:rsidRDefault="005D7702" w:rsidP="005D7702">
            <w:pPr>
              <w:rPr>
                <w:rFonts w:eastAsia="Times New Roman"/>
                <w:sz w:val="18"/>
                <w:lang w:val="es-ES" w:eastAsia="es-ES"/>
              </w:rPr>
            </w:pPr>
          </w:p>
          <w:p w:rsidR="005D7702" w:rsidRPr="00EC6A4B" w:rsidRDefault="005D7702" w:rsidP="005D7702">
            <w:pPr>
              <w:rPr>
                <w:rFonts w:eastAsia="Times New Roman"/>
                <w:sz w:val="18"/>
                <w:lang w:val="es-ES" w:eastAsia="es-ES"/>
              </w:rPr>
            </w:pPr>
            <w:r w:rsidRPr="00EC6A4B">
              <w:rPr>
                <w:rFonts w:eastAsia="Times New Roman"/>
                <w:sz w:val="18"/>
                <w:lang w:val="es-ES" w:eastAsia="es-ES"/>
              </w:rPr>
              <w:t>D. Otros sistemas</w:t>
            </w:r>
          </w:p>
          <w:p w:rsidR="005D7702" w:rsidRPr="00EC6A4B" w:rsidRDefault="005D7702" w:rsidP="00437D46">
            <w:pPr>
              <w:pStyle w:val="Prrafodelista"/>
              <w:numPr>
                <w:ilvl w:val="0"/>
                <w:numId w:val="25"/>
              </w:numPr>
              <w:rPr>
                <w:rFonts w:eastAsia="Times New Roman"/>
                <w:sz w:val="18"/>
                <w:lang w:val="en-US" w:eastAsia="es-ES"/>
              </w:rPr>
            </w:pPr>
            <w:r w:rsidRPr="00EC6A4B">
              <w:rPr>
                <w:rFonts w:eastAsia="Times New Roman"/>
                <w:sz w:val="18"/>
                <w:lang w:val="en-US" w:eastAsia="es-ES"/>
              </w:rPr>
              <w:t>ASR (Aquifer Storage and Recovery)</w:t>
            </w:r>
          </w:p>
          <w:p w:rsidR="005D7702" w:rsidRPr="00EC6A4B" w:rsidRDefault="005D7702" w:rsidP="00437D46">
            <w:pPr>
              <w:pStyle w:val="Prrafodelista"/>
              <w:numPr>
                <w:ilvl w:val="0"/>
                <w:numId w:val="25"/>
              </w:numPr>
              <w:rPr>
                <w:rFonts w:eastAsia="Times New Roman"/>
                <w:sz w:val="18"/>
                <w:lang w:val="en-US" w:eastAsia="es-ES"/>
              </w:rPr>
            </w:pPr>
            <w:r w:rsidRPr="00EC6A4B">
              <w:rPr>
                <w:rFonts w:eastAsia="Times New Roman"/>
                <w:sz w:val="18"/>
                <w:lang w:val="en-US" w:eastAsia="es-ES"/>
              </w:rPr>
              <w:t>ASTR (Aquifer Storage, Transfer and Recovery)</w:t>
            </w:r>
          </w:p>
          <w:p w:rsidR="005D7702" w:rsidRPr="00EC6A4B" w:rsidRDefault="005D7702" w:rsidP="00437D46">
            <w:pPr>
              <w:pStyle w:val="Prrafodelista"/>
              <w:numPr>
                <w:ilvl w:val="0"/>
                <w:numId w:val="25"/>
              </w:numPr>
              <w:rPr>
                <w:rFonts w:eastAsia="Times New Roman"/>
                <w:sz w:val="18"/>
                <w:lang w:val="es-ES" w:eastAsia="es-ES"/>
              </w:rPr>
            </w:pPr>
            <w:r w:rsidRPr="00EC6A4B">
              <w:rPr>
                <w:rFonts w:eastAsia="Times New Roman"/>
                <w:sz w:val="18"/>
                <w:lang w:val="es-ES" w:eastAsia="es-ES"/>
              </w:rPr>
              <w:t>Recarga inducida</w:t>
            </w:r>
          </w:p>
          <w:p w:rsidR="005D7702" w:rsidRPr="00EC6A4B" w:rsidRDefault="005D7702" w:rsidP="005D7702">
            <w:pPr>
              <w:rPr>
                <w:rFonts w:eastAsia="Times New Roman"/>
                <w:sz w:val="18"/>
                <w:lang w:val="en-US" w:eastAsia="es-ES"/>
              </w:rPr>
            </w:pPr>
          </w:p>
          <w:p w:rsidR="005D7702" w:rsidRPr="00EC6A4B" w:rsidRDefault="00240D93" w:rsidP="005D7702">
            <w:pPr>
              <w:rPr>
                <w:rFonts w:eastAsia="Times New Roman"/>
                <w:sz w:val="18"/>
                <w:lang w:eastAsia="es-ES"/>
              </w:rPr>
            </w:pPr>
            <w:r w:rsidRPr="00EC6A4B">
              <w:rPr>
                <w:rFonts w:eastAsia="Times New Roman"/>
                <w:sz w:val="18"/>
                <w:lang w:val="es-ES" w:eastAsia="es-ES"/>
              </w:rPr>
              <w:t xml:space="preserve">Siguiendo esta línea, se presentan tres alternativas de recarga específicas: zanjas de infiltración, pozos en zonas no saturadas, y pozos en zonas saturadas. </w:t>
            </w:r>
          </w:p>
          <w:p w:rsidR="00060F38" w:rsidRPr="00EC6A4B" w:rsidRDefault="00060F38" w:rsidP="005D7702">
            <w:pPr>
              <w:rPr>
                <w:rFonts w:eastAsia="Times New Roman"/>
                <w:sz w:val="18"/>
                <w:lang w:eastAsia="es-ES"/>
              </w:rPr>
            </w:pPr>
          </w:p>
          <w:p w:rsidR="00CB4ADE" w:rsidRPr="00EC6A4B" w:rsidRDefault="00CB4ADE" w:rsidP="005D7702">
            <w:pPr>
              <w:rPr>
                <w:rFonts w:eastAsia="Times New Roman"/>
                <w:sz w:val="18"/>
                <w:lang w:val="es-ES" w:eastAsia="es-ES"/>
              </w:rPr>
            </w:pPr>
            <w:r w:rsidRPr="00EC6A4B">
              <w:rPr>
                <w:rFonts w:eastAsia="Times New Roman"/>
                <w:sz w:val="18"/>
                <w:lang w:val="es-ES" w:eastAsia="es-ES"/>
              </w:rPr>
              <w:t>Zanjas de Infiltración</w:t>
            </w:r>
          </w:p>
          <w:p w:rsidR="00CB4ADE" w:rsidRPr="00EC6A4B" w:rsidRDefault="00CB4ADE" w:rsidP="005D7702">
            <w:pPr>
              <w:rPr>
                <w:rFonts w:eastAsia="Times New Roman"/>
                <w:sz w:val="18"/>
                <w:lang w:val="es-ES" w:eastAsia="es-ES"/>
              </w:rPr>
            </w:pPr>
            <w:r w:rsidRPr="00EC6A4B">
              <w:rPr>
                <w:rFonts w:eastAsia="Times New Roman"/>
                <w:sz w:val="18"/>
                <w:lang w:val="es-ES" w:eastAsia="es-ES"/>
              </w:rPr>
              <w:t xml:space="preserve">Las zanjas de infiltración son estructuras excavadas, suficientemente profundas para penetrar las capas de baja permeabilidad que </w:t>
            </w:r>
            <w:proofErr w:type="spellStart"/>
            <w:r w:rsidRPr="00EC6A4B">
              <w:rPr>
                <w:rFonts w:eastAsia="Times New Roman"/>
                <w:sz w:val="18"/>
                <w:lang w:val="es-ES" w:eastAsia="es-ES"/>
              </w:rPr>
              <w:t>sobreyacen</w:t>
            </w:r>
            <w:proofErr w:type="spellEnd"/>
            <w:r w:rsidRPr="00EC6A4B">
              <w:rPr>
                <w:rFonts w:eastAsia="Times New Roman"/>
                <w:sz w:val="18"/>
                <w:lang w:val="es-ES" w:eastAsia="es-ES"/>
              </w:rPr>
              <w:t xml:space="preserve"> al acuífero. En muchas de estas estructuras, la mayoría de la infiltración ocurre lateralmente a través de las paredes de la fosa, ya que, en general, en capas sedimentarias o materiales aluviales, la conductividad hidráulica lateral es considerablemente más alta que la conductividad hidráulica vertical. Las zanjas de recarga, </w:t>
            </w:r>
            <w:r w:rsidRPr="00EC6A4B">
              <w:rPr>
                <w:rFonts w:eastAsia="Times New Roman"/>
                <w:sz w:val="18"/>
                <w:lang w:val="es-ES" w:eastAsia="es-ES"/>
              </w:rPr>
              <w:lastRenderedPageBreak/>
              <w:t>típicamente, son de menos de 1 m de ancho y hasta de 5 m de profundidad. Ellas se rellenan con arena gruesa o grava fina. El agua, normalmente, es suministrada mediante una tubería perforada sobre la superficie del relleno, y la zanja se cubre para mimetizarla con los alrededores. Para las zanjas, el pre-tratamiento se realiza en la zanja misma colocando un filtro de arena con, posiblemente, un geotextil encima del relleno. Sin embargo, este filtro reduciría demasiado el flujo en el relleno, para lo cual la zanja debería ser ampliada en la parte superior para crear una zanja en forma de “T” con una gran área filtrante.</w:t>
            </w:r>
            <w:r w:rsidR="005260E3" w:rsidRPr="00EC6A4B">
              <w:rPr>
                <w:rFonts w:eastAsia="Times New Roman"/>
                <w:sz w:val="18"/>
                <w:lang w:val="es-ES" w:eastAsia="es-ES"/>
              </w:rPr>
              <w:t xml:space="preserve"> </w:t>
            </w:r>
          </w:p>
          <w:p w:rsidR="005260E3" w:rsidRPr="00EC6A4B" w:rsidRDefault="005260E3" w:rsidP="005D7702">
            <w:pPr>
              <w:rPr>
                <w:rFonts w:eastAsia="Times New Roman"/>
                <w:sz w:val="18"/>
                <w:lang w:val="es-ES" w:eastAsia="es-ES"/>
              </w:rPr>
            </w:pPr>
            <w:r w:rsidRPr="00EC6A4B">
              <w:rPr>
                <w:rFonts w:eastAsia="Times New Roman"/>
                <w:sz w:val="18"/>
                <w:lang w:val="es-ES" w:eastAsia="es-ES"/>
              </w:rPr>
              <w:t xml:space="preserve">Las condiciones de infiltración dependen de cada sitio, pero según se analiza en la tesis “Recarga Artificial de Acuíferos en la cuenca del río Maule” (Moreno, 2015 – Universidad de Chile), para una zanja de 25 m de largo, 2 m de ancho y 5 m de profundidad, el caudal infiltrado podría llegar a 21,01 l/s por zanja. De esta forma, una zanja de infiltración, operando </w:t>
            </w:r>
            <w:r w:rsidR="00B820F1" w:rsidRPr="00EC6A4B">
              <w:rPr>
                <w:rFonts w:eastAsia="Times New Roman"/>
                <w:sz w:val="18"/>
                <w:lang w:val="es-ES" w:eastAsia="es-ES"/>
              </w:rPr>
              <w:t>1</w:t>
            </w:r>
            <w:r w:rsidR="00060F38" w:rsidRPr="00EC6A4B">
              <w:rPr>
                <w:rFonts w:eastAsia="Times New Roman"/>
                <w:sz w:val="18"/>
                <w:lang w:val="es-ES" w:eastAsia="es-ES"/>
              </w:rPr>
              <w:t>2</w:t>
            </w:r>
            <w:r w:rsidR="00B820F1" w:rsidRPr="00EC6A4B">
              <w:rPr>
                <w:rFonts w:eastAsia="Times New Roman"/>
                <w:sz w:val="18"/>
                <w:lang w:val="es-ES" w:eastAsia="es-ES"/>
              </w:rPr>
              <w:t>0 días</w:t>
            </w:r>
            <w:r w:rsidRPr="00EC6A4B">
              <w:rPr>
                <w:rFonts w:eastAsia="Times New Roman"/>
                <w:sz w:val="18"/>
                <w:lang w:val="es-ES" w:eastAsia="es-ES"/>
              </w:rPr>
              <w:t xml:space="preserve"> al año en forma continua</w:t>
            </w:r>
            <w:r w:rsidR="004C14E0" w:rsidRPr="00EC6A4B">
              <w:rPr>
                <w:rFonts w:eastAsia="Times New Roman"/>
                <w:sz w:val="18"/>
                <w:lang w:val="es-ES" w:eastAsia="es-ES"/>
              </w:rPr>
              <w:t xml:space="preserve"> (temporada de invierno)</w:t>
            </w:r>
            <w:r w:rsidRPr="00EC6A4B">
              <w:rPr>
                <w:rFonts w:eastAsia="Times New Roman"/>
                <w:sz w:val="18"/>
                <w:lang w:val="es-ES" w:eastAsia="es-ES"/>
              </w:rPr>
              <w:t xml:space="preserve">, podría infiltrar un total de </w:t>
            </w:r>
            <w:r w:rsidR="00060F38" w:rsidRPr="00EC6A4B">
              <w:rPr>
                <w:rFonts w:eastAsia="Times New Roman"/>
                <w:sz w:val="18"/>
                <w:lang w:val="es-ES" w:eastAsia="es-ES"/>
              </w:rPr>
              <w:t>217.832</w:t>
            </w:r>
            <w:r w:rsidR="00B820F1" w:rsidRPr="00EC6A4B">
              <w:rPr>
                <w:rFonts w:eastAsia="Times New Roman"/>
                <w:sz w:val="18"/>
                <w:lang w:val="es-ES" w:eastAsia="es-ES"/>
              </w:rPr>
              <w:t xml:space="preserve"> m3 (0,2</w:t>
            </w:r>
            <w:r w:rsidR="00060F38" w:rsidRPr="00EC6A4B">
              <w:rPr>
                <w:rFonts w:eastAsia="Times New Roman"/>
                <w:sz w:val="18"/>
                <w:lang w:val="es-ES" w:eastAsia="es-ES"/>
              </w:rPr>
              <w:t>2</w:t>
            </w:r>
            <w:r w:rsidR="00B820F1" w:rsidRPr="00EC6A4B">
              <w:rPr>
                <w:rFonts w:eastAsia="Times New Roman"/>
                <w:sz w:val="18"/>
                <w:lang w:val="es-ES" w:eastAsia="es-ES"/>
              </w:rPr>
              <w:t xml:space="preserve"> hm3).</w:t>
            </w:r>
          </w:p>
          <w:p w:rsidR="004C14E0" w:rsidRPr="00EC6A4B" w:rsidRDefault="004C14E0" w:rsidP="005D7702">
            <w:pPr>
              <w:rPr>
                <w:rFonts w:eastAsia="Times New Roman"/>
                <w:sz w:val="18"/>
                <w:lang w:val="es-ES" w:eastAsia="es-ES"/>
              </w:rPr>
            </w:pPr>
            <w:r w:rsidRPr="00EC6A4B">
              <w:rPr>
                <w:rFonts w:eastAsia="Times New Roman"/>
                <w:sz w:val="18"/>
                <w:lang w:val="es-ES" w:eastAsia="es-ES"/>
              </w:rPr>
              <w:t xml:space="preserve">El costo de construcción </w:t>
            </w:r>
            <w:r w:rsidR="00B16995" w:rsidRPr="00EC6A4B">
              <w:rPr>
                <w:rFonts w:eastAsia="Times New Roman"/>
                <w:sz w:val="18"/>
                <w:lang w:val="es-ES" w:eastAsia="es-ES"/>
              </w:rPr>
              <w:t>de cada zanja se estimó en 110,</w:t>
            </w:r>
            <w:r w:rsidRPr="00EC6A4B">
              <w:rPr>
                <w:rFonts w:eastAsia="Times New Roman"/>
                <w:sz w:val="18"/>
                <w:lang w:val="es-ES" w:eastAsia="es-ES"/>
              </w:rPr>
              <w:t xml:space="preserve">06 UF, según el siguiente detalle. </w:t>
            </w:r>
          </w:p>
          <w:p w:rsidR="004C14E0" w:rsidRPr="00EC6A4B" w:rsidRDefault="004C14E0" w:rsidP="005D7702">
            <w:pPr>
              <w:rPr>
                <w:rFonts w:eastAsia="Times New Roman"/>
                <w:sz w:val="18"/>
                <w:lang w:val="es-ES" w:eastAsia="es-ES"/>
              </w:rPr>
            </w:pPr>
          </w:p>
          <w:tbl>
            <w:tblPr>
              <w:tblW w:w="8345" w:type="dxa"/>
              <w:jc w:val="center"/>
              <w:tblCellMar>
                <w:left w:w="70" w:type="dxa"/>
                <w:right w:w="70" w:type="dxa"/>
              </w:tblCellMar>
              <w:tblLook w:val="04A0" w:firstRow="1" w:lastRow="0" w:firstColumn="1" w:lastColumn="0" w:noHBand="0" w:noVBand="1"/>
            </w:tblPr>
            <w:tblGrid>
              <w:gridCol w:w="2560"/>
              <w:gridCol w:w="927"/>
              <w:gridCol w:w="1200"/>
              <w:gridCol w:w="2014"/>
              <w:gridCol w:w="1787"/>
            </w:tblGrid>
            <w:tr w:rsidR="004C14E0" w:rsidRPr="00EC6A4B" w:rsidTr="004C14E0">
              <w:trPr>
                <w:trHeight w:val="300"/>
                <w:tblHeader/>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14E0" w:rsidRPr="00EC6A4B" w:rsidRDefault="004C14E0" w:rsidP="00FC21C5">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Partida</w:t>
                  </w:r>
                </w:p>
              </w:tc>
              <w:tc>
                <w:tcPr>
                  <w:tcW w:w="784" w:type="dxa"/>
                  <w:tcBorders>
                    <w:top w:val="single" w:sz="4" w:space="0" w:color="auto"/>
                    <w:left w:val="nil"/>
                    <w:bottom w:val="single" w:sz="4" w:space="0" w:color="auto"/>
                    <w:right w:val="single" w:sz="4" w:space="0" w:color="auto"/>
                  </w:tcBorders>
                  <w:shd w:val="clear" w:color="auto" w:fill="auto"/>
                  <w:noWrap/>
                  <w:vAlign w:val="bottom"/>
                  <w:hideMark/>
                </w:tcPr>
                <w:p w:rsidR="004C14E0" w:rsidRPr="00EC6A4B" w:rsidRDefault="004C14E0" w:rsidP="00FC21C5">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Unidad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C14E0" w:rsidRPr="00EC6A4B" w:rsidRDefault="004C14E0" w:rsidP="00FC21C5">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Cantidad</w:t>
                  </w:r>
                </w:p>
              </w:tc>
              <w:tc>
                <w:tcPr>
                  <w:tcW w:w="2014" w:type="dxa"/>
                  <w:tcBorders>
                    <w:top w:val="single" w:sz="4" w:space="0" w:color="auto"/>
                    <w:left w:val="nil"/>
                    <w:bottom w:val="single" w:sz="4" w:space="0" w:color="auto"/>
                    <w:right w:val="single" w:sz="4" w:space="0" w:color="auto"/>
                  </w:tcBorders>
                  <w:shd w:val="clear" w:color="auto" w:fill="auto"/>
                  <w:noWrap/>
                  <w:vAlign w:val="bottom"/>
                  <w:hideMark/>
                </w:tcPr>
                <w:p w:rsidR="004C14E0" w:rsidRPr="00EC6A4B" w:rsidRDefault="004C14E0" w:rsidP="00FC21C5">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Precio Unitario (UF)</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rsidR="004C14E0" w:rsidRPr="00EC6A4B" w:rsidRDefault="004C14E0" w:rsidP="00FC21C5">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Costo Total (UF)</w:t>
                  </w:r>
                </w:p>
              </w:tc>
            </w:tr>
            <w:tr w:rsidR="004C14E0" w:rsidRPr="00EC6A4B" w:rsidTr="004C14E0">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Excavación</w:t>
                  </w:r>
                </w:p>
              </w:tc>
              <w:tc>
                <w:tcPr>
                  <w:tcW w:w="78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250</w:t>
                  </w:r>
                </w:p>
              </w:tc>
              <w:tc>
                <w:tcPr>
                  <w:tcW w:w="201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0,252</w:t>
                  </w:r>
                </w:p>
              </w:tc>
              <w:tc>
                <w:tcPr>
                  <w:tcW w:w="1787"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63,00</w:t>
                  </w:r>
                </w:p>
              </w:tc>
            </w:tr>
            <w:tr w:rsidR="004C14E0" w:rsidRPr="00EC6A4B" w:rsidTr="004C14E0">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Transporte de excedentes</w:t>
                  </w:r>
                </w:p>
              </w:tc>
              <w:tc>
                <w:tcPr>
                  <w:tcW w:w="78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250</w:t>
                  </w:r>
                </w:p>
              </w:tc>
              <w:tc>
                <w:tcPr>
                  <w:tcW w:w="201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0,063</w:t>
                  </w:r>
                </w:p>
              </w:tc>
              <w:tc>
                <w:tcPr>
                  <w:tcW w:w="1787"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15,75</w:t>
                  </w:r>
                </w:p>
              </w:tc>
            </w:tr>
            <w:tr w:rsidR="004C14E0" w:rsidRPr="00EC6A4B" w:rsidTr="004C14E0">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Geotextil</w:t>
                  </w:r>
                </w:p>
              </w:tc>
              <w:tc>
                <w:tcPr>
                  <w:tcW w:w="78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m2</w:t>
                  </w:r>
                </w:p>
              </w:tc>
              <w:tc>
                <w:tcPr>
                  <w:tcW w:w="1200"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320</w:t>
                  </w:r>
                </w:p>
              </w:tc>
              <w:tc>
                <w:tcPr>
                  <w:tcW w:w="201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0,096</w:t>
                  </w:r>
                </w:p>
              </w:tc>
              <w:tc>
                <w:tcPr>
                  <w:tcW w:w="1787"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30,72</w:t>
                  </w:r>
                </w:p>
              </w:tc>
            </w:tr>
            <w:tr w:rsidR="004C14E0" w:rsidRPr="00EC6A4B" w:rsidTr="004C14E0">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Filtro granular de grava</w:t>
                  </w:r>
                </w:p>
              </w:tc>
              <w:tc>
                <w:tcPr>
                  <w:tcW w:w="78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5</w:t>
                  </w:r>
                </w:p>
              </w:tc>
              <w:tc>
                <w:tcPr>
                  <w:tcW w:w="201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0,118</w:t>
                  </w:r>
                </w:p>
              </w:tc>
              <w:tc>
                <w:tcPr>
                  <w:tcW w:w="1787"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0,59</w:t>
                  </w:r>
                </w:p>
              </w:tc>
            </w:tr>
            <w:tr w:rsidR="004C14E0" w:rsidRPr="00EC6A4B" w:rsidTr="004C14E0">
              <w:trPr>
                <w:trHeight w:val="300"/>
                <w:jc w:val="center"/>
              </w:trPr>
              <w:tc>
                <w:tcPr>
                  <w:tcW w:w="2560" w:type="dxa"/>
                  <w:tcBorders>
                    <w:top w:val="nil"/>
                    <w:left w:val="single" w:sz="4" w:space="0" w:color="auto"/>
                    <w:bottom w:val="single" w:sz="4" w:space="0" w:color="auto"/>
                    <w:right w:val="nil"/>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Total</w:t>
                  </w:r>
                </w:p>
              </w:tc>
              <w:tc>
                <w:tcPr>
                  <w:tcW w:w="784" w:type="dxa"/>
                  <w:tcBorders>
                    <w:top w:val="nil"/>
                    <w:left w:val="nil"/>
                    <w:bottom w:val="single" w:sz="4" w:space="0" w:color="auto"/>
                    <w:right w:val="nil"/>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r w:rsidRPr="00EC6A4B">
                    <w:rPr>
                      <w:rFonts w:eastAsia="Times New Roman" w:cs="Times New Roman"/>
                      <w:color w:val="000000"/>
                      <w:szCs w:val="22"/>
                    </w:rPr>
                    <w:t> </w:t>
                  </w:r>
                </w:p>
              </w:tc>
              <w:tc>
                <w:tcPr>
                  <w:tcW w:w="1200" w:type="dxa"/>
                  <w:tcBorders>
                    <w:top w:val="nil"/>
                    <w:left w:val="nil"/>
                    <w:bottom w:val="single" w:sz="4" w:space="0" w:color="auto"/>
                    <w:right w:val="nil"/>
                  </w:tcBorders>
                  <w:shd w:val="clear" w:color="auto" w:fill="auto"/>
                  <w:noWrap/>
                  <w:vAlign w:val="bottom"/>
                  <w:hideMark/>
                </w:tcPr>
                <w:p w:rsidR="004C14E0" w:rsidRPr="00EC6A4B" w:rsidRDefault="004C14E0" w:rsidP="004C14E0">
                  <w:pPr>
                    <w:spacing w:after="0" w:line="240" w:lineRule="auto"/>
                    <w:jc w:val="left"/>
                    <w:rPr>
                      <w:rFonts w:eastAsia="Times New Roman" w:cs="Times New Roman"/>
                      <w:color w:val="000000"/>
                      <w:szCs w:val="22"/>
                    </w:rPr>
                  </w:pPr>
                </w:p>
              </w:tc>
              <w:tc>
                <w:tcPr>
                  <w:tcW w:w="2014"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p>
              </w:tc>
              <w:tc>
                <w:tcPr>
                  <w:tcW w:w="1787" w:type="dxa"/>
                  <w:tcBorders>
                    <w:top w:val="nil"/>
                    <w:left w:val="nil"/>
                    <w:bottom w:val="single" w:sz="4" w:space="0" w:color="auto"/>
                    <w:right w:val="single" w:sz="4" w:space="0" w:color="auto"/>
                  </w:tcBorders>
                  <w:shd w:val="clear" w:color="auto" w:fill="auto"/>
                  <w:noWrap/>
                  <w:vAlign w:val="bottom"/>
                  <w:hideMark/>
                </w:tcPr>
                <w:p w:rsidR="004C14E0" w:rsidRPr="00EC6A4B" w:rsidRDefault="004C14E0" w:rsidP="004C14E0">
                  <w:pPr>
                    <w:spacing w:after="0" w:line="240" w:lineRule="auto"/>
                    <w:jc w:val="right"/>
                    <w:rPr>
                      <w:rFonts w:eastAsia="Times New Roman" w:cs="Times New Roman"/>
                      <w:color w:val="000000"/>
                      <w:szCs w:val="22"/>
                    </w:rPr>
                  </w:pPr>
                  <w:r w:rsidRPr="00EC6A4B">
                    <w:rPr>
                      <w:rFonts w:eastAsia="Times New Roman" w:cs="Times New Roman"/>
                      <w:color w:val="000000"/>
                      <w:szCs w:val="22"/>
                    </w:rPr>
                    <w:t>110,06</w:t>
                  </w:r>
                </w:p>
              </w:tc>
            </w:tr>
          </w:tbl>
          <w:p w:rsidR="004C14E0" w:rsidRPr="00EC6A4B" w:rsidRDefault="004C14E0" w:rsidP="005D7702">
            <w:pPr>
              <w:rPr>
                <w:rFonts w:eastAsia="Times New Roman"/>
                <w:sz w:val="18"/>
                <w:lang w:val="es-ES" w:eastAsia="es-ES"/>
              </w:rPr>
            </w:pPr>
          </w:p>
          <w:p w:rsidR="004C14E0" w:rsidRPr="00EC6A4B" w:rsidRDefault="004C14E0" w:rsidP="005D7702">
            <w:pPr>
              <w:rPr>
                <w:rFonts w:eastAsia="Times New Roman"/>
                <w:sz w:val="18"/>
                <w:lang w:val="es-ES" w:eastAsia="es-ES"/>
              </w:rPr>
            </w:pPr>
            <w:r w:rsidRPr="00EC6A4B">
              <w:rPr>
                <w:rFonts w:eastAsia="Times New Roman"/>
                <w:sz w:val="18"/>
                <w:lang w:val="es-ES" w:eastAsia="es-ES"/>
              </w:rPr>
              <w:t>Pozos secos en zonas no saturadas</w:t>
            </w:r>
          </w:p>
          <w:p w:rsidR="004C14E0" w:rsidRPr="00EC6A4B" w:rsidRDefault="008E5E8C" w:rsidP="005D7702">
            <w:pPr>
              <w:rPr>
                <w:rFonts w:eastAsia="Times New Roman"/>
                <w:sz w:val="18"/>
                <w:lang w:val="es-ES" w:eastAsia="es-ES"/>
              </w:rPr>
            </w:pPr>
            <w:r w:rsidRPr="00EC6A4B">
              <w:rPr>
                <w:rFonts w:eastAsia="Times New Roman"/>
                <w:sz w:val="18"/>
                <w:lang w:val="es-ES" w:eastAsia="es-ES"/>
              </w:rPr>
              <w:t>Según se indica en la tesis “Recarga Artificial de Acuíferos en la cuenca del río Maule”, l</w:t>
            </w:r>
            <w:r w:rsidR="004C14E0" w:rsidRPr="00EC6A4B">
              <w:rPr>
                <w:rFonts w:eastAsia="Times New Roman"/>
                <w:sz w:val="18"/>
                <w:lang w:val="es-ES" w:eastAsia="es-ES"/>
              </w:rPr>
              <w:t xml:space="preserve">os pozos secos en la zona no saturada </w:t>
            </w:r>
            <w:r w:rsidRPr="00EC6A4B">
              <w:rPr>
                <w:rFonts w:eastAsia="Times New Roman"/>
                <w:sz w:val="18"/>
                <w:lang w:val="es-ES" w:eastAsia="es-ES"/>
              </w:rPr>
              <w:t>deben ser</w:t>
            </w:r>
            <w:r w:rsidR="004C14E0" w:rsidRPr="00EC6A4B">
              <w:rPr>
                <w:rFonts w:eastAsia="Times New Roman"/>
                <w:sz w:val="18"/>
                <w:lang w:val="es-ES" w:eastAsia="es-ES"/>
              </w:rPr>
              <w:t xml:space="preserve">, normalmente, de 1 m de diámetro, y a lo más de 60 m de profundidad. Estos pueden estar o no rellenos con materiales como: arena gruesa o grava fina, bolones, ripios o gravas, procurando obtener una porosidad mayor a 30 %, y evitando los materiales finos. Sin embargo, es conveniente rellenarlos para evitar un desmoronamiento de las paredes de este (MINVU, 1996). Se recomienda usar un geotextil de una permeabilidad mayor a 10 veces la del terreno (MINVU, 1996). Condiciones generales que debe cumplir un sitio para la aplicación de pozos son las siguientes: no se debe tener un estrato impermeable a menos de 1 m bajo el fondo del pozo, y debe haber una distancia mínima de 1 m entre el fondo del pozo y el nivel estático (MINVU, 1996). El funcionamiento hidráulico de estas estructuras, es el siguiente: primero, ingresa </w:t>
            </w:r>
            <w:r w:rsidR="004C14E0" w:rsidRPr="00EC6A4B">
              <w:rPr>
                <w:rFonts w:eastAsia="Times New Roman"/>
                <w:sz w:val="18"/>
                <w:lang w:val="es-ES" w:eastAsia="es-ES"/>
              </w:rPr>
              <w:lastRenderedPageBreak/>
              <w:t>el agua, luego, se almacena temporalmente, para finalmente ser evacuada para su infiltración, como se ilustra en la Figura 41 (MINVU, 1996).</w:t>
            </w:r>
          </w:p>
          <w:p w:rsidR="00CB4ADE" w:rsidRPr="00EC6A4B" w:rsidRDefault="00CB4ADE" w:rsidP="005D7702">
            <w:pPr>
              <w:rPr>
                <w:rFonts w:eastAsia="Times New Roman"/>
                <w:sz w:val="18"/>
                <w:lang w:val="es-ES" w:eastAsia="es-ES"/>
              </w:rPr>
            </w:pPr>
          </w:p>
          <w:p w:rsidR="005260E3" w:rsidRPr="00EC6A4B" w:rsidRDefault="008E5E8C" w:rsidP="008E5E8C">
            <w:pPr>
              <w:jc w:val="center"/>
              <w:rPr>
                <w:rFonts w:eastAsia="Times New Roman"/>
                <w:b/>
                <w:sz w:val="18"/>
                <w:lang w:val="es-ES" w:eastAsia="es-ES"/>
              </w:rPr>
            </w:pPr>
            <w:r w:rsidRPr="00EC6A4B">
              <w:rPr>
                <w:rFonts w:eastAsia="Times New Roman"/>
                <w:b/>
                <w:sz w:val="18"/>
                <w:lang w:val="es-ES" w:eastAsia="es-ES"/>
              </w:rPr>
              <w:t>Esquema de los elementos de un pozo de infiltración</w:t>
            </w:r>
          </w:p>
          <w:p w:rsidR="005260E3" w:rsidRPr="00EC6A4B" w:rsidRDefault="004C14E0" w:rsidP="008E5E8C">
            <w:pPr>
              <w:jc w:val="center"/>
              <w:rPr>
                <w:rFonts w:eastAsia="Times New Roman"/>
                <w:sz w:val="18"/>
                <w:lang w:val="es-ES" w:eastAsia="es-ES"/>
              </w:rPr>
            </w:pPr>
            <w:r w:rsidRPr="00EC6A4B">
              <w:rPr>
                <w:noProof/>
              </w:rPr>
              <w:drawing>
                <wp:inline distT="0" distB="0" distL="0" distR="0" wp14:anchorId="099B608F" wp14:editId="28D405C6">
                  <wp:extent cx="5039155" cy="2402958"/>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89" t="34034" r="33107" b="18551"/>
                          <a:stretch/>
                        </pic:blipFill>
                        <pic:spPr bwMode="auto">
                          <a:xfrm>
                            <a:off x="0" y="0"/>
                            <a:ext cx="5040000" cy="2403361"/>
                          </a:xfrm>
                          <a:prstGeom prst="rect">
                            <a:avLst/>
                          </a:prstGeom>
                          <a:ln>
                            <a:noFill/>
                          </a:ln>
                          <a:extLst>
                            <a:ext uri="{53640926-AAD7-44D8-BBD7-CCE9431645EC}">
                              <a14:shadowObscured xmlns:a14="http://schemas.microsoft.com/office/drawing/2010/main"/>
                            </a:ext>
                          </a:extLst>
                        </pic:spPr>
                      </pic:pic>
                    </a:graphicData>
                  </a:graphic>
                </wp:inline>
              </w:drawing>
            </w:r>
          </w:p>
          <w:p w:rsidR="008E5E8C" w:rsidRPr="00EC6A4B" w:rsidRDefault="008E5E8C" w:rsidP="00437D46">
            <w:pPr>
              <w:pStyle w:val="Prrafodelista"/>
              <w:numPr>
                <w:ilvl w:val="0"/>
                <w:numId w:val="18"/>
              </w:numPr>
              <w:jc w:val="center"/>
              <w:rPr>
                <w:rFonts w:eastAsia="Times New Roman"/>
                <w:sz w:val="18"/>
                <w:lang w:val="es-ES" w:eastAsia="es-ES"/>
              </w:rPr>
            </w:pPr>
            <w:r w:rsidRPr="00EC6A4B">
              <w:rPr>
                <w:rFonts w:eastAsia="Times New Roman"/>
                <w:sz w:val="18"/>
                <w:lang w:val="es-ES" w:eastAsia="es-ES"/>
              </w:rPr>
              <w:t>Alimentación; (2) Decantador (opcional); (3) Cámara de rebase (opcional); (4) Tubería de conexión; (6) Pozo; (7) Geotextil; (8) Cubierta; (9) Alimentación superficial (opcional)</w:t>
            </w:r>
          </w:p>
          <w:p w:rsidR="008E5E8C" w:rsidRPr="00EC6A4B" w:rsidRDefault="008E5E8C" w:rsidP="008E5E8C">
            <w:pPr>
              <w:pStyle w:val="Prrafodelista"/>
              <w:jc w:val="center"/>
              <w:rPr>
                <w:rFonts w:eastAsia="Times New Roman"/>
                <w:sz w:val="18"/>
                <w:lang w:val="es-ES" w:eastAsia="es-ES"/>
              </w:rPr>
            </w:pPr>
            <w:r w:rsidRPr="00EC6A4B">
              <w:rPr>
                <w:rFonts w:eastAsia="Times New Roman"/>
                <w:sz w:val="18"/>
                <w:lang w:val="es-ES" w:eastAsia="es-ES"/>
              </w:rPr>
              <w:t>Fuente: Adaptado de MINVU, 1996.</w:t>
            </w:r>
          </w:p>
          <w:p w:rsidR="008E5E8C" w:rsidRPr="00EC6A4B" w:rsidRDefault="008E5E8C" w:rsidP="005D7702">
            <w:pPr>
              <w:rPr>
                <w:rFonts w:eastAsia="Times New Roman"/>
                <w:sz w:val="18"/>
                <w:lang w:val="es-ES" w:eastAsia="es-ES"/>
              </w:rPr>
            </w:pPr>
          </w:p>
          <w:p w:rsidR="00CB4ADE" w:rsidRPr="00EC6A4B" w:rsidRDefault="008E5E8C" w:rsidP="005D7702">
            <w:pPr>
              <w:rPr>
                <w:rFonts w:eastAsia="Times New Roman"/>
                <w:sz w:val="18"/>
                <w:lang w:val="es-ES" w:eastAsia="es-ES"/>
              </w:rPr>
            </w:pPr>
            <w:r w:rsidRPr="00EC6A4B">
              <w:rPr>
                <w:rFonts w:eastAsia="Times New Roman"/>
                <w:sz w:val="18"/>
                <w:lang w:val="es-ES" w:eastAsia="es-ES"/>
              </w:rPr>
              <w:t>La expresión que permite estimar el caudal infiltrado por cada pozo seco en la zona no saturada es la siguiente:</w:t>
            </w:r>
          </w:p>
          <w:p w:rsidR="008E5E8C" w:rsidRPr="00EC6A4B" w:rsidRDefault="008E5E8C" w:rsidP="005D7702">
            <w:pPr>
              <w:rPr>
                <w:rFonts w:eastAsia="Times New Roman"/>
                <w:sz w:val="18"/>
                <w:lang w:val="es-ES" w:eastAsia="es-ES"/>
              </w:rPr>
            </w:pPr>
          </w:p>
          <w:p w:rsidR="008E5E8C" w:rsidRPr="00EC6A4B" w:rsidRDefault="008E5E8C" w:rsidP="008E5E8C">
            <w:pPr>
              <w:rPr>
                <w:rFonts w:eastAsia="Times New Roman"/>
                <w:sz w:val="18"/>
                <w:lang w:val="es-ES" w:eastAsia="es-ES"/>
              </w:rPr>
            </w:pPr>
            <w:r w:rsidRPr="00EC6A4B">
              <w:rPr>
                <w:rFonts w:ascii="Cambria Math" w:eastAsia="Times New Roman" w:hAnsi="Cambria Math" w:cs="Cambria Math"/>
                <w:sz w:val="18"/>
                <w:lang w:val="es-ES" w:eastAsia="es-ES"/>
              </w:rPr>
              <w:t>𝑄</w:t>
            </w:r>
            <w:r w:rsidRPr="00EC6A4B">
              <w:rPr>
                <w:rFonts w:eastAsia="Times New Roman"/>
                <w:sz w:val="18"/>
                <w:lang w:val="es-ES" w:eastAsia="es-ES"/>
              </w:rPr>
              <w:t>=0,001</w:t>
            </w:r>
            <w:r w:rsidRPr="00EC6A4B">
              <w:rPr>
                <w:rFonts w:ascii="Cambria Math" w:eastAsia="Times New Roman" w:hAnsi="Cambria Math" w:cs="Cambria Math"/>
                <w:sz w:val="18"/>
                <w:lang w:val="es-ES" w:eastAsia="es-ES"/>
              </w:rPr>
              <w:t>∗𝐶𝑠∗𝑓∗𝑆</w:t>
            </w:r>
          </w:p>
          <w:p w:rsidR="008E5E8C" w:rsidRPr="00EC6A4B" w:rsidRDefault="008E5E8C" w:rsidP="008E5E8C">
            <w:pPr>
              <w:rPr>
                <w:rFonts w:eastAsia="Times New Roman"/>
                <w:sz w:val="18"/>
                <w:lang w:val="es-ES" w:eastAsia="es-ES"/>
              </w:rPr>
            </w:pPr>
            <w:r w:rsidRPr="00EC6A4B">
              <w:rPr>
                <w:rFonts w:eastAsia="Times New Roman"/>
                <w:sz w:val="18"/>
                <w:lang w:val="es-ES" w:eastAsia="es-ES"/>
              </w:rPr>
              <w:t>En donde,</w:t>
            </w:r>
          </w:p>
          <w:p w:rsidR="008E5E8C" w:rsidRPr="00EC6A4B" w:rsidRDefault="008E5E8C" w:rsidP="00437D46">
            <w:pPr>
              <w:pStyle w:val="Prrafodelista"/>
              <w:numPr>
                <w:ilvl w:val="0"/>
                <w:numId w:val="19"/>
              </w:numPr>
              <w:rPr>
                <w:rFonts w:eastAsia="Times New Roman"/>
                <w:sz w:val="18"/>
                <w:lang w:val="es-ES" w:eastAsia="es-ES"/>
              </w:rPr>
            </w:pPr>
            <w:r w:rsidRPr="00EC6A4B">
              <w:rPr>
                <w:rFonts w:eastAsia="Times New Roman"/>
                <w:sz w:val="18"/>
                <w:lang w:val="es-ES" w:eastAsia="es-ES"/>
              </w:rPr>
              <w:t>s, corresponde al factor de seguridad (</w:t>
            </w:r>
            <w:proofErr w:type="spellStart"/>
            <w:r w:rsidRPr="00EC6A4B">
              <w:rPr>
                <w:rFonts w:eastAsia="Times New Roman"/>
                <w:sz w:val="18"/>
                <w:lang w:val="es-ES" w:eastAsia="es-ES"/>
              </w:rPr>
              <w:t>Azzout</w:t>
            </w:r>
            <w:proofErr w:type="spellEnd"/>
            <w:r w:rsidRPr="00EC6A4B">
              <w:rPr>
                <w:rFonts w:eastAsia="Times New Roman"/>
                <w:sz w:val="18"/>
                <w:lang w:val="es-ES" w:eastAsia="es-ES"/>
              </w:rPr>
              <w:t xml:space="preserve"> et al. 1994);</w:t>
            </w:r>
          </w:p>
          <w:p w:rsidR="008E5E8C" w:rsidRPr="00EC6A4B" w:rsidRDefault="008E5E8C" w:rsidP="00437D46">
            <w:pPr>
              <w:pStyle w:val="Prrafodelista"/>
              <w:numPr>
                <w:ilvl w:val="0"/>
                <w:numId w:val="19"/>
              </w:numPr>
              <w:rPr>
                <w:rFonts w:eastAsia="Times New Roman"/>
                <w:sz w:val="18"/>
                <w:lang w:val="es-ES" w:eastAsia="es-ES"/>
              </w:rPr>
            </w:pPr>
            <w:r w:rsidRPr="00EC6A4B">
              <w:rPr>
                <w:rFonts w:eastAsia="Times New Roman"/>
                <w:sz w:val="18"/>
                <w:lang w:val="es-ES" w:eastAsia="es-ES"/>
              </w:rPr>
              <w:t>f, corresponde a la tasa de infiltración en mm/</w:t>
            </w:r>
            <w:proofErr w:type="spellStart"/>
            <w:r w:rsidRPr="00EC6A4B">
              <w:rPr>
                <w:rFonts w:eastAsia="Times New Roman"/>
                <w:sz w:val="18"/>
                <w:lang w:val="es-ES" w:eastAsia="es-ES"/>
              </w:rPr>
              <w:t>hr</w:t>
            </w:r>
            <w:proofErr w:type="spellEnd"/>
            <w:r w:rsidRPr="00EC6A4B">
              <w:rPr>
                <w:rFonts w:eastAsia="Times New Roman"/>
                <w:sz w:val="18"/>
                <w:lang w:val="es-ES" w:eastAsia="es-ES"/>
              </w:rPr>
              <w:t>;</w:t>
            </w:r>
          </w:p>
          <w:p w:rsidR="008E5E8C" w:rsidRPr="00EC6A4B" w:rsidRDefault="008E5E8C" w:rsidP="00437D46">
            <w:pPr>
              <w:pStyle w:val="Prrafodelista"/>
              <w:numPr>
                <w:ilvl w:val="0"/>
                <w:numId w:val="19"/>
              </w:numPr>
              <w:rPr>
                <w:rFonts w:eastAsia="Times New Roman"/>
                <w:sz w:val="18"/>
                <w:lang w:val="es-ES" w:eastAsia="es-ES"/>
              </w:rPr>
            </w:pPr>
            <w:r w:rsidRPr="00EC6A4B">
              <w:rPr>
                <w:rFonts w:eastAsia="Times New Roman"/>
                <w:sz w:val="18"/>
                <w:lang w:val="es-ES" w:eastAsia="es-ES"/>
              </w:rPr>
              <w:t>S, es la superficie interior del pozo en m2 (sin considerar el fondo de este, ya que se colmata rápidamente).</w:t>
            </w:r>
          </w:p>
          <w:p w:rsidR="008E5E8C" w:rsidRPr="00EC6A4B" w:rsidRDefault="008E5E8C" w:rsidP="008E5E8C">
            <w:pPr>
              <w:rPr>
                <w:rFonts w:eastAsia="Times New Roman"/>
                <w:sz w:val="18"/>
                <w:lang w:val="es-ES" w:eastAsia="es-ES"/>
              </w:rPr>
            </w:pPr>
          </w:p>
          <w:p w:rsidR="00060F38" w:rsidRPr="00EC6A4B" w:rsidRDefault="008E5E8C" w:rsidP="008E5E8C">
            <w:pPr>
              <w:rPr>
                <w:rFonts w:eastAsia="Times New Roman"/>
                <w:sz w:val="18"/>
                <w:lang w:val="es-ES" w:eastAsia="es-ES"/>
              </w:rPr>
            </w:pPr>
            <w:r w:rsidRPr="00EC6A4B">
              <w:rPr>
                <w:rFonts w:eastAsia="Times New Roman"/>
                <w:sz w:val="18"/>
                <w:lang w:val="es-ES" w:eastAsia="es-ES"/>
              </w:rPr>
              <w:lastRenderedPageBreak/>
              <w:t xml:space="preserve">Si se implementaran pozos de recarga en la zona no saturada, de 20 m de profundidad y de 2 m de diámetro, </w:t>
            </w:r>
            <w:r w:rsidR="000E1487" w:rsidRPr="00EC6A4B">
              <w:rPr>
                <w:rFonts w:eastAsia="Times New Roman"/>
                <w:sz w:val="18"/>
                <w:lang w:val="es-ES" w:eastAsia="es-ES"/>
              </w:rPr>
              <w:t xml:space="preserve">el caudal infiltrado alcanzaría a 4,36 l/s. </w:t>
            </w:r>
            <w:r w:rsidR="00060F38" w:rsidRPr="00EC6A4B">
              <w:rPr>
                <w:rFonts w:eastAsia="Times New Roman"/>
                <w:sz w:val="18"/>
                <w:lang w:val="es-ES" w:eastAsia="es-ES"/>
              </w:rPr>
              <w:t>De esta forma, una pozo de infiltración, operando 120 días al año en forma continua (temporada de invierno), podría infiltrar un total de 45.204 m3 (0,045 hm3).</w:t>
            </w:r>
          </w:p>
          <w:p w:rsidR="00060F38" w:rsidRPr="00EC6A4B" w:rsidRDefault="00060F38" w:rsidP="008E5E8C">
            <w:pPr>
              <w:rPr>
                <w:rFonts w:eastAsia="Times New Roman"/>
                <w:sz w:val="18"/>
                <w:lang w:val="es-ES" w:eastAsia="es-ES"/>
              </w:rPr>
            </w:pPr>
          </w:p>
          <w:p w:rsidR="008E5E8C" w:rsidRPr="00EC6A4B" w:rsidRDefault="000E1487" w:rsidP="008E5E8C">
            <w:pPr>
              <w:rPr>
                <w:rFonts w:eastAsia="Times New Roman"/>
                <w:sz w:val="18"/>
                <w:lang w:val="es-ES" w:eastAsia="es-ES"/>
              </w:rPr>
            </w:pPr>
            <w:r w:rsidRPr="00EC6A4B">
              <w:rPr>
                <w:rFonts w:eastAsia="Times New Roman"/>
                <w:sz w:val="18"/>
                <w:lang w:val="es-ES" w:eastAsia="es-ES"/>
              </w:rPr>
              <w:t xml:space="preserve">En complemento, </w:t>
            </w:r>
            <w:r w:rsidR="008E5E8C" w:rsidRPr="00EC6A4B">
              <w:rPr>
                <w:rFonts w:eastAsia="Times New Roman"/>
                <w:sz w:val="18"/>
                <w:lang w:val="es-ES" w:eastAsia="es-ES"/>
              </w:rPr>
              <w:t>el costo de cada pozo de infiltración en la zona no saturada sería el siguiente:</w:t>
            </w:r>
          </w:p>
          <w:p w:rsidR="008E5E8C" w:rsidRPr="00EC6A4B" w:rsidRDefault="008E5E8C" w:rsidP="008E5E8C">
            <w:pPr>
              <w:rPr>
                <w:rFonts w:eastAsia="Times New Roman"/>
                <w:sz w:val="18"/>
                <w:lang w:val="es-ES" w:eastAsia="es-ES"/>
              </w:rPr>
            </w:pPr>
          </w:p>
          <w:tbl>
            <w:tblPr>
              <w:tblW w:w="8345" w:type="dxa"/>
              <w:jc w:val="center"/>
              <w:tblCellMar>
                <w:left w:w="70" w:type="dxa"/>
                <w:right w:w="70" w:type="dxa"/>
              </w:tblCellMar>
              <w:tblLook w:val="04A0" w:firstRow="1" w:lastRow="0" w:firstColumn="1" w:lastColumn="0" w:noHBand="0" w:noVBand="1"/>
            </w:tblPr>
            <w:tblGrid>
              <w:gridCol w:w="2560"/>
              <w:gridCol w:w="927"/>
              <w:gridCol w:w="1200"/>
              <w:gridCol w:w="2014"/>
              <w:gridCol w:w="1787"/>
            </w:tblGrid>
            <w:tr w:rsidR="000E1487" w:rsidRPr="00EC6A4B" w:rsidTr="000E1487">
              <w:trPr>
                <w:trHeight w:val="300"/>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b/>
                      <w:color w:val="000000"/>
                      <w:szCs w:val="22"/>
                    </w:rPr>
                  </w:pPr>
                  <w:r w:rsidRPr="00EC6A4B">
                    <w:rPr>
                      <w:rFonts w:eastAsia="Times New Roman" w:cs="Times New Roman"/>
                      <w:b/>
                      <w:color w:val="000000"/>
                      <w:szCs w:val="22"/>
                    </w:rPr>
                    <w:t>Partida</w:t>
                  </w:r>
                </w:p>
              </w:tc>
              <w:tc>
                <w:tcPr>
                  <w:tcW w:w="784"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b/>
                      <w:color w:val="000000"/>
                      <w:szCs w:val="22"/>
                    </w:rPr>
                  </w:pPr>
                  <w:r w:rsidRPr="00EC6A4B">
                    <w:rPr>
                      <w:rFonts w:eastAsia="Times New Roman" w:cs="Times New Roman"/>
                      <w:b/>
                      <w:color w:val="000000"/>
                      <w:szCs w:val="22"/>
                    </w:rPr>
                    <w:t>Unidad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b/>
                      <w:color w:val="000000"/>
                      <w:szCs w:val="22"/>
                    </w:rPr>
                  </w:pPr>
                  <w:r w:rsidRPr="00EC6A4B">
                    <w:rPr>
                      <w:rFonts w:eastAsia="Times New Roman" w:cs="Times New Roman"/>
                      <w:b/>
                      <w:color w:val="000000"/>
                      <w:szCs w:val="22"/>
                    </w:rPr>
                    <w:t>Cantidad</w:t>
                  </w:r>
                </w:p>
              </w:tc>
              <w:tc>
                <w:tcPr>
                  <w:tcW w:w="2014"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b/>
                      <w:color w:val="000000"/>
                      <w:szCs w:val="22"/>
                    </w:rPr>
                  </w:pPr>
                  <w:r w:rsidRPr="00EC6A4B">
                    <w:rPr>
                      <w:rFonts w:eastAsia="Times New Roman" w:cs="Times New Roman"/>
                      <w:b/>
                      <w:color w:val="000000"/>
                      <w:szCs w:val="22"/>
                    </w:rPr>
                    <w:t>Precio Unitario (UF)</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b/>
                      <w:color w:val="000000"/>
                      <w:szCs w:val="22"/>
                    </w:rPr>
                  </w:pPr>
                  <w:r w:rsidRPr="00EC6A4B">
                    <w:rPr>
                      <w:rFonts w:eastAsia="Times New Roman" w:cs="Times New Roman"/>
                      <w:b/>
                      <w:color w:val="000000"/>
                      <w:szCs w:val="22"/>
                    </w:rPr>
                    <w:t xml:space="preserve"> Costo Total (UF) </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Excavación</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62,8</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0,252</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15,83</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Transporte de excedentes</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62,8</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0,063</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3,96</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Capa de arena</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0,31</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1,081</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0,34</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Geotextil</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m2</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128,74</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0,096</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12,36</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Filtro granular de grava</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0,63</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0,118</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0,07</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Bolones para relleno</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m3</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61,86</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0,294</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18,19</w:t>
                  </w:r>
                </w:p>
              </w:tc>
            </w:tr>
            <w:tr w:rsidR="000E1487" w:rsidRPr="00EC6A4B" w:rsidTr="000E1487">
              <w:trPr>
                <w:trHeight w:val="300"/>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Tubo PVC (Piezómetro)</w:t>
                  </w:r>
                </w:p>
              </w:tc>
              <w:tc>
                <w:tcPr>
                  <w:tcW w:w="78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m</w:t>
                  </w:r>
                </w:p>
              </w:tc>
              <w:tc>
                <w:tcPr>
                  <w:tcW w:w="120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20</w:t>
                  </w: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0,13</w:t>
                  </w: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2,60</w:t>
                  </w:r>
                </w:p>
              </w:tc>
            </w:tr>
            <w:tr w:rsidR="000E1487" w:rsidRPr="00EC6A4B" w:rsidTr="000E1487">
              <w:trPr>
                <w:trHeight w:val="300"/>
                <w:jc w:val="center"/>
              </w:trPr>
              <w:tc>
                <w:tcPr>
                  <w:tcW w:w="2560" w:type="dxa"/>
                  <w:tcBorders>
                    <w:top w:val="nil"/>
                    <w:left w:val="single" w:sz="4" w:space="0" w:color="auto"/>
                    <w:bottom w:val="single" w:sz="4" w:space="0" w:color="auto"/>
                    <w:right w:val="nil"/>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Total</w:t>
                  </w:r>
                </w:p>
              </w:tc>
              <w:tc>
                <w:tcPr>
                  <w:tcW w:w="784" w:type="dxa"/>
                  <w:tcBorders>
                    <w:top w:val="nil"/>
                    <w:left w:val="nil"/>
                    <w:bottom w:val="single" w:sz="4" w:space="0" w:color="auto"/>
                    <w:right w:val="nil"/>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 </w:t>
                  </w:r>
                </w:p>
              </w:tc>
              <w:tc>
                <w:tcPr>
                  <w:tcW w:w="1200" w:type="dxa"/>
                  <w:tcBorders>
                    <w:top w:val="nil"/>
                    <w:left w:val="nil"/>
                    <w:bottom w:val="single" w:sz="4" w:space="0" w:color="auto"/>
                    <w:right w:val="nil"/>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
              </w:tc>
              <w:tc>
                <w:tcPr>
                  <w:tcW w:w="2014"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p>
              </w:tc>
              <w:tc>
                <w:tcPr>
                  <w:tcW w:w="178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right"/>
                    <w:rPr>
                      <w:rFonts w:eastAsia="Times New Roman" w:cs="Times New Roman"/>
                      <w:color w:val="000000"/>
                      <w:szCs w:val="22"/>
                    </w:rPr>
                  </w:pPr>
                  <w:r w:rsidRPr="00EC6A4B">
                    <w:rPr>
                      <w:rFonts w:eastAsia="Times New Roman" w:cs="Times New Roman"/>
                      <w:color w:val="000000"/>
                      <w:szCs w:val="22"/>
                    </w:rPr>
                    <w:t>53,34</w:t>
                  </w:r>
                </w:p>
              </w:tc>
            </w:tr>
          </w:tbl>
          <w:p w:rsidR="008E5E8C" w:rsidRPr="00EC6A4B" w:rsidRDefault="008E5E8C" w:rsidP="008E5E8C">
            <w:pPr>
              <w:rPr>
                <w:rFonts w:eastAsia="Times New Roman"/>
                <w:sz w:val="18"/>
                <w:lang w:val="es-ES" w:eastAsia="es-ES"/>
              </w:rPr>
            </w:pPr>
          </w:p>
          <w:p w:rsidR="00CB4ADE" w:rsidRPr="00EC6A4B" w:rsidRDefault="00CB4ADE" w:rsidP="005D7702">
            <w:pPr>
              <w:rPr>
                <w:rFonts w:eastAsia="Times New Roman"/>
                <w:sz w:val="18"/>
                <w:lang w:val="es-ES" w:eastAsia="es-ES"/>
              </w:rPr>
            </w:pPr>
          </w:p>
          <w:p w:rsidR="000E1487" w:rsidRPr="00EC6A4B" w:rsidRDefault="000E1487" w:rsidP="005D7702">
            <w:pPr>
              <w:rPr>
                <w:rFonts w:eastAsia="Times New Roman"/>
                <w:sz w:val="18"/>
                <w:lang w:val="es-ES" w:eastAsia="es-ES"/>
              </w:rPr>
            </w:pPr>
            <w:r w:rsidRPr="00EC6A4B">
              <w:rPr>
                <w:rFonts w:eastAsia="Times New Roman"/>
                <w:sz w:val="18"/>
                <w:lang w:val="es-ES" w:eastAsia="es-ES"/>
              </w:rPr>
              <w:t>Pozos en la zona saturada</w:t>
            </w:r>
          </w:p>
          <w:p w:rsidR="000E1487" w:rsidRPr="00EC6A4B" w:rsidRDefault="000E1487" w:rsidP="000E1487">
            <w:pPr>
              <w:rPr>
                <w:rFonts w:eastAsia="Times New Roman"/>
                <w:sz w:val="18"/>
                <w:lang w:val="es-ES" w:eastAsia="es-ES"/>
              </w:rPr>
            </w:pPr>
            <w:r w:rsidRPr="00EC6A4B">
              <w:rPr>
                <w:rFonts w:eastAsia="Times New Roman"/>
                <w:sz w:val="18"/>
                <w:lang w:val="es-ES" w:eastAsia="es-ES"/>
              </w:rPr>
              <w:t>Son estructuras profundas que suministran agua al acuífero por gravedad o bajo presión. El principal problema es que se colmatan con facilidad, reduciendo las tasas de inyección. La minimización de esta problemática está dada por: un apropiado tratamiento y remoción del material suspendido en la fuente de agua, una estabilización química, y un control bacteriano del agua. El tratamiento ácido ayuda en la remoción de precipitados de carbonato de calcio del acuífero. La expresión que permite estimar el caudal infiltrado por cada pozo en la zona saturada es la siguiente:</w:t>
            </w:r>
          </w:p>
          <w:p w:rsidR="000E1487" w:rsidRPr="00EC6A4B" w:rsidRDefault="000E1487" w:rsidP="000E1487">
            <w:pPr>
              <w:rPr>
                <w:rFonts w:eastAsia="Times New Roman"/>
                <w:sz w:val="18"/>
                <w:lang w:val="es-ES" w:eastAsia="es-ES"/>
              </w:rPr>
            </w:pPr>
            <w:r w:rsidRPr="00EC6A4B">
              <w:rPr>
                <w:rFonts w:eastAsia="Times New Roman"/>
                <w:sz w:val="18"/>
                <w:lang w:val="es-ES" w:eastAsia="es-ES"/>
              </w:rPr>
              <w:t xml:space="preserve"> </w:t>
            </w:r>
            <w:r w:rsidRPr="00EC6A4B">
              <w:rPr>
                <w:rFonts w:ascii="Cambria Math" w:eastAsia="Times New Roman" w:hAnsi="Cambria Math" w:cs="Cambria Math"/>
                <w:sz w:val="18"/>
                <w:lang w:val="es-ES" w:eastAsia="es-ES"/>
              </w:rPr>
              <w:t>𝑄</w:t>
            </w:r>
            <w:r w:rsidRPr="00EC6A4B">
              <w:rPr>
                <w:rFonts w:eastAsia="Times New Roman"/>
                <w:sz w:val="18"/>
                <w:lang w:val="es-ES" w:eastAsia="es-ES"/>
              </w:rPr>
              <w:t>=</w:t>
            </w:r>
            <w:r w:rsidRPr="00EC6A4B">
              <w:rPr>
                <w:rFonts w:ascii="Cambria Math" w:eastAsia="Times New Roman" w:hAnsi="Cambria Math" w:cs="Cambria Math"/>
                <w:sz w:val="18"/>
                <w:lang w:val="es-ES" w:eastAsia="es-ES"/>
              </w:rPr>
              <w:t>𝐾∗𝐶∗𝐻</w:t>
            </w:r>
          </w:p>
          <w:p w:rsidR="000E1487" w:rsidRPr="00EC6A4B" w:rsidRDefault="000E1487" w:rsidP="000E1487">
            <w:pPr>
              <w:rPr>
                <w:rFonts w:eastAsia="Times New Roman"/>
                <w:sz w:val="18"/>
                <w:lang w:val="es-ES" w:eastAsia="es-ES"/>
              </w:rPr>
            </w:pPr>
            <w:r w:rsidRPr="00EC6A4B">
              <w:rPr>
                <w:rFonts w:eastAsia="Times New Roman"/>
                <w:sz w:val="18"/>
                <w:lang w:val="es-ES" w:eastAsia="es-ES"/>
              </w:rPr>
              <w:t>En donde:</w:t>
            </w:r>
          </w:p>
          <w:p w:rsidR="000E1487" w:rsidRPr="00EC6A4B" w:rsidRDefault="000E1487" w:rsidP="00437D46">
            <w:pPr>
              <w:pStyle w:val="Prrafodelista"/>
              <w:numPr>
                <w:ilvl w:val="0"/>
                <w:numId w:val="20"/>
              </w:numPr>
              <w:rPr>
                <w:rFonts w:eastAsia="Times New Roman"/>
                <w:sz w:val="18"/>
                <w:lang w:val="es-ES" w:eastAsia="es-ES"/>
              </w:rPr>
            </w:pPr>
            <w:r w:rsidRPr="00EC6A4B">
              <w:rPr>
                <w:rFonts w:eastAsia="Times New Roman"/>
                <w:sz w:val="18"/>
                <w:lang w:val="es-ES" w:eastAsia="es-ES"/>
              </w:rPr>
              <w:t>Q: caudal infiltrado por un pozo en la zona saturada (m3/d).</w:t>
            </w:r>
          </w:p>
          <w:p w:rsidR="000E1487" w:rsidRPr="00EC6A4B" w:rsidRDefault="000E1487" w:rsidP="00437D46">
            <w:pPr>
              <w:pStyle w:val="Prrafodelista"/>
              <w:numPr>
                <w:ilvl w:val="0"/>
                <w:numId w:val="20"/>
              </w:numPr>
              <w:rPr>
                <w:rFonts w:eastAsia="Times New Roman"/>
                <w:sz w:val="18"/>
                <w:lang w:val="es-ES" w:eastAsia="es-ES"/>
              </w:rPr>
            </w:pPr>
            <w:r w:rsidRPr="00EC6A4B">
              <w:rPr>
                <w:rFonts w:eastAsia="Times New Roman"/>
                <w:sz w:val="18"/>
                <w:lang w:val="es-ES" w:eastAsia="es-ES"/>
              </w:rPr>
              <w:t>H: altura de agua por sobre el nivel estático (m).</w:t>
            </w:r>
          </w:p>
          <w:p w:rsidR="000E1487" w:rsidRPr="00EC6A4B" w:rsidRDefault="000E1487" w:rsidP="00437D46">
            <w:pPr>
              <w:pStyle w:val="Prrafodelista"/>
              <w:numPr>
                <w:ilvl w:val="0"/>
                <w:numId w:val="20"/>
              </w:numPr>
              <w:rPr>
                <w:rFonts w:eastAsia="Times New Roman"/>
                <w:sz w:val="18"/>
                <w:lang w:val="es-ES" w:eastAsia="es-ES"/>
              </w:rPr>
            </w:pPr>
            <w:r w:rsidRPr="00EC6A4B">
              <w:rPr>
                <w:rFonts w:eastAsia="Times New Roman"/>
                <w:sz w:val="18"/>
                <w:lang w:val="es-ES" w:eastAsia="es-ES"/>
              </w:rPr>
              <w:t>K: conductividad hidráulica (m/d).</w:t>
            </w:r>
          </w:p>
          <w:p w:rsidR="000E1487" w:rsidRPr="00EC6A4B" w:rsidRDefault="000E1487" w:rsidP="00437D46">
            <w:pPr>
              <w:pStyle w:val="Prrafodelista"/>
              <w:numPr>
                <w:ilvl w:val="0"/>
                <w:numId w:val="20"/>
              </w:numPr>
              <w:rPr>
                <w:rFonts w:eastAsia="Times New Roman"/>
                <w:sz w:val="18"/>
                <w:lang w:val="es-ES" w:eastAsia="es-ES"/>
              </w:rPr>
            </w:pPr>
            <w:r w:rsidRPr="00EC6A4B">
              <w:rPr>
                <w:rFonts w:eastAsia="Times New Roman"/>
                <w:sz w:val="18"/>
                <w:lang w:val="es-ES" w:eastAsia="es-ES"/>
              </w:rPr>
              <w:t>C: factor de forma.</w:t>
            </w:r>
          </w:p>
          <w:p w:rsidR="000E1487" w:rsidRPr="00EC6A4B" w:rsidRDefault="000E1487" w:rsidP="005D7702">
            <w:pPr>
              <w:rPr>
                <w:rFonts w:eastAsia="Times New Roman"/>
                <w:sz w:val="18"/>
                <w:lang w:val="es-ES" w:eastAsia="es-ES"/>
              </w:rPr>
            </w:pPr>
          </w:p>
          <w:p w:rsidR="000E1487" w:rsidRPr="00EC6A4B" w:rsidRDefault="000E1487" w:rsidP="005D7702">
            <w:pPr>
              <w:rPr>
                <w:rFonts w:eastAsia="Times New Roman"/>
                <w:sz w:val="18"/>
                <w:lang w:val="es-ES" w:eastAsia="es-ES"/>
              </w:rPr>
            </w:pPr>
          </w:p>
          <w:p w:rsidR="000E1487" w:rsidRPr="00EC6A4B" w:rsidRDefault="000E1487" w:rsidP="005D7702">
            <w:pPr>
              <w:rPr>
                <w:rFonts w:eastAsia="Times New Roman"/>
                <w:sz w:val="18"/>
                <w:lang w:val="es-ES" w:eastAsia="es-ES"/>
              </w:rPr>
            </w:pPr>
          </w:p>
          <w:p w:rsidR="000E1487" w:rsidRPr="00EC6A4B" w:rsidRDefault="000E1487" w:rsidP="00060F38">
            <w:pPr>
              <w:jc w:val="center"/>
              <w:rPr>
                <w:rFonts w:eastAsia="Times New Roman"/>
                <w:sz w:val="18"/>
                <w:lang w:val="es-ES" w:eastAsia="es-ES"/>
              </w:rPr>
            </w:pPr>
            <w:r w:rsidRPr="00EC6A4B">
              <w:rPr>
                <w:rFonts w:eastAsia="Times New Roman"/>
                <w:sz w:val="18"/>
                <w:lang w:val="es-ES" w:eastAsia="es-ES"/>
              </w:rPr>
              <w:t>Diseño propuesto para un pozo en zona saturada</w:t>
            </w:r>
          </w:p>
          <w:p w:rsidR="000E1487" w:rsidRPr="00EC6A4B" w:rsidRDefault="000E1487" w:rsidP="00060F38">
            <w:pPr>
              <w:jc w:val="center"/>
              <w:rPr>
                <w:rFonts w:eastAsia="Times New Roman"/>
                <w:sz w:val="18"/>
                <w:lang w:val="es-ES" w:eastAsia="es-ES"/>
              </w:rPr>
            </w:pPr>
            <w:r w:rsidRPr="00EC6A4B">
              <w:rPr>
                <w:noProof/>
              </w:rPr>
              <w:drawing>
                <wp:inline distT="0" distB="0" distL="0" distR="0" wp14:anchorId="166E7B44" wp14:editId="277BB067">
                  <wp:extent cx="5039966" cy="468895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33" t="25272" r="31794" b="17352"/>
                          <a:stretch/>
                        </pic:blipFill>
                        <pic:spPr bwMode="auto">
                          <a:xfrm>
                            <a:off x="0" y="0"/>
                            <a:ext cx="5040000" cy="4688990"/>
                          </a:xfrm>
                          <a:prstGeom prst="rect">
                            <a:avLst/>
                          </a:prstGeom>
                          <a:ln>
                            <a:noFill/>
                          </a:ln>
                          <a:extLst>
                            <a:ext uri="{53640926-AAD7-44D8-BBD7-CCE9431645EC}">
                              <a14:shadowObscured xmlns:a14="http://schemas.microsoft.com/office/drawing/2010/main"/>
                            </a:ext>
                          </a:extLst>
                        </pic:spPr>
                      </pic:pic>
                    </a:graphicData>
                  </a:graphic>
                </wp:inline>
              </w:drawing>
            </w:r>
          </w:p>
          <w:p w:rsidR="000E1487" w:rsidRPr="00EC6A4B" w:rsidRDefault="000E1487" w:rsidP="005D7702">
            <w:pPr>
              <w:rPr>
                <w:rFonts w:eastAsia="Times New Roman"/>
                <w:sz w:val="18"/>
                <w:lang w:val="es-ES" w:eastAsia="es-ES"/>
              </w:rPr>
            </w:pPr>
            <w:r w:rsidRPr="00EC6A4B">
              <w:rPr>
                <w:rFonts w:eastAsia="Times New Roman"/>
                <w:sz w:val="18"/>
                <w:lang w:val="es-ES" w:eastAsia="es-ES"/>
              </w:rPr>
              <w:t xml:space="preserve">Si se implementaran pozos de infiltración en la zona saturada de 65 m de profundidad, habilitados con cribas en 20 m, y con un diámetro de 12”, </w:t>
            </w:r>
            <w:r w:rsidR="00060F38" w:rsidRPr="00EC6A4B">
              <w:rPr>
                <w:rFonts w:eastAsia="Times New Roman"/>
                <w:sz w:val="18"/>
                <w:lang w:val="es-ES" w:eastAsia="es-ES"/>
              </w:rPr>
              <w:t xml:space="preserve">el caudal infiltrado sería de 21,4 l/s. De esta forma, </w:t>
            </w:r>
            <w:r w:rsidR="00060F38" w:rsidRPr="00EC6A4B">
              <w:rPr>
                <w:rFonts w:eastAsia="Times New Roman"/>
                <w:sz w:val="18"/>
                <w:lang w:val="es-ES" w:eastAsia="es-ES"/>
              </w:rPr>
              <w:lastRenderedPageBreak/>
              <w:t xml:space="preserve">una pozo de infiltración, operando 120 días al año en forma continua (temporada de invierno), podría infiltrar un total de 221.875 m3 (0,22 hm3), y </w:t>
            </w:r>
            <w:r w:rsidRPr="00EC6A4B">
              <w:rPr>
                <w:rFonts w:eastAsia="Times New Roman"/>
                <w:sz w:val="18"/>
                <w:lang w:val="es-ES" w:eastAsia="es-ES"/>
              </w:rPr>
              <w:t xml:space="preserve">el costo por pozo sería el </w:t>
            </w:r>
            <w:r w:rsidR="00060F38" w:rsidRPr="00EC6A4B">
              <w:rPr>
                <w:rFonts w:eastAsia="Times New Roman"/>
                <w:sz w:val="18"/>
                <w:lang w:val="es-ES" w:eastAsia="es-ES"/>
              </w:rPr>
              <w:t>siguiente:</w:t>
            </w:r>
          </w:p>
          <w:p w:rsidR="00060F38" w:rsidRPr="00EC6A4B" w:rsidRDefault="00060F38" w:rsidP="005D7702">
            <w:pPr>
              <w:rPr>
                <w:rFonts w:eastAsia="Times New Roman"/>
                <w:sz w:val="18"/>
                <w:lang w:val="es-ES" w:eastAsia="es-ES"/>
              </w:rPr>
            </w:pPr>
          </w:p>
          <w:tbl>
            <w:tblPr>
              <w:tblW w:w="9103" w:type="dxa"/>
              <w:tblCellMar>
                <w:left w:w="70" w:type="dxa"/>
                <w:right w:w="70" w:type="dxa"/>
              </w:tblCellMar>
              <w:tblLook w:val="04A0" w:firstRow="1" w:lastRow="0" w:firstColumn="1" w:lastColumn="0" w:noHBand="0" w:noVBand="1"/>
            </w:tblPr>
            <w:tblGrid>
              <w:gridCol w:w="3988"/>
              <w:gridCol w:w="977"/>
              <w:gridCol w:w="1190"/>
              <w:gridCol w:w="1380"/>
              <w:gridCol w:w="1413"/>
            </w:tblGrid>
            <w:tr w:rsidR="00060F38" w:rsidRPr="00EC6A4B" w:rsidTr="00FC21C5">
              <w:trPr>
                <w:trHeight w:val="300"/>
                <w:tblHeader/>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Partida</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Unidad</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Cantidad</w:t>
                  </w:r>
                </w:p>
              </w:tc>
              <w:tc>
                <w:tcPr>
                  <w:tcW w:w="1403"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Precio Unitario (UF)</w:t>
                  </w:r>
                </w:p>
              </w:tc>
              <w:tc>
                <w:tcPr>
                  <w:tcW w:w="1437" w:type="dxa"/>
                  <w:tcBorders>
                    <w:top w:val="single" w:sz="4" w:space="0" w:color="auto"/>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center"/>
                    <w:rPr>
                      <w:rFonts w:eastAsia="Times New Roman" w:cs="Times New Roman"/>
                      <w:b/>
                      <w:color w:val="000000"/>
                      <w:szCs w:val="22"/>
                    </w:rPr>
                  </w:pPr>
                  <w:r w:rsidRPr="00EC6A4B">
                    <w:rPr>
                      <w:rFonts w:eastAsia="Times New Roman" w:cs="Times New Roman"/>
                      <w:b/>
                      <w:color w:val="000000"/>
                      <w:szCs w:val="22"/>
                    </w:rPr>
                    <w:t>Costo Total (UF)</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A. Instalación y Levante de Faenas</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roofErr w:type="spellStart"/>
                  <w:r w:rsidRPr="00EC6A4B">
                    <w:rPr>
                      <w:rFonts w:eastAsia="Times New Roman" w:cs="Times New Roman"/>
                      <w:color w:val="000000"/>
                      <w:szCs w:val="22"/>
                    </w:rPr>
                    <w:t>gl</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1.200.000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1.200.000</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B. Instalación del sondaje</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roofErr w:type="spellStart"/>
                  <w:r w:rsidRPr="00EC6A4B">
                    <w:rPr>
                      <w:rFonts w:eastAsia="Times New Roman" w:cs="Times New Roman"/>
                      <w:color w:val="000000"/>
                      <w:szCs w:val="22"/>
                    </w:rPr>
                    <w:t>gl</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29.510.500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29.510.500</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C. Obra de Captación, filtro y caseta</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roofErr w:type="spellStart"/>
                  <w:r w:rsidRPr="00EC6A4B">
                    <w:rPr>
                      <w:rFonts w:eastAsia="Times New Roman" w:cs="Times New Roman"/>
                      <w:color w:val="000000"/>
                      <w:szCs w:val="22"/>
                    </w:rPr>
                    <w:t>gl</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5.000.000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5.000.000</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D. Interrupción de faenas</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roofErr w:type="spellStart"/>
                  <w:r w:rsidRPr="00EC6A4B">
                    <w:rPr>
                      <w:rFonts w:eastAsia="Times New Roman" w:cs="Times New Roman"/>
                      <w:color w:val="000000"/>
                      <w:szCs w:val="22"/>
                    </w:rPr>
                    <w:t>hr</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24</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40.000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960.000</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E. Plano de construcción e informe final</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proofErr w:type="spellStart"/>
                  <w:r w:rsidRPr="00EC6A4B">
                    <w:rPr>
                      <w:rFonts w:eastAsia="Times New Roman" w:cs="Times New Roman"/>
                      <w:color w:val="000000"/>
                      <w:szCs w:val="22"/>
                    </w:rPr>
                    <w:t>gl</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300.000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300.000</w:t>
                  </w:r>
                </w:p>
              </w:tc>
            </w:tr>
            <w:tr w:rsidR="00060F38" w:rsidRPr="00EC6A4B" w:rsidTr="00FC21C5">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F. Gastos generales, imprevistos y utilidades (45%)</w:t>
                  </w:r>
                </w:p>
              </w:tc>
              <w:tc>
                <w:tcPr>
                  <w:tcW w:w="99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 </w:t>
                  </w:r>
                </w:p>
              </w:tc>
              <w:tc>
                <w:tcPr>
                  <w:tcW w:w="1210"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45%</w:t>
                  </w: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36.970.500</w:t>
                  </w: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16.636.725</w:t>
                  </w:r>
                </w:p>
              </w:tc>
            </w:tr>
            <w:tr w:rsidR="00060F38" w:rsidRPr="00EC6A4B" w:rsidTr="00FC21C5">
              <w:trPr>
                <w:trHeight w:val="300"/>
              </w:trPr>
              <w:tc>
                <w:tcPr>
                  <w:tcW w:w="4060" w:type="dxa"/>
                  <w:tcBorders>
                    <w:top w:val="nil"/>
                    <w:left w:val="single" w:sz="4" w:space="0" w:color="auto"/>
                    <w:bottom w:val="single" w:sz="4" w:space="0" w:color="auto"/>
                    <w:right w:val="nil"/>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Total</w:t>
                  </w:r>
                </w:p>
              </w:tc>
              <w:tc>
                <w:tcPr>
                  <w:tcW w:w="993" w:type="dxa"/>
                  <w:tcBorders>
                    <w:top w:val="nil"/>
                    <w:left w:val="nil"/>
                    <w:bottom w:val="single" w:sz="4" w:space="0" w:color="auto"/>
                    <w:right w:val="nil"/>
                  </w:tcBorders>
                  <w:shd w:val="clear" w:color="auto" w:fill="auto"/>
                  <w:noWrap/>
                  <w:vAlign w:val="bottom"/>
                  <w:hideMark/>
                </w:tcPr>
                <w:p w:rsidR="000E1487" w:rsidRPr="00EC6A4B" w:rsidRDefault="000E1487" w:rsidP="000E1487">
                  <w:pPr>
                    <w:spacing w:after="0" w:line="240" w:lineRule="auto"/>
                    <w:jc w:val="left"/>
                    <w:rPr>
                      <w:rFonts w:eastAsia="Times New Roman" w:cs="Times New Roman"/>
                      <w:color w:val="000000"/>
                      <w:szCs w:val="22"/>
                    </w:rPr>
                  </w:pPr>
                  <w:r w:rsidRPr="00EC6A4B">
                    <w:rPr>
                      <w:rFonts w:eastAsia="Times New Roman" w:cs="Times New Roman"/>
                      <w:color w:val="000000"/>
                      <w:szCs w:val="22"/>
                    </w:rPr>
                    <w:t> </w:t>
                  </w:r>
                </w:p>
              </w:tc>
              <w:tc>
                <w:tcPr>
                  <w:tcW w:w="1210" w:type="dxa"/>
                  <w:tcBorders>
                    <w:top w:val="nil"/>
                    <w:left w:val="nil"/>
                    <w:bottom w:val="single" w:sz="4" w:space="0" w:color="auto"/>
                    <w:right w:val="nil"/>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p>
              </w:tc>
              <w:tc>
                <w:tcPr>
                  <w:tcW w:w="1403"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p>
              </w:tc>
              <w:tc>
                <w:tcPr>
                  <w:tcW w:w="1437" w:type="dxa"/>
                  <w:tcBorders>
                    <w:top w:val="nil"/>
                    <w:left w:val="nil"/>
                    <w:bottom w:val="single" w:sz="4" w:space="0" w:color="auto"/>
                    <w:right w:val="single" w:sz="4" w:space="0" w:color="auto"/>
                  </w:tcBorders>
                  <w:shd w:val="clear" w:color="auto" w:fill="auto"/>
                  <w:noWrap/>
                  <w:vAlign w:val="bottom"/>
                  <w:hideMark/>
                </w:tcPr>
                <w:p w:rsidR="000E1487" w:rsidRPr="00EC6A4B" w:rsidRDefault="000E1487" w:rsidP="00060F38">
                  <w:pPr>
                    <w:spacing w:after="0" w:line="240" w:lineRule="auto"/>
                    <w:jc w:val="right"/>
                    <w:rPr>
                      <w:rFonts w:eastAsia="Times New Roman" w:cs="Times New Roman"/>
                      <w:color w:val="000000"/>
                      <w:szCs w:val="22"/>
                    </w:rPr>
                  </w:pPr>
                  <w:r w:rsidRPr="00EC6A4B">
                    <w:rPr>
                      <w:rFonts w:eastAsia="Times New Roman" w:cs="Times New Roman"/>
                      <w:color w:val="000000"/>
                      <w:szCs w:val="22"/>
                    </w:rPr>
                    <w:t>53.607.225</w:t>
                  </w:r>
                </w:p>
              </w:tc>
            </w:tr>
          </w:tbl>
          <w:p w:rsidR="00240D93" w:rsidRPr="00EC6A4B" w:rsidRDefault="00240D93" w:rsidP="005D7702">
            <w:pPr>
              <w:rPr>
                <w:rFonts w:eastAsia="Times New Roman"/>
                <w:sz w:val="18"/>
                <w:lang w:val="es-ES" w:eastAsia="es-ES"/>
              </w:rPr>
            </w:pPr>
            <w:r w:rsidRPr="00EC6A4B">
              <w:rPr>
                <w:rFonts w:eastAsia="Times New Roman"/>
                <w:sz w:val="18"/>
                <w:lang w:val="es-ES" w:eastAsia="es-ES"/>
              </w:rPr>
              <w:t xml:space="preserve">Nota: valores no consideran IVA. </w:t>
            </w:r>
          </w:p>
          <w:p w:rsidR="005D7702" w:rsidRPr="00EC6A4B" w:rsidRDefault="005D7702" w:rsidP="005D7702">
            <w:pPr>
              <w:rPr>
                <w:rFonts w:eastAsia="Times New Roman"/>
                <w:sz w:val="18"/>
                <w:lang w:val="es-ES" w:eastAsia="es-ES"/>
              </w:rPr>
            </w:pPr>
            <w:r w:rsidRPr="00EC6A4B">
              <w:rPr>
                <w:rFonts w:eastAsia="Times New Roman"/>
                <w:sz w:val="18"/>
                <w:lang w:val="es-ES" w:eastAsia="es-ES"/>
              </w:rPr>
              <w:t>Fuente: “Recarga Artificial de Acuíferos en la cuenca del río Maule” (Moreno, 2015), quien lo adaptó de Estudio diagnóstico de zonas potenciales de recarga de acuíferos en las regiones de Arica y Parinacota a la región del Maule. Realizado por GCF Ingenieros Ltda</w:t>
            </w:r>
            <w:r w:rsidR="00FB4554" w:rsidRPr="00EC6A4B">
              <w:rPr>
                <w:rFonts w:eastAsia="Times New Roman"/>
                <w:sz w:val="18"/>
                <w:lang w:val="es-ES" w:eastAsia="es-ES"/>
              </w:rPr>
              <w:t xml:space="preserve"> (COMISIÓN NACIONAL DE RIEGO. 2013.)</w:t>
            </w:r>
            <w:r w:rsidRPr="00EC6A4B">
              <w:rPr>
                <w:rFonts w:eastAsia="Times New Roman"/>
                <w:sz w:val="18"/>
                <w:lang w:val="es-ES" w:eastAsia="es-ES"/>
              </w:rPr>
              <w:t>.</w:t>
            </w:r>
          </w:p>
          <w:p w:rsidR="005B0802" w:rsidRPr="00EC6A4B" w:rsidRDefault="005B0802" w:rsidP="0083726E">
            <w:pPr>
              <w:rPr>
                <w:rFonts w:eastAsia="Times New Roman"/>
                <w:sz w:val="18"/>
                <w:lang w:val="es-ES" w:eastAsia="es-ES"/>
              </w:rPr>
            </w:pPr>
          </w:p>
          <w:p w:rsidR="005A6871" w:rsidRPr="00EC6A4B" w:rsidRDefault="00FB4554" w:rsidP="00FB4554">
            <w:pPr>
              <w:rPr>
                <w:rFonts w:eastAsia="Times New Roman"/>
                <w:sz w:val="18"/>
                <w:lang w:val="es-ES" w:eastAsia="es-ES"/>
              </w:rPr>
            </w:pPr>
            <w:r w:rsidRPr="00EC6A4B">
              <w:rPr>
                <w:rFonts w:eastAsia="Times New Roman"/>
                <w:sz w:val="18"/>
                <w:lang w:val="es-ES" w:eastAsia="es-ES"/>
              </w:rPr>
              <w:t>En complemento, en el año 2014 CNR realizó el estudio Diagnóstico De Zonas De Recarga en Cuencas del Secano Maule, VII Región Del Maule. En este estudio se evaluó 10 sectores, donde se proyectó obras de recarga a nivel de perfil que consideran Zanjas de Infiltración en 7 de los 10 sectores y Piscinas de Infiltración en los 3 restantes.</w:t>
            </w:r>
          </w:p>
          <w:p w:rsidR="008E4F79" w:rsidRPr="00EC6A4B" w:rsidRDefault="008E4F79" w:rsidP="00FB4554">
            <w:pPr>
              <w:rPr>
                <w:rFonts w:eastAsia="Times New Roman"/>
                <w:sz w:val="18"/>
                <w:lang w:val="es-ES" w:eastAsia="es-ES"/>
              </w:rPr>
            </w:pPr>
            <w:r w:rsidRPr="00EC6A4B">
              <w:rPr>
                <w:rFonts w:eastAsia="Times New Roman"/>
                <w:sz w:val="18"/>
                <w:lang w:val="es-ES" w:eastAsia="es-ES"/>
              </w:rPr>
              <w:t>Los costos de implementación de las soluciones se presentan en la tabla siguiente:</w:t>
            </w:r>
          </w:p>
          <w:p w:rsidR="008E4F79" w:rsidRPr="00EC6A4B" w:rsidRDefault="008E4F79" w:rsidP="00FB4554">
            <w:pPr>
              <w:rPr>
                <w:rFonts w:eastAsia="Times New Roman"/>
                <w:sz w:val="18"/>
                <w:lang w:val="es-ES" w:eastAsia="es-ES"/>
              </w:rPr>
            </w:pPr>
          </w:p>
          <w:p w:rsidR="008E4F79" w:rsidRPr="00EC6A4B" w:rsidRDefault="008E4F79" w:rsidP="008E4F79">
            <w:pPr>
              <w:jc w:val="center"/>
              <w:rPr>
                <w:rFonts w:eastAsia="Times New Roman"/>
                <w:sz w:val="18"/>
                <w:lang w:val="es-ES" w:eastAsia="es-ES"/>
              </w:rPr>
            </w:pPr>
            <w:r w:rsidRPr="00EC6A4B">
              <w:rPr>
                <w:noProof/>
              </w:rPr>
              <w:lastRenderedPageBreak/>
              <w:drawing>
                <wp:inline distT="0" distB="0" distL="0" distR="0" wp14:anchorId="5141AFFE" wp14:editId="36050EB3">
                  <wp:extent cx="5040000" cy="255739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25" t="26775" r="19393" b="17374"/>
                          <a:stretch/>
                        </pic:blipFill>
                        <pic:spPr bwMode="auto">
                          <a:xfrm>
                            <a:off x="0" y="0"/>
                            <a:ext cx="5040000" cy="2557390"/>
                          </a:xfrm>
                          <a:prstGeom prst="rect">
                            <a:avLst/>
                          </a:prstGeom>
                          <a:ln>
                            <a:noFill/>
                          </a:ln>
                          <a:extLst>
                            <a:ext uri="{53640926-AAD7-44D8-BBD7-CCE9431645EC}">
                              <a14:shadowObscured xmlns:a14="http://schemas.microsoft.com/office/drawing/2010/main"/>
                            </a:ext>
                          </a:extLst>
                        </pic:spPr>
                      </pic:pic>
                    </a:graphicData>
                  </a:graphic>
                </wp:inline>
              </w:drawing>
            </w:r>
          </w:p>
          <w:p w:rsidR="008E4F79" w:rsidRPr="00EC6A4B" w:rsidRDefault="008E4F79" w:rsidP="00FB4554">
            <w:pPr>
              <w:rPr>
                <w:rFonts w:eastAsia="Times New Roman"/>
                <w:sz w:val="18"/>
                <w:lang w:val="es-ES" w:eastAsia="es-ES"/>
              </w:rPr>
            </w:pP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Se realizó la evaluación económica de los proyectos. Los resultados obtenidos son malos, ya que los diez (10) proyectos tienen VAN privado negativo y nueve (9) VAN social negativo. Sólo el proyecto </w:t>
            </w:r>
            <w:proofErr w:type="spellStart"/>
            <w:r w:rsidRPr="00EC6A4B">
              <w:rPr>
                <w:rFonts w:eastAsia="Times New Roman"/>
                <w:sz w:val="18"/>
                <w:lang w:val="es-ES" w:eastAsia="es-ES"/>
              </w:rPr>
              <w:t>Purapel</w:t>
            </w:r>
            <w:proofErr w:type="spellEnd"/>
            <w:r w:rsidRPr="00EC6A4B">
              <w:rPr>
                <w:rFonts w:eastAsia="Times New Roman"/>
                <w:sz w:val="18"/>
                <w:lang w:val="es-ES" w:eastAsia="es-ES"/>
              </w:rPr>
              <w:t xml:space="preserve"> tiene VAN social positivo</w:t>
            </w:r>
            <w:r w:rsidR="00821002" w:rsidRPr="00EC6A4B">
              <w:rPr>
                <w:rFonts w:eastAsia="Times New Roman"/>
                <w:sz w:val="18"/>
                <w:lang w:val="es-ES" w:eastAsia="es-ES"/>
              </w:rPr>
              <w:t xml:space="preserve"> ($536,78 millones de pesos), y TIR de 22,96%</w:t>
            </w:r>
            <w:r w:rsidRPr="00EC6A4B">
              <w:rPr>
                <w:rFonts w:eastAsia="Times New Roman"/>
                <w:sz w:val="18"/>
                <w:lang w:val="es-ES" w:eastAsia="es-ES"/>
              </w:rPr>
              <w:t xml:space="preserve">. </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Algunas de las razones que </w:t>
            </w:r>
            <w:r w:rsidR="00821002" w:rsidRPr="00EC6A4B">
              <w:rPr>
                <w:rFonts w:eastAsia="Times New Roman"/>
                <w:sz w:val="18"/>
                <w:lang w:val="es-ES" w:eastAsia="es-ES"/>
              </w:rPr>
              <w:t>explican estos resultados son: l</w:t>
            </w:r>
            <w:r w:rsidRPr="00EC6A4B">
              <w:rPr>
                <w:rFonts w:eastAsia="Times New Roman"/>
                <w:sz w:val="18"/>
                <w:lang w:val="es-ES" w:eastAsia="es-ES"/>
              </w:rPr>
              <w:t>a disponibilidad de aguas sob</w:t>
            </w:r>
            <w:r w:rsidR="00BF789F" w:rsidRPr="00EC6A4B">
              <w:rPr>
                <w:rFonts w:eastAsia="Times New Roman"/>
                <w:sz w:val="18"/>
                <w:lang w:val="es-ES" w:eastAsia="es-ES"/>
              </w:rPr>
              <w:t xml:space="preserve">rantes de invierno es limitada; </w:t>
            </w:r>
            <w:r w:rsidRPr="00EC6A4B">
              <w:rPr>
                <w:rFonts w:eastAsia="Times New Roman"/>
                <w:sz w:val="18"/>
                <w:lang w:val="es-ES" w:eastAsia="es-ES"/>
              </w:rPr>
              <w:t xml:space="preserve">Los suelos de buena calidad y con condiciones geomorfológicas e hidrogeológicas que permitan instalar en ellos sistemas de recarga artificial son muy limitados. Esto se traduce en proyectos pequeños en superficie, que no permiten distribuir los costos entre más hectáreas, con la consiguiente desventaja que ello implica. </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Desde  el  punto  de  vista  hidrogeológico,  las  características  de  los  suelos  en  los sectores de proyecto son de regulares a malas, debido principalmente a la presencia de  materiales  finos  lo  que  da  origen  a  permeabilidades bajas a muy bajas, por lo que para infiltrar los caudales de diseño se requieren superficies mayores que si la permeabilidad fuese más favorable. </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Los  factores  que  diferencian  al  proyecto  </w:t>
            </w:r>
            <w:proofErr w:type="spellStart"/>
            <w:r w:rsidRPr="00EC6A4B">
              <w:rPr>
                <w:rFonts w:eastAsia="Times New Roman"/>
                <w:sz w:val="18"/>
                <w:lang w:val="es-ES" w:eastAsia="es-ES"/>
              </w:rPr>
              <w:t>Purapel</w:t>
            </w:r>
            <w:proofErr w:type="spellEnd"/>
            <w:r w:rsidRPr="00EC6A4B">
              <w:rPr>
                <w:rFonts w:eastAsia="Times New Roman"/>
                <w:sz w:val="18"/>
                <w:lang w:val="es-ES" w:eastAsia="es-ES"/>
              </w:rPr>
              <w:t xml:space="preserve">,  (único  con  VAN  social  positivo)  del resto son: </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     El  valor  del  coeficiente  de  permeabilidad,  uno  de  los  más  altos,  y  que  se  explica  por  un  control  geológico  existente  en  la  zona,  que  asociado  a  procesos de meteorización generaron un profundo </w:t>
            </w:r>
            <w:proofErr w:type="spellStart"/>
            <w:r w:rsidRPr="00EC6A4B">
              <w:rPr>
                <w:rFonts w:eastAsia="Times New Roman"/>
                <w:sz w:val="18"/>
                <w:lang w:val="es-ES" w:eastAsia="es-ES"/>
              </w:rPr>
              <w:t>amaicillamiento</w:t>
            </w:r>
            <w:proofErr w:type="spellEnd"/>
            <w:r w:rsidRPr="00EC6A4B">
              <w:rPr>
                <w:rFonts w:eastAsia="Times New Roman"/>
                <w:sz w:val="18"/>
                <w:lang w:val="es-ES" w:eastAsia="es-ES"/>
              </w:rPr>
              <w:t xml:space="preserve">, y  </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    La gran superficie disponible, en términos relativos. </w:t>
            </w:r>
          </w:p>
          <w:p w:rsidR="00FB4554" w:rsidRPr="00EC6A4B" w:rsidRDefault="00FB4554" w:rsidP="00FB4554">
            <w:pPr>
              <w:rPr>
                <w:rFonts w:eastAsia="Times New Roman"/>
                <w:sz w:val="18"/>
                <w:lang w:val="es-ES" w:eastAsia="es-ES"/>
              </w:rPr>
            </w:pPr>
            <w:r w:rsidRPr="00EC6A4B">
              <w:rPr>
                <w:rFonts w:eastAsia="Times New Roman"/>
                <w:sz w:val="18"/>
                <w:lang w:val="es-ES" w:eastAsia="es-ES"/>
              </w:rPr>
              <w:lastRenderedPageBreak/>
              <w:t>En resumen, si bien la zona del secano costero de la Región del Maule es una zona que requiere mejorar la disponibilidad de agua para uso agrícola, los proyectos de recarga artificial no representan la solución que se requiere.</w:t>
            </w:r>
          </w:p>
          <w:p w:rsidR="00FB4554" w:rsidRPr="00EC6A4B" w:rsidRDefault="00FB4554" w:rsidP="00FB4554">
            <w:pPr>
              <w:rPr>
                <w:rFonts w:eastAsia="Times New Roman"/>
                <w:sz w:val="18"/>
                <w:lang w:val="es-ES" w:eastAsia="es-ES"/>
              </w:rPr>
            </w:pPr>
            <w:r w:rsidRPr="00EC6A4B">
              <w:rPr>
                <w:rFonts w:eastAsia="Times New Roman"/>
                <w:sz w:val="18"/>
                <w:lang w:val="es-ES" w:eastAsia="es-ES"/>
              </w:rPr>
              <w:t xml:space="preserve">En complemento a lo recomendado por CNR en 2014, se eliminó la iniciativa asociada a recarga de acuíferos en zonas costeras, y se mantuvo las iniciativas asociadas al secano interior (sector </w:t>
            </w:r>
            <w:proofErr w:type="spellStart"/>
            <w:r w:rsidRPr="00EC6A4B">
              <w:rPr>
                <w:rFonts w:eastAsia="Times New Roman"/>
                <w:sz w:val="18"/>
                <w:lang w:val="es-ES" w:eastAsia="es-ES"/>
              </w:rPr>
              <w:t>Purapel</w:t>
            </w:r>
            <w:proofErr w:type="spellEnd"/>
            <w:r w:rsidRPr="00EC6A4B">
              <w:rPr>
                <w:rFonts w:eastAsia="Times New Roman"/>
                <w:sz w:val="18"/>
                <w:lang w:val="es-ES" w:eastAsia="es-ES"/>
              </w:rPr>
              <w:t xml:space="preserve">, única alternativa viable), y al sector Teno-Lontué (no evaluado a la fecha). </w:t>
            </w:r>
          </w:p>
          <w:p w:rsidR="00FB4554" w:rsidRPr="00EC6A4B" w:rsidRDefault="00FB4554" w:rsidP="00FB4554">
            <w:pPr>
              <w:rPr>
                <w:rFonts w:eastAsia="Times New Roman"/>
                <w:sz w:val="18"/>
                <w:lang w:val="es-ES" w:eastAsia="es-ES"/>
              </w:rPr>
            </w:pPr>
          </w:p>
        </w:tc>
      </w:tr>
      <w:tr w:rsidR="00EC6A4B" w:rsidRPr="00EC6A4B" w:rsidTr="007D68E2">
        <w:trPr>
          <w:trHeight w:val="300"/>
        </w:trPr>
        <w:tc>
          <w:tcPr>
            <w:tcW w:w="9098" w:type="dxa"/>
            <w:gridSpan w:val="3"/>
            <w:shd w:val="clear" w:color="auto" w:fill="F2F2F2" w:themeFill="background1" w:themeFillShade="F2"/>
            <w:noWrap/>
            <w:hideMark/>
          </w:tcPr>
          <w:p w:rsidR="00EC6A4B" w:rsidRPr="00EC6A4B" w:rsidRDefault="00EC6A4B" w:rsidP="0055299C">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lastRenderedPageBreak/>
              <w:t xml:space="preserve">Implementación   </w:t>
            </w:r>
          </w:p>
        </w:tc>
      </w:tr>
      <w:tr w:rsidR="00EC6A4B" w:rsidRPr="00EC6A4B" w:rsidTr="007D68E2">
        <w:trPr>
          <w:trHeight w:val="1724"/>
        </w:trPr>
        <w:tc>
          <w:tcPr>
            <w:tcW w:w="9098" w:type="dxa"/>
            <w:gridSpan w:val="3"/>
            <w:shd w:val="clear" w:color="auto" w:fill="auto"/>
            <w:noWrap/>
          </w:tcPr>
          <w:p w:rsidR="00EC6A4B" w:rsidRPr="00EC6A4B" w:rsidRDefault="00EC6A4B" w:rsidP="00EC6A4B">
            <w:pPr>
              <w:rPr>
                <w:rFonts w:eastAsia="Times New Roman"/>
                <w:sz w:val="18"/>
                <w:lang w:val="es-ES" w:eastAsia="es-ES"/>
              </w:rPr>
            </w:pPr>
            <w:r w:rsidRPr="00EC6A4B">
              <w:rPr>
                <w:rFonts w:eastAsia="Times New Roman"/>
                <w:sz w:val="18"/>
                <w:lang w:val="es-ES" w:eastAsia="es-ES"/>
              </w:rPr>
              <w:t>La forma de implementación de la iniciativa puede corresponder a dos alternativas:</w:t>
            </w:r>
          </w:p>
          <w:p w:rsidR="00EC6A4B" w:rsidRPr="00EC6A4B" w:rsidRDefault="00EC6A4B" w:rsidP="00EC6A4B">
            <w:pPr>
              <w:pStyle w:val="Prrafodelista"/>
              <w:numPr>
                <w:ilvl w:val="0"/>
                <w:numId w:val="26"/>
              </w:numPr>
              <w:rPr>
                <w:rFonts w:eastAsia="Times New Roman"/>
                <w:sz w:val="18"/>
                <w:lang w:val="es-ES" w:eastAsia="es-ES"/>
              </w:rPr>
            </w:pPr>
            <w:r w:rsidRPr="00EC6A4B">
              <w:rPr>
                <w:rFonts w:eastAsia="Times New Roman"/>
                <w:sz w:val="18"/>
                <w:lang w:val="es-ES" w:eastAsia="es-ES"/>
              </w:rPr>
              <w:t>Proyectos de la Ley de Fomento a la Inversión Privada en Obras de Riego y Drenaje, administrada por la CNR, y presentada por organizaciones de usuarios de agua (comunidades de aguas superficiales o subterráneas)</w:t>
            </w:r>
          </w:p>
          <w:p w:rsidR="00EC6A4B" w:rsidRPr="00EC6A4B" w:rsidRDefault="00EC6A4B" w:rsidP="00EC6A4B">
            <w:pPr>
              <w:pStyle w:val="Prrafodelista"/>
              <w:numPr>
                <w:ilvl w:val="0"/>
                <w:numId w:val="26"/>
              </w:numPr>
              <w:rPr>
                <w:rFonts w:eastAsia="Times New Roman"/>
                <w:sz w:val="18"/>
                <w:lang w:val="es-ES" w:eastAsia="es-ES"/>
              </w:rPr>
            </w:pPr>
            <w:r w:rsidRPr="00EC6A4B">
              <w:rPr>
                <w:rFonts w:eastAsia="Times New Roman"/>
                <w:sz w:val="18"/>
                <w:lang w:val="es-ES" w:eastAsia="es-ES"/>
              </w:rPr>
              <w:t xml:space="preserve">Financiamiento mediante Ministerio de Obras Públicas, dado que se trata de obras colectivas de almacenamiento de aguas subterráneas.  </w:t>
            </w:r>
          </w:p>
          <w:p w:rsidR="00EC6A4B" w:rsidRPr="00EC6A4B" w:rsidRDefault="00EC6A4B" w:rsidP="005D7702">
            <w:pPr>
              <w:rPr>
                <w:rFonts w:eastAsia="Times New Roman"/>
                <w:sz w:val="18"/>
                <w:lang w:val="es-ES" w:eastAsia="es-ES"/>
              </w:rPr>
            </w:pPr>
          </w:p>
        </w:tc>
      </w:tr>
    </w:tbl>
    <w:p w:rsidR="00240D93" w:rsidRPr="00EC6A4B" w:rsidRDefault="00240D93" w:rsidP="00FB2027">
      <w:pPr>
        <w:rPr>
          <w:lang w:val="es-ES_tradnl" w:eastAsia="es-ES"/>
        </w:rPr>
      </w:pPr>
    </w:p>
    <w:p w:rsidR="00BF789F" w:rsidRPr="00EC6A4B" w:rsidRDefault="00BF789F" w:rsidP="00FB2027">
      <w:pPr>
        <w:rPr>
          <w:lang w:val="es-ES_tradnl" w:eastAsia="es-ES"/>
        </w:rPr>
      </w:pPr>
    </w:p>
    <w:p w:rsidR="00240D93" w:rsidRPr="00EC6A4B" w:rsidRDefault="00240D93">
      <w:pPr>
        <w:spacing w:after="200"/>
        <w:jc w:val="left"/>
        <w:rPr>
          <w:lang w:val="es-ES_tradnl" w:eastAsia="es-ES"/>
        </w:rPr>
      </w:pPr>
      <w:r w:rsidRPr="00EC6A4B">
        <w:rPr>
          <w:lang w:val="es-ES_tradnl" w:eastAsia="es-ES"/>
        </w:rPr>
        <w:br w:type="page"/>
      </w:r>
    </w:p>
    <w:tbl>
      <w:tblPr>
        <w:tblW w:w="9103"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286"/>
        <w:gridCol w:w="151"/>
        <w:gridCol w:w="2060"/>
        <w:gridCol w:w="112"/>
        <w:gridCol w:w="1684"/>
        <w:gridCol w:w="2796"/>
        <w:gridCol w:w="14"/>
      </w:tblGrid>
      <w:tr w:rsidR="00240D93" w:rsidRPr="00EC6A4B" w:rsidTr="00EC6A4B">
        <w:trPr>
          <w:trHeight w:val="300"/>
          <w:tblHeader/>
        </w:trPr>
        <w:tc>
          <w:tcPr>
            <w:tcW w:w="6280" w:type="dxa"/>
            <w:gridSpan w:val="5"/>
            <w:shd w:val="clear" w:color="auto" w:fill="D9D9D9" w:themeFill="background1" w:themeFillShade="D9"/>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lastRenderedPageBreak/>
              <w:t>Infraestructura para recarga de acuíferos en Cuencas Teno y Lontué, sector restringido Teno-Lontué</w:t>
            </w:r>
          </w:p>
        </w:tc>
        <w:tc>
          <w:tcPr>
            <w:tcW w:w="2823" w:type="dxa"/>
            <w:gridSpan w:val="2"/>
            <w:shd w:val="clear" w:color="auto" w:fill="D9D9D9" w:themeFill="background1" w:themeFillShade="D9"/>
          </w:tcPr>
          <w:p w:rsidR="00240D93" w:rsidRPr="00EC6A4B" w:rsidRDefault="00240D93" w:rsidP="005202BA">
            <w:pPr>
              <w:spacing w:after="0" w:line="240" w:lineRule="auto"/>
              <w:jc w:val="right"/>
              <w:rPr>
                <w:rFonts w:eastAsia="Times New Roman" w:cs="Times New Roman"/>
                <w:b/>
                <w:bCs/>
                <w:color w:val="000000"/>
                <w:sz w:val="18"/>
                <w:szCs w:val="18"/>
                <w:lang w:val="es-ES" w:eastAsia="es-ES"/>
              </w:rPr>
            </w:pPr>
            <w:r w:rsidRPr="00EC6A4B">
              <w:rPr>
                <w:rFonts w:eastAsia="Times New Roman" w:cs="Times New Roman"/>
                <w:b/>
                <w:bCs/>
                <w:color w:val="000000"/>
                <w:sz w:val="36"/>
                <w:szCs w:val="18"/>
                <w:lang w:val="es-ES" w:eastAsia="es-ES"/>
              </w:rPr>
              <w:t>IN12</w:t>
            </w:r>
          </w:p>
        </w:tc>
      </w:tr>
      <w:tr w:rsidR="00240D93" w:rsidRPr="00EC6A4B" w:rsidTr="00EC6A4B">
        <w:trPr>
          <w:trHeight w:val="300"/>
        </w:trPr>
        <w:tc>
          <w:tcPr>
            <w:tcW w:w="2423" w:type="dxa"/>
            <w:gridSpan w:val="2"/>
            <w:shd w:val="clear" w:color="auto" w:fill="auto"/>
            <w:noWrap/>
            <w:hideMark/>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Tipo de iniciativa </w:t>
            </w:r>
          </w:p>
        </w:tc>
        <w:tc>
          <w:tcPr>
            <w:tcW w:w="2175" w:type="dxa"/>
            <w:gridSpan w:val="2"/>
            <w:shd w:val="clear" w:color="auto" w:fill="auto"/>
            <w:hideMark/>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Estructural</w:t>
            </w:r>
          </w:p>
        </w:tc>
        <w:tc>
          <w:tcPr>
            <w:tcW w:w="1682" w:type="dxa"/>
            <w:shd w:val="clear" w:color="auto" w:fill="auto"/>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
                <w:bCs/>
                <w:color w:val="000000"/>
                <w:sz w:val="18"/>
                <w:szCs w:val="18"/>
                <w:lang w:val="es-ES" w:eastAsia="es-ES"/>
              </w:rPr>
              <w:t>Tipología de Inversión</w:t>
            </w:r>
          </w:p>
        </w:tc>
        <w:tc>
          <w:tcPr>
            <w:tcW w:w="2823" w:type="dxa"/>
            <w:gridSpan w:val="2"/>
            <w:shd w:val="clear" w:color="auto" w:fill="auto"/>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Proyecto </w:t>
            </w:r>
          </w:p>
        </w:tc>
      </w:tr>
      <w:tr w:rsidR="00240D93" w:rsidRPr="00EC6A4B" w:rsidTr="00EC6A4B">
        <w:trPr>
          <w:trHeight w:val="300"/>
        </w:trPr>
        <w:tc>
          <w:tcPr>
            <w:tcW w:w="2423" w:type="dxa"/>
            <w:gridSpan w:val="2"/>
            <w:shd w:val="clear" w:color="auto" w:fill="auto"/>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Cartera Sectorial</w:t>
            </w:r>
          </w:p>
        </w:tc>
        <w:tc>
          <w:tcPr>
            <w:tcW w:w="2175" w:type="dxa"/>
            <w:gridSpan w:val="2"/>
            <w:shd w:val="clear" w:color="auto" w:fill="auto"/>
          </w:tcPr>
          <w:p w:rsidR="00240D93" w:rsidRPr="00EC6A4B" w:rsidRDefault="001749F2"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Recursos Hídricos / </w:t>
            </w:r>
            <w:r w:rsidR="00240D93" w:rsidRPr="00EC6A4B">
              <w:rPr>
                <w:rFonts w:eastAsia="Times New Roman" w:cs="Times New Roman"/>
                <w:bCs/>
                <w:color w:val="000000"/>
                <w:sz w:val="18"/>
                <w:szCs w:val="18"/>
                <w:lang w:val="es-ES" w:eastAsia="es-ES"/>
              </w:rPr>
              <w:t>Silvoagropecuario</w:t>
            </w:r>
          </w:p>
          <w:p w:rsidR="00240D93" w:rsidRPr="00EC6A4B" w:rsidRDefault="00240D93" w:rsidP="005202BA">
            <w:pPr>
              <w:spacing w:after="0" w:line="240" w:lineRule="auto"/>
              <w:jc w:val="left"/>
              <w:rPr>
                <w:rFonts w:eastAsia="Times New Roman" w:cs="Times New Roman"/>
                <w:bCs/>
                <w:color w:val="000000"/>
                <w:sz w:val="18"/>
                <w:szCs w:val="18"/>
                <w:lang w:val="es-ES" w:eastAsia="es-ES"/>
              </w:rPr>
            </w:pPr>
          </w:p>
        </w:tc>
        <w:tc>
          <w:tcPr>
            <w:tcW w:w="1682" w:type="dxa"/>
            <w:shd w:val="clear" w:color="auto" w:fill="auto"/>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Entidad Responsable </w:t>
            </w:r>
          </w:p>
        </w:tc>
        <w:tc>
          <w:tcPr>
            <w:tcW w:w="2823" w:type="dxa"/>
            <w:gridSpan w:val="2"/>
            <w:shd w:val="clear" w:color="auto" w:fill="auto"/>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DOH</w:t>
            </w:r>
          </w:p>
        </w:tc>
      </w:tr>
      <w:tr w:rsidR="001749F2" w:rsidRPr="00EC6A4B" w:rsidTr="00EC6A4B">
        <w:trPr>
          <w:trHeight w:val="300"/>
        </w:trPr>
        <w:tc>
          <w:tcPr>
            <w:tcW w:w="2423" w:type="dxa"/>
            <w:gridSpan w:val="2"/>
            <w:shd w:val="clear" w:color="auto" w:fill="auto"/>
            <w:noWrap/>
          </w:tcPr>
          <w:p w:rsidR="001749F2" w:rsidRPr="00EC6A4B" w:rsidRDefault="001749F2"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Situación </w:t>
            </w:r>
          </w:p>
        </w:tc>
        <w:tc>
          <w:tcPr>
            <w:tcW w:w="2175" w:type="dxa"/>
            <w:gridSpan w:val="2"/>
            <w:shd w:val="clear" w:color="auto" w:fill="auto"/>
          </w:tcPr>
          <w:p w:rsidR="001749F2" w:rsidRPr="00EC6A4B" w:rsidRDefault="001749F2"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Idea</w:t>
            </w:r>
          </w:p>
        </w:tc>
        <w:tc>
          <w:tcPr>
            <w:tcW w:w="1682" w:type="dxa"/>
            <w:shd w:val="clear" w:color="auto" w:fill="auto"/>
          </w:tcPr>
          <w:p w:rsidR="001749F2" w:rsidRPr="00EC6A4B" w:rsidRDefault="001749F2"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Fuente de Financiamiento </w:t>
            </w:r>
          </w:p>
        </w:tc>
        <w:tc>
          <w:tcPr>
            <w:tcW w:w="2823" w:type="dxa"/>
            <w:gridSpan w:val="2"/>
            <w:shd w:val="clear" w:color="auto" w:fill="auto"/>
          </w:tcPr>
          <w:p w:rsidR="001749F2" w:rsidRPr="00EC6A4B" w:rsidRDefault="001749F2"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Sectorial MOP / FNDR</w:t>
            </w:r>
          </w:p>
        </w:tc>
      </w:tr>
      <w:tr w:rsidR="00240D93" w:rsidRPr="00EC6A4B" w:rsidTr="00EC6A4B">
        <w:trPr>
          <w:trHeight w:val="300"/>
        </w:trPr>
        <w:tc>
          <w:tcPr>
            <w:tcW w:w="2423" w:type="dxa"/>
            <w:gridSpan w:val="2"/>
            <w:shd w:val="clear" w:color="auto" w:fill="auto"/>
            <w:noWrap/>
            <w:hideMark/>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Objetivo Iniciativa</w:t>
            </w:r>
          </w:p>
        </w:tc>
        <w:tc>
          <w:tcPr>
            <w:tcW w:w="6680" w:type="dxa"/>
            <w:gridSpan w:val="5"/>
            <w:shd w:val="clear" w:color="auto" w:fill="auto"/>
            <w:noWrap/>
            <w:hideMark/>
          </w:tcPr>
          <w:p w:rsidR="00240D93" w:rsidRPr="00EC6A4B" w:rsidRDefault="00240D93" w:rsidP="00B16995">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Implementar infraestructura de recarga de acuíferos que permita </w:t>
            </w:r>
            <w:r w:rsidR="00B16995" w:rsidRPr="00EC6A4B">
              <w:rPr>
                <w:rFonts w:eastAsia="Times New Roman" w:cs="Times New Roman"/>
                <w:bCs/>
                <w:color w:val="000000"/>
                <w:sz w:val="18"/>
                <w:szCs w:val="18"/>
                <w:lang w:val="es-ES" w:eastAsia="es-ES"/>
              </w:rPr>
              <w:t>incrementar la recarga del acu</w:t>
            </w:r>
            <w:r w:rsidR="002D1832" w:rsidRPr="00EC6A4B">
              <w:rPr>
                <w:rFonts w:eastAsia="Times New Roman" w:cs="Times New Roman"/>
                <w:bCs/>
                <w:color w:val="000000"/>
                <w:sz w:val="18"/>
                <w:szCs w:val="18"/>
                <w:lang w:val="es-ES" w:eastAsia="es-ES"/>
              </w:rPr>
              <w:t>ífero en un 1</w:t>
            </w:r>
            <w:r w:rsidR="00B16995" w:rsidRPr="00EC6A4B">
              <w:rPr>
                <w:rFonts w:eastAsia="Times New Roman" w:cs="Times New Roman"/>
                <w:bCs/>
                <w:color w:val="000000"/>
                <w:sz w:val="18"/>
                <w:szCs w:val="18"/>
                <w:lang w:val="es-ES" w:eastAsia="es-ES"/>
              </w:rPr>
              <w:t>0%</w:t>
            </w:r>
            <w:r w:rsidR="002D1832" w:rsidRPr="00EC6A4B">
              <w:rPr>
                <w:rFonts w:eastAsia="Times New Roman" w:cs="Times New Roman"/>
                <w:bCs/>
                <w:color w:val="000000"/>
                <w:sz w:val="18"/>
                <w:szCs w:val="18"/>
                <w:lang w:val="es-ES" w:eastAsia="es-ES"/>
              </w:rPr>
              <w:t xml:space="preserve"> (72,5 hm3/año)</w:t>
            </w:r>
            <w:r w:rsidR="00B16995" w:rsidRPr="00EC6A4B">
              <w:rPr>
                <w:rFonts w:eastAsia="Times New Roman" w:cs="Times New Roman"/>
                <w:bCs/>
                <w:color w:val="000000"/>
                <w:sz w:val="18"/>
                <w:szCs w:val="18"/>
                <w:lang w:val="es-ES" w:eastAsia="es-ES"/>
              </w:rPr>
              <w:t>.</w:t>
            </w:r>
            <w:r w:rsidRPr="00EC6A4B">
              <w:rPr>
                <w:rFonts w:eastAsia="Times New Roman" w:cs="Times New Roman"/>
                <w:bCs/>
                <w:color w:val="000000"/>
                <w:sz w:val="18"/>
                <w:szCs w:val="18"/>
                <w:lang w:val="es-ES" w:eastAsia="es-ES"/>
              </w:rPr>
              <w:t xml:space="preserve"> </w:t>
            </w:r>
          </w:p>
        </w:tc>
      </w:tr>
      <w:tr w:rsidR="00240D93" w:rsidRPr="00EC6A4B" w:rsidTr="00EC6A4B">
        <w:trPr>
          <w:trHeight w:val="300"/>
        </w:trPr>
        <w:tc>
          <w:tcPr>
            <w:tcW w:w="2423" w:type="dxa"/>
            <w:gridSpan w:val="2"/>
            <w:shd w:val="clear" w:color="auto" w:fill="auto"/>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Beneficiarios </w:t>
            </w:r>
          </w:p>
        </w:tc>
        <w:tc>
          <w:tcPr>
            <w:tcW w:w="6680" w:type="dxa"/>
            <w:gridSpan w:val="5"/>
            <w:shd w:val="clear" w:color="auto" w:fill="auto"/>
            <w:noWrap/>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sz w:val="18"/>
                <w:szCs w:val="18"/>
                <w:lang w:val="es-ES" w:eastAsia="es-ES"/>
              </w:rPr>
              <w:t>Usuarios de aguas subterráneas de las áreas beneficia</w:t>
            </w:r>
            <w:r w:rsidR="002D1832" w:rsidRPr="00EC6A4B">
              <w:rPr>
                <w:rFonts w:eastAsia="Times New Roman" w:cs="Times New Roman"/>
                <w:bCs/>
                <w:sz w:val="18"/>
                <w:szCs w:val="18"/>
                <w:lang w:val="es-ES" w:eastAsia="es-ES"/>
              </w:rPr>
              <w:t xml:space="preserve">das con la recarga de acuíferos. Se estimó un total de 1.459 familias beneficiadas. </w:t>
            </w:r>
          </w:p>
        </w:tc>
      </w:tr>
      <w:tr w:rsidR="00240D93" w:rsidRPr="00EC6A4B" w:rsidTr="00EC6A4B">
        <w:trPr>
          <w:trHeight w:val="300"/>
        </w:trPr>
        <w:tc>
          <w:tcPr>
            <w:tcW w:w="2423" w:type="dxa"/>
            <w:gridSpan w:val="2"/>
            <w:shd w:val="clear" w:color="auto" w:fill="auto"/>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Ámbito territorial</w:t>
            </w:r>
          </w:p>
        </w:tc>
        <w:tc>
          <w:tcPr>
            <w:tcW w:w="6680" w:type="dxa"/>
            <w:gridSpan w:val="5"/>
            <w:shd w:val="clear" w:color="auto" w:fill="auto"/>
            <w:noWrap/>
          </w:tcPr>
          <w:p w:rsidR="00240D93" w:rsidRPr="00EC6A4B" w:rsidRDefault="00240D93"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sz w:val="18"/>
                <w:szCs w:val="18"/>
                <w:lang w:val="es-ES" w:eastAsia="es-ES"/>
              </w:rPr>
              <w:t xml:space="preserve">Acuífero restringido sector Teno-Lontué  </w:t>
            </w:r>
          </w:p>
        </w:tc>
      </w:tr>
      <w:tr w:rsidR="00240D93" w:rsidRPr="00EC6A4B" w:rsidTr="00EC6A4B">
        <w:trPr>
          <w:trHeight w:val="300"/>
        </w:trPr>
        <w:tc>
          <w:tcPr>
            <w:tcW w:w="2423" w:type="dxa"/>
            <w:gridSpan w:val="2"/>
            <w:shd w:val="clear" w:color="auto" w:fill="auto"/>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Período Ejecución</w:t>
            </w:r>
          </w:p>
        </w:tc>
        <w:tc>
          <w:tcPr>
            <w:tcW w:w="6680" w:type="dxa"/>
            <w:gridSpan w:val="5"/>
            <w:shd w:val="clear" w:color="auto" w:fill="auto"/>
            <w:noWrap/>
          </w:tcPr>
          <w:p w:rsidR="00240D93" w:rsidRPr="00EC6A4B" w:rsidRDefault="00240D93" w:rsidP="005202BA">
            <w:pPr>
              <w:spacing w:after="0" w:line="240" w:lineRule="auto"/>
              <w:jc w:val="left"/>
              <w:rPr>
                <w:rFonts w:eastAsia="Times New Roman" w:cs="Times New Roman"/>
                <w:bCs/>
                <w:sz w:val="18"/>
                <w:szCs w:val="18"/>
                <w:lang w:val="es-ES" w:eastAsia="es-ES"/>
              </w:rPr>
            </w:pPr>
            <w:r w:rsidRPr="00EC6A4B">
              <w:rPr>
                <w:rFonts w:eastAsia="Times New Roman" w:cs="Times New Roman"/>
                <w:bCs/>
                <w:sz w:val="18"/>
                <w:szCs w:val="18"/>
                <w:lang w:val="es-ES" w:eastAsia="es-ES"/>
              </w:rPr>
              <w:t>12 meses</w:t>
            </w:r>
          </w:p>
        </w:tc>
      </w:tr>
      <w:tr w:rsidR="00240D93" w:rsidRPr="00EC6A4B" w:rsidTr="00EC6A4B">
        <w:trPr>
          <w:trHeight w:val="300"/>
        </w:trPr>
        <w:tc>
          <w:tcPr>
            <w:tcW w:w="2423" w:type="dxa"/>
            <w:gridSpan w:val="2"/>
            <w:shd w:val="clear" w:color="auto" w:fill="auto"/>
            <w:noWrap/>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Monto Total de Inversión </w:t>
            </w:r>
            <w:r w:rsidRPr="00EC6A4B">
              <w:rPr>
                <w:rFonts w:eastAsia="Times New Roman" w:cs="Times New Roman"/>
                <w:bCs/>
                <w:color w:val="000000"/>
                <w:sz w:val="14"/>
                <w:szCs w:val="18"/>
                <w:lang w:val="es-ES" w:eastAsia="es-ES"/>
              </w:rPr>
              <w:t>Millones de $</w:t>
            </w:r>
          </w:p>
        </w:tc>
        <w:tc>
          <w:tcPr>
            <w:tcW w:w="6680" w:type="dxa"/>
            <w:gridSpan w:val="5"/>
            <w:shd w:val="clear" w:color="auto" w:fill="auto"/>
            <w:noWrap/>
          </w:tcPr>
          <w:p w:rsidR="00240D93" w:rsidRPr="00EC6A4B" w:rsidRDefault="002D1832" w:rsidP="00CC43C2">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Monto estimado </w:t>
            </w:r>
            <w:r w:rsidR="00CC43C2">
              <w:rPr>
                <w:rFonts w:eastAsia="Times New Roman" w:cs="Times New Roman"/>
                <w:bCs/>
                <w:color w:val="000000"/>
                <w:sz w:val="18"/>
                <w:szCs w:val="18"/>
                <w:lang w:val="es-ES" w:eastAsia="es-ES"/>
              </w:rPr>
              <w:t>$ 6.384.800.000.- (seis mil trescientos ochenta y cuatro millones ochocientos mil pesos)</w:t>
            </w:r>
          </w:p>
        </w:tc>
      </w:tr>
      <w:tr w:rsidR="00240D93" w:rsidRPr="00EC6A4B" w:rsidTr="00EC6A4B">
        <w:trPr>
          <w:trHeight w:val="300"/>
        </w:trPr>
        <w:tc>
          <w:tcPr>
            <w:tcW w:w="9103" w:type="dxa"/>
            <w:gridSpan w:val="7"/>
            <w:shd w:val="clear" w:color="auto" w:fill="auto"/>
            <w:noWrap/>
            <w:vAlign w:val="center"/>
            <w:hideMark/>
          </w:tcPr>
          <w:p w:rsidR="00240D93" w:rsidRPr="00EC6A4B" w:rsidRDefault="00240D93"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Descripción</w:t>
            </w:r>
          </w:p>
        </w:tc>
      </w:tr>
      <w:tr w:rsidR="00240D93" w:rsidRPr="00EC6A4B" w:rsidTr="00EC6A4B">
        <w:trPr>
          <w:trHeight w:val="586"/>
        </w:trPr>
        <w:tc>
          <w:tcPr>
            <w:tcW w:w="9103" w:type="dxa"/>
            <w:gridSpan w:val="7"/>
            <w:shd w:val="clear" w:color="auto" w:fill="auto"/>
            <w:vAlign w:val="center"/>
          </w:tcPr>
          <w:p w:rsidR="00240D93" w:rsidRPr="00EC6A4B" w:rsidRDefault="00240D93" w:rsidP="00181136">
            <w:pPr>
              <w:spacing w:after="0" w:line="240" w:lineRule="auto"/>
              <w:rPr>
                <w:rFonts w:eastAsia="Times New Roman"/>
                <w:sz w:val="18"/>
                <w:lang w:val="es-ES" w:eastAsia="es-ES"/>
              </w:rPr>
            </w:pPr>
          </w:p>
          <w:p w:rsidR="00181136" w:rsidRPr="00EC6A4B" w:rsidRDefault="00181136" w:rsidP="00181136">
            <w:pPr>
              <w:spacing w:after="0" w:line="240" w:lineRule="auto"/>
              <w:rPr>
                <w:rFonts w:eastAsia="Times New Roman"/>
                <w:sz w:val="18"/>
                <w:lang w:val="es-ES" w:eastAsia="es-ES"/>
              </w:rPr>
            </w:pPr>
            <w:r w:rsidRPr="00EC6A4B">
              <w:rPr>
                <w:rFonts w:eastAsia="Times New Roman"/>
                <w:sz w:val="18"/>
                <w:lang w:val="es-ES" w:eastAsia="es-ES"/>
              </w:rPr>
              <w:t xml:space="preserve">La UPH 3, presenta un déficit estacional igual a 39 hm3/año, entre los meses de diciembre a marzo, para una superficie regada igual a 14.400 </w:t>
            </w:r>
            <w:proofErr w:type="spellStart"/>
            <w:r w:rsidRPr="00EC6A4B">
              <w:rPr>
                <w:rFonts w:eastAsia="Times New Roman"/>
                <w:sz w:val="18"/>
                <w:lang w:val="es-ES" w:eastAsia="es-ES"/>
              </w:rPr>
              <w:t>há</w:t>
            </w:r>
            <w:proofErr w:type="spellEnd"/>
            <w:r w:rsidRPr="00EC6A4B">
              <w:rPr>
                <w:rFonts w:eastAsia="Times New Roman"/>
                <w:sz w:val="18"/>
                <w:lang w:val="es-ES" w:eastAsia="es-ES"/>
              </w:rPr>
              <w:t xml:space="preserve">. Para una demanda maximalista (15.500 </w:t>
            </w:r>
            <w:proofErr w:type="spellStart"/>
            <w:r w:rsidRPr="00EC6A4B">
              <w:rPr>
                <w:rFonts w:eastAsia="Times New Roman"/>
                <w:sz w:val="18"/>
                <w:lang w:val="es-ES" w:eastAsia="es-ES"/>
              </w:rPr>
              <w:t>há</w:t>
            </w:r>
            <w:proofErr w:type="spellEnd"/>
            <w:r w:rsidRPr="00EC6A4B">
              <w:rPr>
                <w:rFonts w:eastAsia="Times New Roman"/>
                <w:sz w:val="18"/>
                <w:lang w:val="es-ES" w:eastAsia="es-ES"/>
              </w:rPr>
              <w:t>), el déficit aumenta a 43,14 hm3/año en los mismos meses. Se estima que este déficit puede ser suplido bajo un uso sustentable de la recarga subterránea.</w:t>
            </w:r>
            <w:r w:rsidR="00EC0509" w:rsidRPr="00EC6A4B">
              <w:rPr>
                <w:rFonts w:eastAsia="Times New Roman"/>
                <w:sz w:val="18"/>
                <w:lang w:val="es-ES" w:eastAsia="es-ES"/>
              </w:rPr>
              <w:t xml:space="preserve"> </w:t>
            </w:r>
            <w:r w:rsidRPr="00EC6A4B">
              <w:rPr>
                <w:rFonts w:eastAsia="Times New Roman"/>
                <w:sz w:val="18"/>
                <w:lang w:val="es-ES" w:eastAsia="es-ES"/>
              </w:rPr>
              <w:t>La recarga es igual a 171 hm3/año y la demanda subterránea es igual 17,11 hm3/año, lo cual genera un excedente igual a 153,89 hm3/año, el cual es suficiente para satisfacer el déficit hídrico.</w:t>
            </w:r>
          </w:p>
          <w:p w:rsidR="00181136" w:rsidRPr="00EC6A4B" w:rsidRDefault="00181136" w:rsidP="00181136">
            <w:pPr>
              <w:spacing w:after="0" w:line="240" w:lineRule="auto"/>
              <w:rPr>
                <w:rFonts w:eastAsia="Times New Roman"/>
                <w:sz w:val="18"/>
                <w:lang w:val="es-ES" w:eastAsia="es-ES"/>
              </w:rPr>
            </w:pPr>
          </w:p>
          <w:p w:rsidR="00240D93" w:rsidRPr="00EC6A4B" w:rsidRDefault="00240D93" w:rsidP="00181136">
            <w:pPr>
              <w:rPr>
                <w:rFonts w:eastAsia="Times New Roman"/>
                <w:sz w:val="18"/>
                <w:lang w:val="es-ES" w:eastAsia="es-ES"/>
              </w:rPr>
            </w:pPr>
            <w:r w:rsidRPr="00EC6A4B">
              <w:rPr>
                <w:rFonts w:eastAsia="Times New Roman"/>
                <w:sz w:val="18"/>
                <w:lang w:val="es-ES" w:eastAsia="es-ES"/>
              </w:rPr>
              <w:t xml:space="preserve">Según Informe Técnico DGA N° 44, el acuífero Teno-Lontué cuenta con un volumen sustentable de 362,66 hm3 / año, y una disponibilidad total (entre derechos definitivos y provisionales), de 725,33 hm3/año. En complemento, la demanda al año 2015 alcanzaba a 466,05 hm3/año, por lo que se otorgaron derechos provisionales por 259,28 hm3/año (hasta legar a la disponibilidad total de 725 hm3/año), y se declaró la restricción del acuífero. </w:t>
            </w:r>
          </w:p>
          <w:p w:rsidR="00240D93" w:rsidRPr="00EC6A4B" w:rsidRDefault="00240D93" w:rsidP="00181136">
            <w:pPr>
              <w:rPr>
                <w:rFonts w:eastAsia="Times New Roman"/>
                <w:sz w:val="18"/>
                <w:lang w:val="es-ES" w:eastAsia="es-ES"/>
              </w:rPr>
            </w:pPr>
            <w:r w:rsidRPr="00EC6A4B">
              <w:rPr>
                <w:rFonts w:eastAsia="Times New Roman"/>
                <w:sz w:val="18"/>
                <w:lang w:val="es-ES" w:eastAsia="es-ES"/>
              </w:rPr>
              <w:t xml:space="preserve">Por un lado, y dado que los datos indican que la restricción es fundada, se requiere un estudio hidrogeológico basado en una geofísica de detalle que permita la elaboración de un plan de manejo de este acuífero, que permita posteriormente definir las zonas de recarga adecuadas, los volúmenes a recargar, y como esto se relacionaría con los derechos provisionales otorgados, orientando además a los usuarios sobre las zonas donde existiría disponibilidad para el establecimiento de nuevos pozos. Este estudio se aborda en detalle en SL-06. </w:t>
            </w:r>
          </w:p>
          <w:p w:rsidR="00EC0509" w:rsidRPr="00EC6A4B" w:rsidRDefault="00EC0509" w:rsidP="00EC0509">
            <w:pPr>
              <w:spacing w:after="0" w:line="240" w:lineRule="auto"/>
              <w:rPr>
                <w:rFonts w:eastAsia="Times New Roman"/>
                <w:sz w:val="18"/>
                <w:lang w:val="es-ES" w:eastAsia="es-ES"/>
              </w:rPr>
            </w:pPr>
            <w:r w:rsidRPr="00EC6A4B">
              <w:rPr>
                <w:rFonts w:eastAsia="Times New Roman"/>
                <w:sz w:val="18"/>
                <w:lang w:val="es-ES" w:eastAsia="es-ES"/>
              </w:rPr>
              <w:t xml:space="preserve">La iniciativa propuesta consiste en la construcción de obras de infiltración (zanjas, pozos en zonas no saturadas, o saturadas), con el propósito de aumentar en un 10% la recarga del acuífero en el sector restringido de Teno Lontué, lo que equivale al 10% de 725,33 hm3/año, es decir 72,53 hm3/año. </w:t>
            </w:r>
          </w:p>
          <w:p w:rsidR="00EC0509" w:rsidRPr="00EC6A4B" w:rsidRDefault="00EC0509" w:rsidP="00181136">
            <w:pPr>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En primer lugar, se evaluaron las distintas opciones propuestas (zanjas y pozos), determinando la cantidad de unidades a implementar en cada caso para solucionar el total del aumento propuesto, y el costo asociado. Los resultados se presentan en la tabla siguiente:</w:t>
            </w:r>
          </w:p>
          <w:p w:rsidR="00EC0509" w:rsidRPr="00EC6A4B" w:rsidRDefault="00EC0509" w:rsidP="00EC0509">
            <w:pPr>
              <w:rPr>
                <w:rFonts w:eastAsia="Times New Roman"/>
                <w:sz w:val="18"/>
                <w:lang w:val="es-ES" w:eastAsia="es-ES"/>
              </w:rPr>
            </w:pPr>
          </w:p>
          <w:tbl>
            <w:tblPr>
              <w:tblW w:w="9028" w:type="dxa"/>
              <w:tblCellMar>
                <w:left w:w="70" w:type="dxa"/>
                <w:right w:w="70" w:type="dxa"/>
              </w:tblCellMar>
              <w:tblLook w:val="04A0" w:firstRow="1" w:lastRow="0" w:firstColumn="1" w:lastColumn="0" w:noHBand="0" w:noVBand="1"/>
            </w:tblPr>
            <w:tblGrid>
              <w:gridCol w:w="2837"/>
              <w:gridCol w:w="1367"/>
              <w:gridCol w:w="1507"/>
              <w:gridCol w:w="1696"/>
              <w:gridCol w:w="1546"/>
            </w:tblGrid>
            <w:tr w:rsidR="00EC0509" w:rsidRPr="00EC6A4B" w:rsidTr="005202BA">
              <w:trPr>
                <w:trHeight w:val="300"/>
              </w:trPr>
              <w:tc>
                <w:tcPr>
                  <w:tcW w:w="2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lastRenderedPageBreak/>
                    <w:t>Alternativa</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Recarga</w:t>
                  </w:r>
                </w:p>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 xml:space="preserve"> anual (hm3)</w:t>
                  </w:r>
                </w:p>
              </w:tc>
              <w:tc>
                <w:tcPr>
                  <w:tcW w:w="1519"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Cantidad requerida para recargar el 10%</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Costo unitario (Millones de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Costo total</w:t>
                  </w:r>
                </w:p>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(Millones de $)</w:t>
                  </w:r>
                </w:p>
              </w:tc>
            </w:tr>
            <w:tr w:rsidR="00EC0509" w:rsidRPr="00EC6A4B" w:rsidTr="005202BA">
              <w:trPr>
                <w:trHeight w:val="300"/>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Zanjas</w:t>
                  </w:r>
                </w:p>
              </w:tc>
              <w:tc>
                <w:tcPr>
                  <w:tcW w:w="137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0,22</w:t>
                  </w:r>
                </w:p>
              </w:tc>
              <w:tc>
                <w:tcPr>
                  <w:tcW w:w="151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333</w:t>
                  </w:r>
                </w:p>
              </w:tc>
              <w:tc>
                <w:tcPr>
                  <w:tcW w:w="1710"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2,94</w:t>
                  </w:r>
                </w:p>
              </w:tc>
              <w:tc>
                <w:tcPr>
                  <w:tcW w:w="155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979,02</w:t>
                  </w:r>
                </w:p>
              </w:tc>
            </w:tr>
            <w:tr w:rsidR="00EC0509" w:rsidRPr="00EC6A4B" w:rsidTr="005202BA">
              <w:trPr>
                <w:trHeight w:val="300"/>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Pozos en Zonas No Saturadas</w:t>
                  </w:r>
                </w:p>
              </w:tc>
              <w:tc>
                <w:tcPr>
                  <w:tcW w:w="137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0,05</w:t>
                  </w:r>
                </w:p>
              </w:tc>
              <w:tc>
                <w:tcPr>
                  <w:tcW w:w="151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1.605</w:t>
                  </w:r>
                </w:p>
              </w:tc>
              <w:tc>
                <w:tcPr>
                  <w:tcW w:w="1710"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1,42</w:t>
                  </w:r>
                </w:p>
              </w:tc>
              <w:tc>
                <w:tcPr>
                  <w:tcW w:w="155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2.279,10</w:t>
                  </w:r>
                </w:p>
              </w:tc>
            </w:tr>
            <w:tr w:rsidR="00EC0509" w:rsidRPr="00EC6A4B" w:rsidTr="005202BA">
              <w:trPr>
                <w:trHeight w:val="300"/>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Pozos en Zonas Saturadas</w:t>
                  </w:r>
                </w:p>
              </w:tc>
              <w:tc>
                <w:tcPr>
                  <w:tcW w:w="137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0,22</w:t>
                  </w:r>
                </w:p>
              </w:tc>
              <w:tc>
                <w:tcPr>
                  <w:tcW w:w="151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327</w:t>
                  </w:r>
                </w:p>
              </w:tc>
              <w:tc>
                <w:tcPr>
                  <w:tcW w:w="1710"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53,60</w:t>
                  </w:r>
                </w:p>
              </w:tc>
              <w:tc>
                <w:tcPr>
                  <w:tcW w:w="1559"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17.527,20</w:t>
                  </w:r>
                </w:p>
              </w:tc>
            </w:tr>
          </w:tbl>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En segundo lugar, se evaluó una alternativa hipotética para abordar la recarga como resultado de una combinación entre los métodos propuestos, donde cada uno participará en un porcentaje dentro de la recarga total. Para efectos prácticos, se supuso la siguiente participación:</w:t>
            </w:r>
          </w:p>
          <w:p w:rsidR="00EC0509" w:rsidRPr="00EC6A4B" w:rsidRDefault="00EC0509" w:rsidP="00EC0509">
            <w:pPr>
              <w:rPr>
                <w:rFonts w:eastAsia="Times New Roman"/>
                <w:sz w:val="18"/>
                <w:lang w:val="es-ES" w:eastAsia="es-ES"/>
              </w:rPr>
            </w:pPr>
          </w:p>
          <w:tbl>
            <w:tblPr>
              <w:tblW w:w="9113" w:type="dxa"/>
              <w:tblCellMar>
                <w:left w:w="70" w:type="dxa"/>
                <w:right w:w="70" w:type="dxa"/>
              </w:tblCellMar>
              <w:tblLook w:val="04A0" w:firstRow="1" w:lastRow="0" w:firstColumn="1" w:lastColumn="0" w:noHBand="0" w:noVBand="1"/>
            </w:tblPr>
            <w:tblGrid>
              <w:gridCol w:w="2647"/>
              <w:gridCol w:w="1195"/>
              <w:gridCol w:w="1334"/>
              <w:gridCol w:w="1103"/>
              <w:gridCol w:w="1418"/>
              <w:gridCol w:w="1256"/>
            </w:tblGrid>
            <w:tr w:rsidR="00EC0509" w:rsidRPr="00EC6A4B" w:rsidTr="00FC21C5">
              <w:trPr>
                <w:trHeight w:val="300"/>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Alternativa</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proofErr w:type="spellStart"/>
                  <w:r w:rsidRPr="00EC6A4B">
                    <w:rPr>
                      <w:rFonts w:eastAsia="Times New Roman" w:cs="Times New Roman"/>
                      <w:color w:val="000000"/>
                      <w:sz w:val="18"/>
                      <w:szCs w:val="22"/>
                    </w:rPr>
                    <w:t>Partici</w:t>
                  </w:r>
                  <w:proofErr w:type="spellEnd"/>
                </w:p>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pación</w:t>
                  </w:r>
                </w:p>
              </w:tc>
              <w:tc>
                <w:tcPr>
                  <w:tcW w:w="1358"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Recarga (hm3</w:t>
                  </w:r>
                  <w:r w:rsidR="00FC21C5" w:rsidRPr="00EC6A4B">
                    <w:rPr>
                      <w:rFonts w:eastAsia="Times New Roman" w:cs="Times New Roman"/>
                      <w:color w:val="000000"/>
                      <w:sz w:val="18"/>
                      <w:szCs w:val="22"/>
                    </w:rPr>
                    <w:t>/</w:t>
                  </w:r>
                  <w:r w:rsidRPr="00EC6A4B">
                    <w:rPr>
                      <w:rFonts w:eastAsia="Times New Roman" w:cs="Times New Roman"/>
                      <w:color w:val="000000"/>
                      <w:sz w:val="18"/>
                      <w:szCs w:val="22"/>
                    </w:rPr>
                    <w:t>año)</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Cantidad requerida</w:t>
                  </w:r>
                </w:p>
              </w:tc>
              <w:tc>
                <w:tcPr>
                  <w:tcW w:w="1443" w:type="dxa"/>
                  <w:tcBorders>
                    <w:top w:val="single" w:sz="4" w:space="0" w:color="auto"/>
                    <w:left w:val="nil"/>
                    <w:bottom w:val="single" w:sz="4" w:space="0" w:color="auto"/>
                    <w:right w:val="single" w:sz="4" w:space="0" w:color="auto"/>
                  </w:tcBorders>
                  <w:shd w:val="clear" w:color="auto" w:fill="auto"/>
                  <w:noWrap/>
                  <w:vAlign w:val="bottom"/>
                  <w:hideMark/>
                </w:tcPr>
                <w:p w:rsidR="00FC21C5"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 xml:space="preserve">Costo unitario (Millones </w:t>
                  </w:r>
                </w:p>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de $)</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center"/>
                    <w:rPr>
                      <w:rFonts w:eastAsia="Times New Roman" w:cs="Times New Roman"/>
                      <w:color w:val="000000"/>
                      <w:sz w:val="18"/>
                      <w:szCs w:val="22"/>
                    </w:rPr>
                  </w:pPr>
                  <w:r w:rsidRPr="00EC6A4B">
                    <w:rPr>
                      <w:rFonts w:eastAsia="Times New Roman" w:cs="Times New Roman"/>
                      <w:color w:val="000000"/>
                      <w:sz w:val="18"/>
                      <w:szCs w:val="22"/>
                    </w:rPr>
                    <w:t>Costo total (Millones de $)</w:t>
                  </w:r>
                </w:p>
              </w:tc>
            </w:tr>
            <w:tr w:rsidR="00EC0509" w:rsidRPr="00EC6A4B" w:rsidTr="00FC21C5">
              <w:trPr>
                <w:trHeight w:val="300"/>
              </w:trPr>
              <w:tc>
                <w:tcPr>
                  <w:tcW w:w="2696" w:type="dxa"/>
                  <w:tcBorders>
                    <w:top w:val="nil"/>
                    <w:left w:val="single" w:sz="4" w:space="0" w:color="auto"/>
                    <w:bottom w:val="single" w:sz="4" w:space="0" w:color="auto"/>
                    <w:right w:val="single" w:sz="4" w:space="0" w:color="auto"/>
                  </w:tcBorders>
                  <w:shd w:val="clear" w:color="auto" w:fill="auto"/>
                  <w:noWrap/>
                  <w:vAlign w:val="center"/>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Zanjas</w:t>
                  </w:r>
                </w:p>
              </w:tc>
              <w:tc>
                <w:tcPr>
                  <w:tcW w:w="1216"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40%</w:t>
                  </w:r>
                </w:p>
              </w:tc>
              <w:tc>
                <w:tcPr>
                  <w:tcW w:w="135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29,19</w:t>
                  </w:r>
                </w:p>
              </w:tc>
              <w:tc>
                <w:tcPr>
                  <w:tcW w:w="1122"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134</w:t>
                  </w:r>
                </w:p>
              </w:tc>
              <w:tc>
                <w:tcPr>
                  <w:tcW w:w="1443"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2,94</w:t>
                  </w:r>
                </w:p>
              </w:tc>
              <w:tc>
                <w:tcPr>
                  <w:tcW w:w="127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393,96</w:t>
                  </w:r>
                </w:p>
              </w:tc>
            </w:tr>
            <w:tr w:rsidR="00EC0509" w:rsidRPr="00EC6A4B" w:rsidTr="00FC21C5">
              <w:trPr>
                <w:trHeight w:val="300"/>
              </w:trPr>
              <w:tc>
                <w:tcPr>
                  <w:tcW w:w="2696" w:type="dxa"/>
                  <w:tcBorders>
                    <w:top w:val="nil"/>
                    <w:left w:val="single" w:sz="4" w:space="0" w:color="auto"/>
                    <w:bottom w:val="single" w:sz="4" w:space="0" w:color="auto"/>
                    <w:right w:val="single" w:sz="4" w:space="0" w:color="auto"/>
                  </w:tcBorders>
                  <w:shd w:val="clear" w:color="auto" w:fill="auto"/>
                  <w:noWrap/>
                  <w:vAlign w:val="center"/>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Pozos en Zonas No Saturadas</w:t>
                  </w:r>
                </w:p>
              </w:tc>
              <w:tc>
                <w:tcPr>
                  <w:tcW w:w="1216"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30%</w:t>
                  </w:r>
                </w:p>
              </w:tc>
              <w:tc>
                <w:tcPr>
                  <w:tcW w:w="135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21,79</w:t>
                  </w:r>
                </w:p>
              </w:tc>
              <w:tc>
                <w:tcPr>
                  <w:tcW w:w="1122"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482</w:t>
                  </w:r>
                </w:p>
              </w:tc>
              <w:tc>
                <w:tcPr>
                  <w:tcW w:w="1443"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1,42</w:t>
                  </w:r>
                </w:p>
              </w:tc>
              <w:tc>
                <w:tcPr>
                  <w:tcW w:w="127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684,44</w:t>
                  </w:r>
                </w:p>
              </w:tc>
            </w:tr>
            <w:tr w:rsidR="00EC0509" w:rsidRPr="00EC6A4B" w:rsidTr="00FC21C5">
              <w:trPr>
                <w:trHeight w:val="300"/>
              </w:trPr>
              <w:tc>
                <w:tcPr>
                  <w:tcW w:w="2696" w:type="dxa"/>
                  <w:tcBorders>
                    <w:top w:val="nil"/>
                    <w:left w:val="single" w:sz="4" w:space="0" w:color="auto"/>
                    <w:bottom w:val="nil"/>
                    <w:right w:val="single" w:sz="4" w:space="0" w:color="auto"/>
                  </w:tcBorders>
                  <w:shd w:val="clear" w:color="auto" w:fill="auto"/>
                  <w:noWrap/>
                  <w:vAlign w:val="center"/>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Pozos en Zonas Saturadas</w:t>
                  </w:r>
                </w:p>
              </w:tc>
              <w:tc>
                <w:tcPr>
                  <w:tcW w:w="1216" w:type="dxa"/>
                  <w:tcBorders>
                    <w:top w:val="nil"/>
                    <w:left w:val="nil"/>
                    <w:bottom w:val="nil"/>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30%</w:t>
                  </w:r>
                </w:p>
              </w:tc>
              <w:tc>
                <w:tcPr>
                  <w:tcW w:w="135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21,97</w:t>
                  </w:r>
                </w:p>
              </w:tc>
              <w:tc>
                <w:tcPr>
                  <w:tcW w:w="1122" w:type="dxa"/>
                  <w:tcBorders>
                    <w:top w:val="nil"/>
                    <w:left w:val="nil"/>
                    <w:bottom w:val="nil"/>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99</w:t>
                  </w:r>
                </w:p>
              </w:tc>
              <w:tc>
                <w:tcPr>
                  <w:tcW w:w="1443" w:type="dxa"/>
                  <w:tcBorders>
                    <w:top w:val="nil"/>
                    <w:left w:val="nil"/>
                    <w:bottom w:val="nil"/>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53,60</w:t>
                  </w:r>
                </w:p>
              </w:tc>
              <w:tc>
                <w:tcPr>
                  <w:tcW w:w="1278" w:type="dxa"/>
                  <w:tcBorders>
                    <w:top w:val="nil"/>
                    <w:left w:val="nil"/>
                    <w:bottom w:val="nil"/>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5.306,40</w:t>
                  </w:r>
                </w:p>
              </w:tc>
            </w:tr>
            <w:tr w:rsidR="00EC0509" w:rsidRPr="00EC6A4B" w:rsidTr="00FC21C5">
              <w:trPr>
                <w:trHeight w:val="300"/>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0509" w:rsidRPr="00EC6A4B" w:rsidRDefault="00EC0509" w:rsidP="00EC0509">
                  <w:pPr>
                    <w:spacing w:after="0" w:line="240" w:lineRule="auto"/>
                    <w:jc w:val="left"/>
                    <w:rPr>
                      <w:rFonts w:eastAsia="Times New Roman" w:cs="Times New Roman"/>
                      <w:color w:val="000000"/>
                      <w:sz w:val="18"/>
                      <w:szCs w:val="22"/>
                    </w:rPr>
                  </w:pPr>
                  <w:r w:rsidRPr="00EC6A4B">
                    <w:rPr>
                      <w:rFonts w:eastAsia="Times New Roman" w:cs="Times New Roman"/>
                      <w:color w:val="000000"/>
                      <w:sz w:val="18"/>
                      <w:szCs w:val="22"/>
                    </w:rPr>
                    <w:t>Total</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100%</w:t>
                  </w:r>
                </w:p>
              </w:tc>
              <w:tc>
                <w:tcPr>
                  <w:tcW w:w="1358" w:type="dxa"/>
                  <w:tcBorders>
                    <w:top w:val="nil"/>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72,94</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715</w:t>
                  </w:r>
                </w:p>
              </w:tc>
              <w:tc>
                <w:tcPr>
                  <w:tcW w:w="1443"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rsidR="00EC0509" w:rsidRPr="00EC6A4B" w:rsidRDefault="00EC0509" w:rsidP="00EC0509">
                  <w:pPr>
                    <w:spacing w:after="0" w:line="240" w:lineRule="auto"/>
                    <w:jc w:val="right"/>
                    <w:rPr>
                      <w:rFonts w:eastAsia="Times New Roman" w:cs="Times New Roman"/>
                      <w:color w:val="000000"/>
                      <w:sz w:val="18"/>
                      <w:szCs w:val="22"/>
                    </w:rPr>
                  </w:pPr>
                  <w:r w:rsidRPr="00EC6A4B">
                    <w:rPr>
                      <w:rFonts w:eastAsia="Times New Roman" w:cs="Times New Roman"/>
                      <w:color w:val="000000"/>
                      <w:sz w:val="18"/>
                      <w:szCs w:val="22"/>
                    </w:rPr>
                    <w:t>6.384,80</w:t>
                  </w:r>
                </w:p>
              </w:tc>
            </w:tr>
          </w:tbl>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 xml:space="preserve">Por lo tanto, un valor de referencia del costo de implementación de esta medida es de 6.384,8 millones de $. </w:t>
            </w:r>
          </w:p>
          <w:p w:rsidR="00EC0509" w:rsidRPr="00EC6A4B" w:rsidRDefault="00EC0509" w:rsidP="00EC0509">
            <w:pPr>
              <w:rPr>
                <w:rFonts w:eastAsia="Times New Roman"/>
                <w:sz w:val="18"/>
                <w:lang w:val="es-ES" w:eastAsia="es-ES"/>
              </w:rPr>
            </w:pPr>
            <w:r w:rsidRPr="00EC6A4B">
              <w:rPr>
                <w:rFonts w:eastAsia="Times New Roman"/>
                <w:sz w:val="18"/>
                <w:lang w:val="es-ES" w:eastAsia="es-ES"/>
              </w:rPr>
              <w:t xml:space="preserve">El número de beneficiarios asociados se determinó considerando como supuesto un consumo promedio de 10.000 m3/ha/año por un cultivo estándar. De esta forma, una recarga de 72,94 hm3/año podría abastecer 7.294 ha de riego. Si una explotación promedio tiene 5,0 ha, el número de beneficiarios sería de 1.459 familias. </w:t>
            </w:r>
          </w:p>
          <w:p w:rsidR="00EC0509" w:rsidRPr="00EC6A4B" w:rsidRDefault="00EC0509" w:rsidP="00181136">
            <w:pPr>
              <w:rPr>
                <w:rFonts w:eastAsia="Times New Roman"/>
                <w:sz w:val="18"/>
                <w:lang w:val="es-ES" w:eastAsia="es-ES"/>
              </w:rPr>
            </w:pPr>
          </w:p>
          <w:p w:rsidR="002D1832" w:rsidRPr="00EC6A4B" w:rsidRDefault="002D1832" w:rsidP="00181136">
            <w:pPr>
              <w:rPr>
                <w:rFonts w:eastAsia="Times New Roman"/>
                <w:sz w:val="18"/>
                <w:lang w:val="es-ES" w:eastAsia="es-ES"/>
              </w:rPr>
            </w:pPr>
            <w:r w:rsidRPr="00EC6A4B">
              <w:rPr>
                <w:rFonts w:eastAsia="Times New Roman"/>
                <w:sz w:val="18"/>
                <w:lang w:val="es-ES" w:eastAsia="es-ES"/>
              </w:rPr>
              <w:t>La forma de implementación de la iniciativa puede corresponder a dos alternativas:</w:t>
            </w:r>
          </w:p>
          <w:p w:rsidR="002D1832" w:rsidRPr="00EC6A4B" w:rsidRDefault="002D1832" w:rsidP="00437D46">
            <w:pPr>
              <w:pStyle w:val="Prrafodelista"/>
              <w:numPr>
                <w:ilvl w:val="0"/>
                <w:numId w:val="26"/>
              </w:numPr>
              <w:rPr>
                <w:rFonts w:eastAsia="Times New Roman"/>
                <w:sz w:val="18"/>
                <w:lang w:val="es-ES" w:eastAsia="es-ES"/>
              </w:rPr>
            </w:pPr>
            <w:r w:rsidRPr="00EC6A4B">
              <w:rPr>
                <w:rFonts w:eastAsia="Times New Roman"/>
                <w:sz w:val="18"/>
                <w:lang w:val="es-ES" w:eastAsia="es-ES"/>
              </w:rPr>
              <w:t>Proyectos de la Ley de Fomento a la Inversión Privada en Obras de Riego y Drenaje, administrada por la CNR, y presentada por organizaciones de usuarios de agua (comunidades de aguas superficiales o subterráneas)</w:t>
            </w:r>
          </w:p>
          <w:p w:rsidR="002D1832" w:rsidRPr="00EC6A4B" w:rsidRDefault="002D1832" w:rsidP="00437D46">
            <w:pPr>
              <w:pStyle w:val="Prrafodelista"/>
              <w:numPr>
                <w:ilvl w:val="0"/>
                <w:numId w:val="26"/>
              </w:numPr>
              <w:rPr>
                <w:rFonts w:eastAsia="Times New Roman"/>
                <w:sz w:val="18"/>
                <w:lang w:val="es-ES" w:eastAsia="es-ES"/>
              </w:rPr>
            </w:pPr>
            <w:r w:rsidRPr="00EC6A4B">
              <w:rPr>
                <w:rFonts w:eastAsia="Times New Roman"/>
                <w:sz w:val="18"/>
                <w:lang w:val="es-ES" w:eastAsia="es-ES"/>
              </w:rPr>
              <w:t>Financiamiento mediante Ministerio de Obras Públicas</w:t>
            </w:r>
            <w:r w:rsidR="00264A8A" w:rsidRPr="00EC6A4B">
              <w:rPr>
                <w:rFonts w:eastAsia="Times New Roman"/>
                <w:sz w:val="18"/>
                <w:lang w:val="es-ES" w:eastAsia="es-ES"/>
              </w:rPr>
              <w:t xml:space="preserve">, dado que se trata de obras colectivas de almacenamiento de aguas subterráneas. </w:t>
            </w:r>
            <w:r w:rsidRPr="00EC6A4B">
              <w:rPr>
                <w:rFonts w:eastAsia="Times New Roman"/>
                <w:sz w:val="18"/>
                <w:lang w:val="es-ES" w:eastAsia="es-ES"/>
              </w:rPr>
              <w:t xml:space="preserve"> </w:t>
            </w:r>
          </w:p>
          <w:p w:rsidR="00240D93" w:rsidRPr="00EC6A4B" w:rsidRDefault="00240D93" w:rsidP="002D1832">
            <w:pPr>
              <w:rPr>
                <w:rFonts w:eastAsia="Times New Roman"/>
                <w:sz w:val="18"/>
                <w:lang w:val="es-ES" w:eastAsia="es-ES"/>
              </w:rPr>
            </w:pPr>
          </w:p>
        </w:tc>
      </w:tr>
      <w:tr w:rsidR="00240D93" w:rsidRPr="00EC6A4B" w:rsidTr="00EC6A4B">
        <w:trPr>
          <w:trHeight w:val="586"/>
        </w:trPr>
        <w:tc>
          <w:tcPr>
            <w:tcW w:w="9103" w:type="dxa"/>
            <w:gridSpan w:val="7"/>
            <w:shd w:val="clear" w:color="auto" w:fill="auto"/>
            <w:vAlign w:val="center"/>
          </w:tcPr>
          <w:p w:rsidR="00240D93" w:rsidRPr="00EC6A4B" w:rsidRDefault="00240D93" w:rsidP="005202BA">
            <w:pPr>
              <w:spacing w:after="0" w:line="240" w:lineRule="auto"/>
              <w:jc w:val="left"/>
              <w:rPr>
                <w:rFonts w:eastAsia="Times New Roman" w:cs="Times New Roman"/>
                <w:b/>
                <w:color w:val="000000"/>
                <w:sz w:val="18"/>
                <w:szCs w:val="18"/>
                <w:lang w:val="es-ES" w:eastAsia="es-ES"/>
              </w:rPr>
            </w:pPr>
            <w:r w:rsidRPr="00EC6A4B">
              <w:rPr>
                <w:rFonts w:eastAsia="Times New Roman" w:cs="Times New Roman"/>
                <w:b/>
                <w:color w:val="000000"/>
                <w:sz w:val="18"/>
                <w:szCs w:val="18"/>
                <w:lang w:val="es-ES" w:eastAsia="es-ES"/>
              </w:rPr>
              <w:lastRenderedPageBreak/>
              <w:t>Presupuesto</w:t>
            </w:r>
          </w:p>
        </w:tc>
      </w:tr>
      <w:tr w:rsidR="00240D93" w:rsidRPr="00EC6A4B" w:rsidTr="00EC6A4B">
        <w:trPr>
          <w:trHeight w:val="586"/>
        </w:trPr>
        <w:tc>
          <w:tcPr>
            <w:tcW w:w="9103" w:type="dxa"/>
            <w:gridSpan w:val="7"/>
            <w:shd w:val="clear" w:color="auto" w:fill="auto"/>
            <w:vAlign w:val="center"/>
          </w:tcPr>
          <w:p w:rsidR="00240D93" w:rsidRPr="00EC6A4B" w:rsidRDefault="00240D93" w:rsidP="005202BA">
            <w:pPr>
              <w:spacing w:after="0" w:line="240" w:lineRule="auto"/>
              <w:jc w:val="left"/>
              <w:rPr>
                <w:rFonts w:eastAsia="Times New Roman" w:cs="Times New Roman"/>
                <w:color w:val="000000"/>
                <w:sz w:val="18"/>
                <w:szCs w:val="18"/>
                <w:lang w:val="es-ES" w:eastAsia="es-ES"/>
              </w:rPr>
            </w:pPr>
          </w:p>
          <w:p w:rsidR="00240D93" w:rsidRPr="00EC6A4B" w:rsidRDefault="00EC0509" w:rsidP="005202BA">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 xml:space="preserve">El costo total de implementación de la medida es de 6.384,8 millones de </w:t>
            </w:r>
            <w:r w:rsidR="00FF7B05" w:rsidRPr="00EC6A4B">
              <w:rPr>
                <w:rFonts w:eastAsia="Times New Roman" w:cs="Times New Roman"/>
                <w:color w:val="000000"/>
                <w:sz w:val="18"/>
                <w:szCs w:val="18"/>
                <w:lang w:val="es-ES" w:eastAsia="es-ES"/>
              </w:rPr>
              <w:t>pesos</w:t>
            </w:r>
            <w:r w:rsidRPr="00EC6A4B">
              <w:rPr>
                <w:rFonts w:eastAsia="Times New Roman" w:cs="Times New Roman"/>
                <w:color w:val="000000"/>
                <w:sz w:val="18"/>
                <w:szCs w:val="18"/>
                <w:lang w:val="es-ES" w:eastAsia="es-ES"/>
              </w:rPr>
              <w:t xml:space="preserve">, sin IVA. </w:t>
            </w:r>
          </w:p>
          <w:p w:rsidR="00240D93" w:rsidRPr="00EC6A4B" w:rsidRDefault="00240D93" w:rsidP="005202BA">
            <w:pPr>
              <w:spacing w:after="0" w:line="240" w:lineRule="auto"/>
              <w:jc w:val="left"/>
              <w:rPr>
                <w:rFonts w:eastAsia="Times New Roman" w:cs="Times New Roman"/>
                <w:color w:val="000000"/>
                <w:sz w:val="18"/>
                <w:szCs w:val="18"/>
                <w:lang w:val="es-ES" w:eastAsia="es-ES"/>
              </w:rPr>
            </w:pPr>
          </w:p>
        </w:tc>
      </w:tr>
      <w:tr w:rsidR="00821002" w:rsidRPr="00EC6A4B" w:rsidTr="00EC6A4B">
        <w:trPr>
          <w:gridAfter w:val="1"/>
          <w:wAfter w:w="15" w:type="dxa"/>
          <w:trHeight w:val="586"/>
        </w:trPr>
        <w:tc>
          <w:tcPr>
            <w:tcW w:w="2275" w:type="dxa"/>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lastRenderedPageBreak/>
              <w:t>INDICADOR ECONÓMICO</w:t>
            </w:r>
          </w:p>
        </w:tc>
        <w:tc>
          <w:tcPr>
            <w:tcW w:w="2214" w:type="dxa"/>
            <w:gridSpan w:val="2"/>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TIR, 6%</w:t>
            </w:r>
          </w:p>
        </w:tc>
        <w:tc>
          <w:tcPr>
            <w:tcW w:w="1791" w:type="dxa"/>
            <w:gridSpan w:val="2"/>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SUPUESTOS</w:t>
            </w:r>
          </w:p>
        </w:tc>
        <w:tc>
          <w:tcPr>
            <w:tcW w:w="2808" w:type="dxa"/>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 xml:space="preserve">Se tomó como referencia el proyecto CNR citado en los antecedentes (TIR 22,96%, pero solo viable en 1 de 10 proyectos), y se consideró una TIR favorable pero conservadora. </w:t>
            </w:r>
          </w:p>
        </w:tc>
      </w:tr>
    </w:tbl>
    <w:p w:rsidR="00240D93" w:rsidRPr="00EC6A4B" w:rsidRDefault="00240D93" w:rsidP="00FB2027">
      <w:pPr>
        <w:rPr>
          <w:lang w:val="es-ES_tradnl" w:eastAsia="es-ES"/>
        </w:rPr>
      </w:pPr>
    </w:p>
    <w:tbl>
      <w:tblPr>
        <w:tblW w:w="9103" w:type="dxa"/>
        <w:tblInd w:w="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308"/>
        <w:gridCol w:w="144"/>
        <w:gridCol w:w="2059"/>
        <w:gridCol w:w="161"/>
        <w:gridCol w:w="1633"/>
        <w:gridCol w:w="520"/>
        <w:gridCol w:w="2264"/>
        <w:gridCol w:w="14"/>
      </w:tblGrid>
      <w:tr w:rsidR="00E0532F" w:rsidRPr="00EC6A4B" w:rsidTr="007D68E2">
        <w:trPr>
          <w:trHeight w:val="300"/>
          <w:tblHeader/>
        </w:trPr>
        <w:tc>
          <w:tcPr>
            <w:tcW w:w="6818" w:type="dxa"/>
            <w:gridSpan w:val="6"/>
            <w:shd w:val="clear" w:color="auto" w:fill="D9D9D9" w:themeFill="background1" w:themeFillShade="D9"/>
            <w:noWrap/>
          </w:tcPr>
          <w:p w:rsidR="00E0532F" w:rsidRPr="00EC6A4B" w:rsidRDefault="00E0532F" w:rsidP="00E0532F">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Infraestructura para recarga de acuíferos en Cuenca río Perquilauquén, sector restringido Belco - Arenal</w:t>
            </w:r>
          </w:p>
        </w:tc>
        <w:tc>
          <w:tcPr>
            <w:tcW w:w="2285" w:type="dxa"/>
            <w:gridSpan w:val="2"/>
            <w:shd w:val="clear" w:color="auto" w:fill="D9D9D9" w:themeFill="background1" w:themeFillShade="D9"/>
          </w:tcPr>
          <w:p w:rsidR="00E0532F" w:rsidRPr="00EC6A4B" w:rsidRDefault="00E0532F" w:rsidP="005202BA">
            <w:pPr>
              <w:spacing w:after="0" w:line="240" w:lineRule="auto"/>
              <w:jc w:val="right"/>
              <w:rPr>
                <w:rFonts w:eastAsia="Times New Roman" w:cs="Times New Roman"/>
                <w:b/>
                <w:bCs/>
                <w:color w:val="000000"/>
                <w:sz w:val="18"/>
                <w:szCs w:val="18"/>
                <w:lang w:val="es-ES" w:eastAsia="es-ES"/>
              </w:rPr>
            </w:pPr>
            <w:r w:rsidRPr="00EC6A4B">
              <w:rPr>
                <w:rFonts w:eastAsia="Times New Roman" w:cs="Times New Roman"/>
                <w:b/>
                <w:bCs/>
                <w:color w:val="000000"/>
                <w:sz w:val="36"/>
                <w:szCs w:val="18"/>
                <w:lang w:val="es-ES" w:eastAsia="es-ES"/>
              </w:rPr>
              <w:t>IN13</w:t>
            </w:r>
          </w:p>
        </w:tc>
      </w:tr>
      <w:tr w:rsidR="00E0532F" w:rsidRPr="00EC6A4B" w:rsidTr="007D68E2">
        <w:trPr>
          <w:trHeight w:val="300"/>
        </w:trPr>
        <w:tc>
          <w:tcPr>
            <w:tcW w:w="2439" w:type="dxa"/>
            <w:gridSpan w:val="2"/>
            <w:shd w:val="clear" w:color="auto" w:fill="auto"/>
            <w:noWrap/>
            <w:hideMark/>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Tipo de iniciativa </w:t>
            </w:r>
          </w:p>
        </w:tc>
        <w:tc>
          <w:tcPr>
            <w:tcW w:w="2223" w:type="dxa"/>
            <w:gridSpan w:val="2"/>
            <w:shd w:val="clear" w:color="auto" w:fill="auto"/>
            <w:hideMark/>
          </w:tcPr>
          <w:p w:rsidR="00E0532F" w:rsidRPr="00EC6A4B" w:rsidRDefault="00E0532F"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Estructural</w:t>
            </w:r>
          </w:p>
        </w:tc>
        <w:tc>
          <w:tcPr>
            <w:tcW w:w="2156" w:type="dxa"/>
            <w:gridSpan w:val="2"/>
            <w:shd w:val="clear" w:color="auto" w:fill="auto"/>
          </w:tcPr>
          <w:p w:rsidR="00E0532F" w:rsidRPr="00EC6A4B" w:rsidRDefault="00E0532F"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
                <w:bCs/>
                <w:color w:val="000000"/>
                <w:sz w:val="18"/>
                <w:szCs w:val="18"/>
                <w:lang w:val="es-ES" w:eastAsia="es-ES"/>
              </w:rPr>
              <w:t>Tipología de Inversión</w:t>
            </w:r>
          </w:p>
        </w:tc>
        <w:tc>
          <w:tcPr>
            <w:tcW w:w="2285" w:type="dxa"/>
            <w:gridSpan w:val="2"/>
            <w:shd w:val="clear" w:color="auto" w:fill="auto"/>
          </w:tcPr>
          <w:p w:rsidR="00E0532F" w:rsidRPr="00EC6A4B" w:rsidRDefault="00E0532F"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Proyecto </w:t>
            </w:r>
          </w:p>
        </w:tc>
      </w:tr>
      <w:tr w:rsidR="00E0532F" w:rsidRPr="00EC6A4B" w:rsidTr="007D68E2">
        <w:trPr>
          <w:trHeight w:val="300"/>
        </w:trPr>
        <w:tc>
          <w:tcPr>
            <w:tcW w:w="2439" w:type="dxa"/>
            <w:gridSpan w:val="2"/>
            <w:shd w:val="clear" w:color="auto" w:fill="auto"/>
            <w:noWrap/>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Cartera Sectorial</w:t>
            </w:r>
          </w:p>
        </w:tc>
        <w:tc>
          <w:tcPr>
            <w:tcW w:w="2223" w:type="dxa"/>
            <w:gridSpan w:val="2"/>
            <w:shd w:val="clear" w:color="auto" w:fill="auto"/>
          </w:tcPr>
          <w:p w:rsidR="00E0532F" w:rsidRPr="00EC6A4B" w:rsidRDefault="00E0532F"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Silvoagropecuario</w:t>
            </w:r>
          </w:p>
          <w:p w:rsidR="00E0532F" w:rsidRPr="00EC6A4B" w:rsidRDefault="00E0532F" w:rsidP="005202BA">
            <w:pPr>
              <w:spacing w:after="0" w:line="240" w:lineRule="auto"/>
              <w:jc w:val="left"/>
              <w:rPr>
                <w:rFonts w:eastAsia="Times New Roman" w:cs="Times New Roman"/>
                <w:bCs/>
                <w:color w:val="000000"/>
                <w:sz w:val="18"/>
                <w:szCs w:val="18"/>
                <w:lang w:val="es-ES" w:eastAsia="es-ES"/>
              </w:rPr>
            </w:pPr>
          </w:p>
        </w:tc>
        <w:tc>
          <w:tcPr>
            <w:tcW w:w="2156" w:type="dxa"/>
            <w:gridSpan w:val="2"/>
            <w:shd w:val="clear" w:color="auto" w:fill="auto"/>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Entidad Responsable </w:t>
            </w:r>
          </w:p>
        </w:tc>
        <w:tc>
          <w:tcPr>
            <w:tcW w:w="2285" w:type="dxa"/>
            <w:gridSpan w:val="2"/>
            <w:shd w:val="clear" w:color="auto" w:fill="auto"/>
          </w:tcPr>
          <w:p w:rsidR="00E0532F" w:rsidRPr="00EC6A4B" w:rsidRDefault="00E0532F"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DOH</w:t>
            </w:r>
          </w:p>
        </w:tc>
      </w:tr>
      <w:tr w:rsidR="001749F2" w:rsidRPr="00EC6A4B" w:rsidTr="007D68E2">
        <w:trPr>
          <w:trHeight w:val="300"/>
        </w:trPr>
        <w:tc>
          <w:tcPr>
            <w:tcW w:w="2439" w:type="dxa"/>
            <w:gridSpan w:val="2"/>
            <w:shd w:val="clear" w:color="auto" w:fill="auto"/>
            <w:noWrap/>
          </w:tcPr>
          <w:p w:rsidR="001749F2" w:rsidRPr="00EC6A4B" w:rsidRDefault="001749F2"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Situación </w:t>
            </w:r>
          </w:p>
        </w:tc>
        <w:tc>
          <w:tcPr>
            <w:tcW w:w="2223" w:type="dxa"/>
            <w:gridSpan w:val="2"/>
            <w:shd w:val="clear" w:color="auto" w:fill="auto"/>
          </w:tcPr>
          <w:p w:rsidR="001749F2" w:rsidRPr="00EC6A4B" w:rsidRDefault="001749F2"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Idea</w:t>
            </w:r>
          </w:p>
        </w:tc>
        <w:tc>
          <w:tcPr>
            <w:tcW w:w="2156" w:type="dxa"/>
            <w:gridSpan w:val="2"/>
            <w:shd w:val="clear" w:color="auto" w:fill="auto"/>
          </w:tcPr>
          <w:p w:rsidR="001749F2" w:rsidRPr="00EC6A4B" w:rsidRDefault="001749F2"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Fuente de Financiamiento </w:t>
            </w:r>
          </w:p>
        </w:tc>
        <w:tc>
          <w:tcPr>
            <w:tcW w:w="2285" w:type="dxa"/>
            <w:gridSpan w:val="2"/>
            <w:shd w:val="clear" w:color="auto" w:fill="auto"/>
          </w:tcPr>
          <w:p w:rsidR="001749F2" w:rsidRPr="00EC6A4B" w:rsidRDefault="001749F2" w:rsidP="005202BA">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Sectorial MOP / FNDR</w:t>
            </w:r>
          </w:p>
        </w:tc>
      </w:tr>
      <w:tr w:rsidR="00E0532F" w:rsidRPr="00EC6A4B" w:rsidTr="007D68E2">
        <w:trPr>
          <w:trHeight w:val="300"/>
        </w:trPr>
        <w:tc>
          <w:tcPr>
            <w:tcW w:w="2439" w:type="dxa"/>
            <w:gridSpan w:val="2"/>
            <w:shd w:val="clear" w:color="auto" w:fill="auto"/>
            <w:noWrap/>
            <w:hideMark/>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Objetivo Iniciativa</w:t>
            </w:r>
          </w:p>
        </w:tc>
        <w:tc>
          <w:tcPr>
            <w:tcW w:w="6664" w:type="dxa"/>
            <w:gridSpan w:val="6"/>
            <w:shd w:val="clear" w:color="auto" w:fill="auto"/>
            <w:noWrap/>
            <w:hideMark/>
          </w:tcPr>
          <w:p w:rsidR="00E0532F" w:rsidRPr="00EC6A4B" w:rsidRDefault="00E0532F" w:rsidP="00EC0509">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Implementar infraestructura de recarga de acuíferos que permita incrementar la recarga del acu</w:t>
            </w:r>
            <w:r w:rsidR="00EC0509" w:rsidRPr="00EC6A4B">
              <w:rPr>
                <w:rFonts w:eastAsia="Times New Roman" w:cs="Times New Roman"/>
                <w:bCs/>
                <w:color w:val="000000"/>
                <w:sz w:val="18"/>
                <w:szCs w:val="18"/>
                <w:lang w:val="es-ES" w:eastAsia="es-ES"/>
              </w:rPr>
              <w:t>ífero en un 2</w:t>
            </w:r>
            <w:r w:rsidRPr="00EC6A4B">
              <w:rPr>
                <w:rFonts w:eastAsia="Times New Roman" w:cs="Times New Roman"/>
                <w:bCs/>
                <w:color w:val="000000"/>
                <w:sz w:val="18"/>
                <w:szCs w:val="18"/>
                <w:lang w:val="es-ES" w:eastAsia="es-ES"/>
              </w:rPr>
              <w:t>0% (</w:t>
            </w:r>
            <w:r w:rsidR="00EC0509" w:rsidRPr="00EC6A4B">
              <w:rPr>
                <w:rFonts w:eastAsia="Times New Roman" w:cs="Times New Roman"/>
                <w:bCs/>
                <w:color w:val="000000"/>
                <w:sz w:val="18"/>
                <w:szCs w:val="18"/>
                <w:lang w:val="es-ES" w:eastAsia="es-ES"/>
              </w:rPr>
              <w:t>1,97</w:t>
            </w:r>
            <w:r w:rsidRPr="00EC6A4B">
              <w:rPr>
                <w:rFonts w:eastAsia="Times New Roman" w:cs="Times New Roman"/>
                <w:bCs/>
                <w:color w:val="000000"/>
                <w:sz w:val="18"/>
                <w:szCs w:val="18"/>
                <w:lang w:val="es-ES" w:eastAsia="es-ES"/>
              </w:rPr>
              <w:t xml:space="preserve"> hm3/año). </w:t>
            </w:r>
          </w:p>
        </w:tc>
      </w:tr>
      <w:tr w:rsidR="00E0532F" w:rsidRPr="00EC6A4B" w:rsidTr="007D68E2">
        <w:trPr>
          <w:trHeight w:val="300"/>
        </w:trPr>
        <w:tc>
          <w:tcPr>
            <w:tcW w:w="2439" w:type="dxa"/>
            <w:gridSpan w:val="2"/>
            <w:shd w:val="clear" w:color="auto" w:fill="auto"/>
            <w:noWrap/>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Beneficiarios </w:t>
            </w:r>
          </w:p>
        </w:tc>
        <w:tc>
          <w:tcPr>
            <w:tcW w:w="6664" w:type="dxa"/>
            <w:gridSpan w:val="6"/>
            <w:shd w:val="clear" w:color="auto" w:fill="auto"/>
            <w:noWrap/>
          </w:tcPr>
          <w:p w:rsidR="00E0532F" w:rsidRPr="00EC6A4B" w:rsidRDefault="00E0532F" w:rsidP="00EC0509">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sz w:val="18"/>
                <w:szCs w:val="18"/>
                <w:lang w:val="es-ES" w:eastAsia="es-ES"/>
              </w:rPr>
              <w:t xml:space="preserve">Usuarios de aguas subterráneas de las áreas beneficiadas con la recarga de acuíferos. Se estimó un total de </w:t>
            </w:r>
            <w:r w:rsidR="00EC0509" w:rsidRPr="00EC6A4B">
              <w:rPr>
                <w:rFonts w:eastAsia="Times New Roman" w:cs="Times New Roman"/>
                <w:bCs/>
                <w:sz w:val="18"/>
                <w:szCs w:val="18"/>
                <w:lang w:val="es-ES" w:eastAsia="es-ES"/>
              </w:rPr>
              <w:t>48</w:t>
            </w:r>
            <w:r w:rsidRPr="00EC6A4B">
              <w:rPr>
                <w:rFonts w:eastAsia="Times New Roman" w:cs="Times New Roman"/>
                <w:bCs/>
                <w:sz w:val="18"/>
                <w:szCs w:val="18"/>
                <w:lang w:val="es-ES" w:eastAsia="es-ES"/>
              </w:rPr>
              <w:t xml:space="preserve"> familias beneficiadas. </w:t>
            </w:r>
          </w:p>
        </w:tc>
      </w:tr>
      <w:tr w:rsidR="00E0532F" w:rsidRPr="00EC6A4B" w:rsidTr="007D68E2">
        <w:trPr>
          <w:trHeight w:val="300"/>
        </w:trPr>
        <w:tc>
          <w:tcPr>
            <w:tcW w:w="2439" w:type="dxa"/>
            <w:gridSpan w:val="2"/>
            <w:shd w:val="clear" w:color="auto" w:fill="auto"/>
            <w:noWrap/>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Ámbito territorial</w:t>
            </w:r>
          </w:p>
        </w:tc>
        <w:tc>
          <w:tcPr>
            <w:tcW w:w="6664" w:type="dxa"/>
            <w:gridSpan w:val="6"/>
            <w:shd w:val="clear" w:color="auto" w:fill="auto"/>
            <w:noWrap/>
          </w:tcPr>
          <w:p w:rsidR="00E0532F" w:rsidRPr="00EC6A4B" w:rsidRDefault="00E0532F" w:rsidP="00E0532F">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sz w:val="18"/>
                <w:szCs w:val="18"/>
                <w:lang w:val="es-ES" w:eastAsia="es-ES"/>
              </w:rPr>
              <w:t xml:space="preserve">Acuífero restringido sector Belco – Arenal.  </w:t>
            </w:r>
          </w:p>
        </w:tc>
      </w:tr>
      <w:tr w:rsidR="00E0532F" w:rsidRPr="00EC6A4B" w:rsidTr="007D68E2">
        <w:trPr>
          <w:trHeight w:val="300"/>
        </w:trPr>
        <w:tc>
          <w:tcPr>
            <w:tcW w:w="2439" w:type="dxa"/>
            <w:gridSpan w:val="2"/>
            <w:shd w:val="clear" w:color="auto" w:fill="auto"/>
            <w:noWrap/>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Período Ejecución</w:t>
            </w:r>
          </w:p>
        </w:tc>
        <w:tc>
          <w:tcPr>
            <w:tcW w:w="6664" w:type="dxa"/>
            <w:gridSpan w:val="6"/>
            <w:shd w:val="clear" w:color="auto" w:fill="auto"/>
            <w:noWrap/>
          </w:tcPr>
          <w:p w:rsidR="00E0532F" w:rsidRPr="00EC6A4B" w:rsidRDefault="00E0532F" w:rsidP="005202BA">
            <w:pPr>
              <w:spacing w:after="0" w:line="240" w:lineRule="auto"/>
              <w:jc w:val="left"/>
              <w:rPr>
                <w:rFonts w:eastAsia="Times New Roman" w:cs="Times New Roman"/>
                <w:bCs/>
                <w:sz w:val="18"/>
                <w:szCs w:val="18"/>
                <w:lang w:val="es-ES" w:eastAsia="es-ES"/>
              </w:rPr>
            </w:pPr>
            <w:r w:rsidRPr="00EC6A4B">
              <w:rPr>
                <w:rFonts w:eastAsia="Times New Roman" w:cs="Times New Roman"/>
                <w:bCs/>
                <w:sz w:val="18"/>
                <w:szCs w:val="18"/>
                <w:lang w:val="es-ES" w:eastAsia="es-ES"/>
              </w:rPr>
              <w:t>12 meses</w:t>
            </w:r>
          </w:p>
        </w:tc>
      </w:tr>
      <w:tr w:rsidR="00E0532F" w:rsidRPr="00EC6A4B" w:rsidTr="007D68E2">
        <w:trPr>
          <w:trHeight w:val="300"/>
        </w:trPr>
        <w:tc>
          <w:tcPr>
            <w:tcW w:w="2439" w:type="dxa"/>
            <w:gridSpan w:val="2"/>
            <w:shd w:val="clear" w:color="auto" w:fill="auto"/>
            <w:noWrap/>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 xml:space="preserve">Monto Total de Inversión </w:t>
            </w:r>
            <w:r w:rsidRPr="00EC6A4B">
              <w:rPr>
                <w:rFonts w:eastAsia="Times New Roman" w:cs="Times New Roman"/>
                <w:bCs/>
                <w:color w:val="000000"/>
                <w:sz w:val="14"/>
                <w:szCs w:val="18"/>
                <w:lang w:val="es-ES" w:eastAsia="es-ES"/>
              </w:rPr>
              <w:t>Millones de $</w:t>
            </w:r>
          </w:p>
        </w:tc>
        <w:tc>
          <w:tcPr>
            <w:tcW w:w="6664" w:type="dxa"/>
            <w:gridSpan w:val="6"/>
            <w:shd w:val="clear" w:color="auto" w:fill="auto"/>
            <w:noWrap/>
          </w:tcPr>
          <w:p w:rsidR="00E0532F" w:rsidRPr="00EC6A4B" w:rsidRDefault="00E0532F" w:rsidP="00CC43C2">
            <w:pPr>
              <w:spacing w:after="0" w:line="240" w:lineRule="auto"/>
              <w:jc w:val="left"/>
              <w:rPr>
                <w:rFonts w:eastAsia="Times New Roman" w:cs="Times New Roman"/>
                <w:bCs/>
                <w:color w:val="000000"/>
                <w:sz w:val="18"/>
                <w:szCs w:val="18"/>
                <w:lang w:val="es-ES" w:eastAsia="es-ES"/>
              </w:rPr>
            </w:pPr>
            <w:r w:rsidRPr="00EC6A4B">
              <w:rPr>
                <w:rFonts w:eastAsia="Times New Roman" w:cs="Times New Roman"/>
                <w:bCs/>
                <w:color w:val="000000"/>
                <w:sz w:val="18"/>
                <w:szCs w:val="18"/>
                <w:lang w:val="es-ES" w:eastAsia="es-ES"/>
              </w:rPr>
              <w:t xml:space="preserve">Monto estimado </w:t>
            </w:r>
            <w:r w:rsidR="00CC43C2">
              <w:rPr>
                <w:rFonts w:eastAsia="Times New Roman" w:cs="Times New Roman"/>
                <w:bCs/>
                <w:color w:val="000000"/>
                <w:sz w:val="18"/>
                <w:szCs w:val="18"/>
                <w:lang w:val="es-ES" w:eastAsia="es-ES"/>
              </w:rPr>
              <w:t xml:space="preserve">$ </w:t>
            </w:r>
            <w:r w:rsidR="00EC0509" w:rsidRPr="00EC6A4B">
              <w:rPr>
                <w:rFonts w:eastAsia="Times New Roman" w:cs="Times New Roman"/>
                <w:bCs/>
                <w:color w:val="000000"/>
                <w:sz w:val="18"/>
                <w:szCs w:val="18"/>
                <w:lang w:val="es-ES" w:eastAsia="es-ES"/>
              </w:rPr>
              <w:t>195</w:t>
            </w:r>
            <w:r w:rsidR="00CC43C2">
              <w:rPr>
                <w:rFonts w:eastAsia="Times New Roman" w:cs="Times New Roman"/>
                <w:bCs/>
                <w:color w:val="000000"/>
                <w:sz w:val="18"/>
                <w:szCs w:val="18"/>
                <w:lang w:val="es-ES" w:eastAsia="es-ES"/>
              </w:rPr>
              <w:t>.</w:t>
            </w:r>
            <w:r w:rsidR="00EC0509" w:rsidRPr="00EC6A4B">
              <w:rPr>
                <w:rFonts w:eastAsia="Times New Roman" w:cs="Times New Roman"/>
                <w:bCs/>
                <w:color w:val="000000"/>
                <w:sz w:val="18"/>
                <w:szCs w:val="18"/>
                <w:lang w:val="es-ES" w:eastAsia="es-ES"/>
              </w:rPr>
              <w:t>38</w:t>
            </w:r>
            <w:r w:rsidR="00CC43C2">
              <w:rPr>
                <w:rFonts w:eastAsia="Times New Roman" w:cs="Times New Roman"/>
                <w:bCs/>
                <w:color w:val="000000"/>
                <w:sz w:val="18"/>
                <w:szCs w:val="18"/>
                <w:lang w:val="es-ES" w:eastAsia="es-ES"/>
              </w:rPr>
              <w:t>0.000.- (ciento noventa y cinco millones trescientos ochenta mil pesos</w:t>
            </w:r>
            <w:bookmarkStart w:id="0" w:name="_GoBack"/>
            <w:bookmarkEnd w:id="0"/>
            <w:r w:rsidR="00CC43C2">
              <w:rPr>
                <w:rFonts w:eastAsia="Times New Roman" w:cs="Times New Roman"/>
                <w:bCs/>
                <w:color w:val="000000"/>
                <w:sz w:val="18"/>
                <w:szCs w:val="18"/>
                <w:lang w:val="es-ES" w:eastAsia="es-ES"/>
              </w:rPr>
              <w:t>)</w:t>
            </w:r>
          </w:p>
        </w:tc>
      </w:tr>
      <w:tr w:rsidR="00E0532F" w:rsidRPr="00EC6A4B" w:rsidTr="007D68E2">
        <w:trPr>
          <w:trHeight w:val="300"/>
        </w:trPr>
        <w:tc>
          <w:tcPr>
            <w:tcW w:w="9103" w:type="dxa"/>
            <w:gridSpan w:val="8"/>
            <w:shd w:val="clear" w:color="auto" w:fill="auto"/>
            <w:noWrap/>
            <w:vAlign w:val="center"/>
            <w:hideMark/>
          </w:tcPr>
          <w:p w:rsidR="00E0532F" w:rsidRPr="00EC6A4B" w:rsidRDefault="00E0532F" w:rsidP="005202BA">
            <w:pPr>
              <w:spacing w:after="0" w:line="240" w:lineRule="auto"/>
              <w:jc w:val="left"/>
              <w:rPr>
                <w:rFonts w:eastAsia="Times New Roman" w:cs="Times New Roman"/>
                <w:b/>
                <w:bCs/>
                <w:color w:val="000000"/>
                <w:sz w:val="18"/>
                <w:szCs w:val="18"/>
                <w:lang w:val="es-ES" w:eastAsia="es-ES"/>
              </w:rPr>
            </w:pPr>
            <w:r w:rsidRPr="00EC6A4B">
              <w:rPr>
                <w:rFonts w:eastAsia="Times New Roman" w:cs="Times New Roman"/>
                <w:b/>
                <w:bCs/>
                <w:color w:val="000000"/>
                <w:sz w:val="18"/>
                <w:szCs w:val="18"/>
                <w:lang w:val="es-ES" w:eastAsia="es-ES"/>
              </w:rPr>
              <w:t>Descripción</w:t>
            </w:r>
          </w:p>
        </w:tc>
      </w:tr>
      <w:tr w:rsidR="00E0532F" w:rsidRPr="00EC6A4B" w:rsidTr="007D68E2">
        <w:trPr>
          <w:trHeight w:val="586"/>
        </w:trPr>
        <w:tc>
          <w:tcPr>
            <w:tcW w:w="9103" w:type="dxa"/>
            <w:gridSpan w:val="8"/>
            <w:shd w:val="clear" w:color="auto" w:fill="auto"/>
            <w:vAlign w:val="center"/>
          </w:tcPr>
          <w:p w:rsidR="00E0532F" w:rsidRPr="00EC6A4B" w:rsidRDefault="00E0532F" w:rsidP="005202BA">
            <w:pPr>
              <w:spacing w:after="0" w:line="240" w:lineRule="auto"/>
              <w:rPr>
                <w:rFonts w:eastAsia="Times New Roman"/>
                <w:sz w:val="18"/>
                <w:lang w:val="es-ES" w:eastAsia="es-ES"/>
              </w:rPr>
            </w:pPr>
          </w:p>
          <w:p w:rsidR="00FB09D5" w:rsidRPr="00EC6A4B" w:rsidRDefault="00FB09D5" w:rsidP="00EC0509">
            <w:pPr>
              <w:spacing w:after="0" w:line="240" w:lineRule="auto"/>
              <w:rPr>
                <w:rFonts w:eastAsia="Times New Roman" w:cs="Times New Roman"/>
                <w:sz w:val="18"/>
                <w:szCs w:val="18"/>
                <w:lang w:val="es-ES" w:eastAsia="es-ES"/>
              </w:rPr>
            </w:pPr>
            <w:r w:rsidRPr="00EC6A4B">
              <w:rPr>
                <w:rFonts w:eastAsia="Times New Roman" w:cs="Times New Roman"/>
                <w:sz w:val="18"/>
                <w:szCs w:val="18"/>
                <w:lang w:val="es-ES" w:eastAsia="es-ES"/>
              </w:rPr>
              <w:t>La cuenca del Río Perquilauquén presenta un elevado déficit bajo condiciones futuras en años secos, existiendo un déficit anual. Esto propondría realizar un trasvase de cuencas cercanas, sin embargo, dichas cuencas no presentan disponibilidad hídrica, en consecuencia, se hace necesario realizar diversas obras que permitan satisfacer la mayor cantidad del déficit anual.</w:t>
            </w:r>
          </w:p>
          <w:p w:rsidR="00FB09D5" w:rsidRPr="00EC6A4B" w:rsidRDefault="00FB09D5" w:rsidP="00EC0509">
            <w:pPr>
              <w:spacing w:after="0" w:line="240" w:lineRule="auto"/>
              <w:rPr>
                <w:rFonts w:eastAsia="Times New Roman" w:cs="Times New Roman"/>
                <w:sz w:val="18"/>
                <w:szCs w:val="18"/>
                <w:lang w:val="es-ES" w:eastAsia="es-ES"/>
              </w:rPr>
            </w:pPr>
          </w:p>
          <w:p w:rsidR="00FB09D5" w:rsidRPr="00EC6A4B" w:rsidRDefault="00FB09D5" w:rsidP="00EC0509">
            <w:pPr>
              <w:spacing w:after="0" w:line="240" w:lineRule="auto"/>
              <w:rPr>
                <w:rFonts w:eastAsia="Times New Roman" w:cs="Times New Roman"/>
                <w:sz w:val="18"/>
                <w:szCs w:val="18"/>
                <w:lang w:val="es-ES" w:eastAsia="es-ES"/>
              </w:rPr>
            </w:pPr>
            <w:r w:rsidRPr="00EC6A4B">
              <w:rPr>
                <w:rFonts w:eastAsia="Times New Roman" w:cs="Times New Roman"/>
                <w:sz w:val="18"/>
                <w:szCs w:val="18"/>
                <w:lang w:val="es-ES" w:eastAsia="es-ES"/>
              </w:rPr>
              <w:t>El déficit anual es igual a 1.195 hm</w:t>
            </w:r>
            <w:r w:rsidRPr="00EC6A4B">
              <w:rPr>
                <w:rFonts w:eastAsia="Times New Roman" w:cs="Times New Roman"/>
                <w:sz w:val="18"/>
                <w:szCs w:val="18"/>
                <w:vertAlign w:val="superscript"/>
                <w:lang w:val="es-ES" w:eastAsia="es-ES"/>
              </w:rPr>
              <w:t>3</w:t>
            </w:r>
            <w:r w:rsidRPr="00EC6A4B">
              <w:rPr>
                <w:rFonts w:eastAsia="Times New Roman" w:cs="Times New Roman"/>
                <w:sz w:val="18"/>
                <w:szCs w:val="18"/>
                <w:lang w:val="es-ES" w:eastAsia="es-ES"/>
              </w:rPr>
              <w:t>/año, el cual es disminuido por los embalses existentes de regulación con una capacidad igual a 247 hm</w:t>
            </w:r>
            <w:r w:rsidRPr="00EC6A4B">
              <w:rPr>
                <w:rFonts w:eastAsia="Times New Roman" w:cs="Times New Roman"/>
                <w:sz w:val="18"/>
                <w:szCs w:val="18"/>
                <w:vertAlign w:val="superscript"/>
                <w:lang w:val="es-ES" w:eastAsia="es-ES"/>
              </w:rPr>
              <w:t>3</w:t>
            </w:r>
            <w:r w:rsidRPr="00EC6A4B">
              <w:rPr>
                <w:rFonts w:eastAsia="Times New Roman" w:cs="Times New Roman"/>
                <w:sz w:val="18"/>
                <w:szCs w:val="18"/>
                <w:lang w:val="es-ES" w:eastAsia="es-ES"/>
              </w:rPr>
              <w:t>. Considerando el volumen de regulación propuesto (111 hm</w:t>
            </w:r>
            <w:r w:rsidRPr="00EC6A4B">
              <w:rPr>
                <w:rFonts w:eastAsia="Times New Roman" w:cs="Times New Roman"/>
                <w:sz w:val="18"/>
                <w:szCs w:val="18"/>
                <w:vertAlign w:val="superscript"/>
                <w:lang w:val="es-ES" w:eastAsia="es-ES"/>
              </w:rPr>
              <w:t>3</w:t>
            </w:r>
            <w:r w:rsidRPr="00EC6A4B">
              <w:rPr>
                <w:rFonts w:eastAsia="Times New Roman" w:cs="Times New Roman"/>
                <w:sz w:val="18"/>
                <w:szCs w:val="18"/>
                <w:lang w:val="es-ES" w:eastAsia="es-ES"/>
              </w:rPr>
              <w:t>, ver IN-03), el déficit final es igual a 1.010 hm</w:t>
            </w:r>
            <w:r w:rsidRPr="00EC6A4B">
              <w:rPr>
                <w:rFonts w:eastAsia="Times New Roman" w:cs="Times New Roman"/>
                <w:sz w:val="18"/>
                <w:szCs w:val="18"/>
                <w:vertAlign w:val="superscript"/>
                <w:lang w:val="es-ES" w:eastAsia="es-ES"/>
              </w:rPr>
              <w:t>3</w:t>
            </w:r>
            <w:r w:rsidRPr="00EC6A4B">
              <w:rPr>
                <w:rFonts w:eastAsia="Times New Roman" w:cs="Times New Roman"/>
                <w:sz w:val="18"/>
                <w:szCs w:val="18"/>
                <w:lang w:val="es-ES" w:eastAsia="es-ES"/>
              </w:rPr>
              <w:t>.</w:t>
            </w:r>
          </w:p>
          <w:p w:rsidR="00E0532F" w:rsidRPr="00EC6A4B" w:rsidRDefault="00E0532F" w:rsidP="005202BA">
            <w:pPr>
              <w:spacing w:after="0" w:line="240" w:lineRule="auto"/>
              <w:rPr>
                <w:rFonts w:eastAsia="Times New Roman"/>
                <w:sz w:val="18"/>
                <w:lang w:val="es-ES" w:eastAsia="es-ES"/>
              </w:rPr>
            </w:pPr>
          </w:p>
          <w:p w:rsidR="00FB09D5" w:rsidRPr="00EC6A4B" w:rsidRDefault="00FB09D5" w:rsidP="00FB09D5">
            <w:pPr>
              <w:rPr>
                <w:rFonts w:eastAsia="Times New Roman"/>
                <w:sz w:val="18"/>
                <w:lang w:val="es-ES" w:eastAsia="es-ES"/>
              </w:rPr>
            </w:pPr>
            <w:r w:rsidRPr="00EC6A4B">
              <w:rPr>
                <w:rFonts w:eastAsia="Times New Roman"/>
                <w:sz w:val="18"/>
                <w:lang w:val="es-ES" w:eastAsia="es-ES"/>
              </w:rPr>
              <w:t>En la cuenca del río Perquilauquén se encuentra restringido el acuífero Belco – Arenal. Según el Informe Técnico SDT N°345 de septiembre de 2013, se estimó que el volumen de recarga sustentable en la zona es de 301,5 l/s, que equivale a 9,5 hm3/año. En complemento, a marzo de 2015 se estableció que la demanda comprometida es de 9,8 hm3/año, y se determinó que los derechos provisionales disponibles alcanzaban a 9,1 hm3/año, totalizando 19,0 hm3/año.</w:t>
            </w:r>
          </w:p>
          <w:p w:rsidR="00FB09D5" w:rsidRPr="00EC6A4B" w:rsidRDefault="00FB09D5" w:rsidP="00FB09D5">
            <w:pPr>
              <w:rPr>
                <w:rFonts w:eastAsia="Times New Roman"/>
                <w:sz w:val="18"/>
                <w:lang w:val="es-ES" w:eastAsia="es-ES"/>
              </w:rPr>
            </w:pPr>
          </w:p>
          <w:p w:rsidR="00FB09D5" w:rsidRPr="00EC6A4B" w:rsidRDefault="00FB09D5" w:rsidP="00FB09D5">
            <w:pPr>
              <w:rPr>
                <w:rFonts w:eastAsia="Times New Roman"/>
                <w:sz w:val="18"/>
                <w:lang w:val="es-ES" w:eastAsia="es-ES"/>
              </w:rPr>
            </w:pPr>
          </w:p>
          <w:p w:rsidR="00FB09D5" w:rsidRPr="00EC6A4B" w:rsidRDefault="00FB09D5" w:rsidP="00FB09D5">
            <w:pPr>
              <w:jc w:val="center"/>
              <w:rPr>
                <w:rFonts w:eastAsia="Times New Roman"/>
                <w:sz w:val="18"/>
                <w:lang w:val="es-ES" w:eastAsia="es-ES"/>
              </w:rPr>
            </w:pPr>
            <w:r w:rsidRPr="00EC6A4B">
              <w:rPr>
                <w:noProof/>
              </w:rPr>
              <w:lastRenderedPageBreak/>
              <w:drawing>
                <wp:inline distT="0" distB="0" distL="0" distR="0" wp14:anchorId="6771DBE6" wp14:editId="160DFF0B">
                  <wp:extent cx="4320000" cy="4341386"/>
                  <wp:effectExtent l="0" t="0" r="444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86" t="22640" r="33129" b="16080"/>
                          <a:stretch/>
                        </pic:blipFill>
                        <pic:spPr bwMode="auto">
                          <a:xfrm>
                            <a:off x="0" y="0"/>
                            <a:ext cx="4320000" cy="4341386"/>
                          </a:xfrm>
                          <a:prstGeom prst="rect">
                            <a:avLst/>
                          </a:prstGeom>
                          <a:ln>
                            <a:noFill/>
                          </a:ln>
                          <a:extLst>
                            <a:ext uri="{53640926-AAD7-44D8-BBD7-CCE9431645EC}">
                              <a14:shadowObscured xmlns:a14="http://schemas.microsoft.com/office/drawing/2010/main"/>
                            </a:ext>
                          </a:extLst>
                        </pic:spPr>
                      </pic:pic>
                    </a:graphicData>
                  </a:graphic>
                </wp:inline>
              </w:drawing>
            </w:r>
          </w:p>
          <w:p w:rsidR="00FB09D5" w:rsidRPr="00EC6A4B" w:rsidRDefault="00FB09D5" w:rsidP="005202BA">
            <w:pPr>
              <w:spacing w:after="0" w:line="240" w:lineRule="auto"/>
              <w:rPr>
                <w:rFonts w:eastAsia="Times New Roman"/>
                <w:sz w:val="18"/>
                <w:lang w:val="es-ES" w:eastAsia="es-ES"/>
              </w:rPr>
            </w:pPr>
          </w:p>
          <w:p w:rsidR="00FB09D5" w:rsidRPr="00EC6A4B" w:rsidRDefault="00EC0509" w:rsidP="005202BA">
            <w:pPr>
              <w:spacing w:after="0" w:line="240" w:lineRule="auto"/>
              <w:rPr>
                <w:rFonts w:eastAsia="Times New Roman"/>
                <w:sz w:val="18"/>
                <w:lang w:val="es-ES" w:eastAsia="es-ES"/>
              </w:rPr>
            </w:pPr>
            <w:r w:rsidRPr="00EC6A4B">
              <w:rPr>
                <w:rFonts w:eastAsia="Times New Roman"/>
                <w:sz w:val="18"/>
                <w:lang w:val="es-ES" w:eastAsia="es-ES"/>
              </w:rPr>
              <w:t xml:space="preserve">La iniciativa propuesta consiste en la construcción de obras de infiltración (zanjas, pozos en zonas no saturadas, o saturadas), con el propósito de aumentar en un 20% la recarga del acuífero en el sector restringido, lo que equivale al 20% de 9,857 hm3/año, es decir 1,971 hm3/año. </w:t>
            </w:r>
          </w:p>
          <w:p w:rsidR="00EC0509" w:rsidRPr="00EC6A4B" w:rsidRDefault="00EC0509" w:rsidP="005202BA">
            <w:pPr>
              <w:spacing w:after="0" w:line="240" w:lineRule="auto"/>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En primer lugar, se evaluaron las distintas opciones propuestas (zanjas y pozos), determinando la cantidad de unidades a implementar en cada caso para solucionar el total del aumento propuesto, y el costo asociado. Los resultados se presentan en la tabla siguiente:</w:t>
            </w:r>
          </w:p>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p>
          <w:tbl>
            <w:tblPr>
              <w:tblW w:w="8953" w:type="dxa"/>
              <w:tblCellMar>
                <w:left w:w="70" w:type="dxa"/>
                <w:right w:w="70" w:type="dxa"/>
              </w:tblCellMar>
              <w:tblLook w:val="04A0" w:firstRow="1" w:lastRow="0" w:firstColumn="1" w:lastColumn="0" w:noHBand="0" w:noVBand="1"/>
            </w:tblPr>
            <w:tblGrid>
              <w:gridCol w:w="2837"/>
              <w:gridCol w:w="1367"/>
              <w:gridCol w:w="1507"/>
              <w:gridCol w:w="1696"/>
              <w:gridCol w:w="1546"/>
            </w:tblGrid>
            <w:tr w:rsidR="00EC0509" w:rsidRPr="00EC6A4B" w:rsidTr="00EC0509">
              <w:trPr>
                <w:trHeight w:val="300"/>
              </w:trPr>
              <w:tc>
                <w:tcPr>
                  <w:tcW w:w="2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lastRenderedPageBreak/>
                    <w:t>Alternativa</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Recarga</w:t>
                  </w:r>
                </w:p>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 xml:space="preserve"> anual (hm3)</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Cantidad requerida para recargar el 10%</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Costo unitario (Millones de $)</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Costo total</w:t>
                  </w:r>
                </w:p>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(Millones de $)</w:t>
                  </w:r>
                </w:p>
              </w:tc>
            </w:tr>
            <w:tr w:rsidR="00EC0509" w:rsidRPr="00EC6A4B" w:rsidTr="00EC0509">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Zanjas</w:t>
                  </w:r>
                </w:p>
              </w:tc>
              <w:tc>
                <w:tcPr>
                  <w:tcW w:w="136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rFonts w:eastAsia="Times New Roman"/>
                      <w:color w:val="000000"/>
                      <w:sz w:val="18"/>
                      <w:szCs w:val="22"/>
                    </w:rPr>
                  </w:pPr>
                  <w:r w:rsidRPr="007D68E2">
                    <w:rPr>
                      <w:color w:val="000000"/>
                      <w:sz w:val="18"/>
                      <w:szCs w:val="22"/>
                    </w:rPr>
                    <w:t>0,22</w:t>
                  </w:r>
                </w:p>
              </w:tc>
              <w:tc>
                <w:tcPr>
                  <w:tcW w:w="150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10,00</w:t>
                  </w:r>
                </w:p>
              </w:tc>
              <w:tc>
                <w:tcPr>
                  <w:tcW w:w="169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2,94</w:t>
                  </w:r>
                </w:p>
              </w:tc>
              <w:tc>
                <w:tcPr>
                  <w:tcW w:w="154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29,40</w:t>
                  </w:r>
                </w:p>
              </w:tc>
            </w:tr>
            <w:tr w:rsidR="00EC0509" w:rsidRPr="00EC6A4B" w:rsidTr="00EC0509">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Pozos en Zonas No Saturadas</w:t>
                  </w:r>
                </w:p>
              </w:tc>
              <w:tc>
                <w:tcPr>
                  <w:tcW w:w="136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0,05</w:t>
                  </w:r>
                </w:p>
              </w:tc>
              <w:tc>
                <w:tcPr>
                  <w:tcW w:w="150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44,00</w:t>
                  </w:r>
                </w:p>
              </w:tc>
              <w:tc>
                <w:tcPr>
                  <w:tcW w:w="169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1,42</w:t>
                  </w:r>
                </w:p>
              </w:tc>
              <w:tc>
                <w:tcPr>
                  <w:tcW w:w="154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62,48</w:t>
                  </w:r>
                </w:p>
              </w:tc>
            </w:tr>
            <w:tr w:rsidR="00EC0509" w:rsidRPr="00EC6A4B" w:rsidTr="00EC0509">
              <w:trPr>
                <w:trHeight w:val="300"/>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Pozos en Zonas Saturadas</w:t>
                  </w:r>
                </w:p>
              </w:tc>
              <w:tc>
                <w:tcPr>
                  <w:tcW w:w="136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0,22</w:t>
                  </w:r>
                </w:p>
              </w:tc>
              <w:tc>
                <w:tcPr>
                  <w:tcW w:w="1507"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9,00</w:t>
                  </w:r>
                </w:p>
              </w:tc>
              <w:tc>
                <w:tcPr>
                  <w:tcW w:w="169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53,60</w:t>
                  </w:r>
                </w:p>
              </w:tc>
              <w:tc>
                <w:tcPr>
                  <w:tcW w:w="1546"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482,40</w:t>
                  </w:r>
                </w:p>
              </w:tc>
            </w:tr>
          </w:tbl>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En segundo lugar, se evaluó una alternativa hipotética para abordar la recarga como resultado de una combinación entre los métodos propuestos, donde cada uno participará en un porcentaje dentro de la recarga total. Para efectos prácticos, se supuso la siguiente participación:</w:t>
            </w:r>
          </w:p>
          <w:p w:rsidR="00EC0509" w:rsidRPr="00EC6A4B" w:rsidRDefault="00EC0509" w:rsidP="00EC0509">
            <w:pPr>
              <w:rPr>
                <w:rFonts w:eastAsia="Times New Roman"/>
                <w:sz w:val="18"/>
                <w:lang w:val="es-ES" w:eastAsia="es-ES"/>
              </w:rPr>
            </w:pPr>
          </w:p>
          <w:tbl>
            <w:tblPr>
              <w:tblW w:w="9113" w:type="dxa"/>
              <w:tblCellMar>
                <w:left w:w="70" w:type="dxa"/>
                <w:right w:w="70" w:type="dxa"/>
              </w:tblCellMar>
              <w:tblLook w:val="04A0" w:firstRow="1" w:lastRow="0" w:firstColumn="1" w:lastColumn="0" w:noHBand="0" w:noVBand="1"/>
            </w:tblPr>
            <w:tblGrid>
              <w:gridCol w:w="2753"/>
              <w:gridCol w:w="1240"/>
              <w:gridCol w:w="1357"/>
              <w:gridCol w:w="1144"/>
              <w:gridCol w:w="1315"/>
              <w:gridCol w:w="1144"/>
            </w:tblGrid>
            <w:tr w:rsidR="00EC0509" w:rsidRPr="00EC6A4B" w:rsidTr="00F6607F">
              <w:trPr>
                <w:trHeight w:val="300"/>
              </w:trPr>
              <w:tc>
                <w:tcPr>
                  <w:tcW w:w="2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Alternativa</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proofErr w:type="spellStart"/>
                  <w:r w:rsidRPr="007D68E2">
                    <w:rPr>
                      <w:rFonts w:eastAsia="Times New Roman" w:cs="Times New Roman"/>
                      <w:color w:val="000000"/>
                      <w:sz w:val="18"/>
                      <w:szCs w:val="22"/>
                    </w:rPr>
                    <w:t>Partici</w:t>
                  </w:r>
                  <w:proofErr w:type="spellEnd"/>
                </w:p>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pación</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Recarga (hm3</w:t>
                  </w:r>
                  <w:r w:rsidR="00F6607F" w:rsidRPr="007D68E2">
                    <w:rPr>
                      <w:rFonts w:eastAsia="Times New Roman" w:cs="Times New Roman"/>
                      <w:color w:val="000000"/>
                      <w:sz w:val="18"/>
                      <w:szCs w:val="22"/>
                    </w:rPr>
                    <w:t>/</w:t>
                  </w:r>
                  <w:r w:rsidRPr="007D68E2">
                    <w:rPr>
                      <w:rFonts w:eastAsia="Times New Roman" w:cs="Times New Roman"/>
                      <w:color w:val="000000"/>
                      <w:sz w:val="18"/>
                      <w:szCs w:val="22"/>
                    </w:rPr>
                    <w:t>año)</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Cantidad requerida</w:t>
                  </w:r>
                </w:p>
              </w:tc>
              <w:tc>
                <w:tcPr>
                  <w:tcW w:w="1338"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Costo unitario (Millones de $)</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center"/>
                    <w:rPr>
                      <w:rFonts w:eastAsia="Times New Roman" w:cs="Times New Roman"/>
                      <w:color w:val="000000"/>
                      <w:sz w:val="18"/>
                      <w:szCs w:val="22"/>
                    </w:rPr>
                  </w:pPr>
                  <w:r w:rsidRPr="007D68E2">
                    <w:rPr>
                      <w:rFonts w:eastAsia="Times New Roman" w:cs="Times New Roman"/>
                      <w:color w:val="000000"/>
                      <w:sz w:val="18"/>
                      <w:szCs w:val="22"/>
                    </w:rPr>
                    <w:t>Costo total (Millones de $)</w:t>
                  </w:r>
                </w:p>
              </w:tc>
            </w:tr>
            <w:tr w:rsidR="00EC0509" w:rsidRPr="00EC6A4B" w:rsidTr="00F6607F">
              <w:trPr>
                <w:trHeight w:val="300"/>
              </w:trPr>
              <w:tc>
                <w:tcPr>
                  <w:tcW w:w="2804" w:type="dxa"/>
                  <w:tcBorders>
                    <w:top w:val="nil"/>
                    <w:left w:val="single" w:sz="4" w:space="0" w:color="auto"/>
                    <w:bottom w:val="single" w:sz="4" w:space="0" w:color="auto"/>
                    <w:right w:val="single" w:sz="4" w:space="0" w:color="auto"/>
                  </w:tcBorders>
                  <w:shd w:val="clear" w:color="auto" w:fill="auto"/>
                  <w:noWrap/>
                  <w:vAlign w:val="center"/>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Zanjas</w:t>
                  </w:r>
                </w:p>
              </w:tc>
              <w:tc>
                <w:tcPr>
                  <w:tcW w:w="1262" w:type="dxa"/>
                  <w:tcBorders>
                    <w:top w:val="nil"/>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right"/>
                    <w:rPr>
                      <w:rFonts w:eastAsia="Times New Roman" w:cs="Times New Roman"/>
                      <w:color w:val="000000"/>
                      <w:sz w:val="18"/>
                      <w:szCs w:val="22"/>
                    </w:rPr>
                  </w:pPr>
                  <w:r w:rsidRPr="007D68E2">
                    <w:rPr>
                      <w:rFonts w:eastAsia="Times New Roman" w:cs="Times New Roman"/>
                      <w:color w:val="000000"/>
                      <w:sz w:val="18"/>
                      <w:szCs w:val="22"/>
                    </w:rPr>
                    <w:t>40%</w:t>
                  </w:r>
                </w:p>
              </w:tc>
              <w:tc>
                <w:tcPr>
                  <w:tcW w:w="1381"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rFonts w:eastAsia="Times New Roman"/>
                      <w:color w:val="000000"/>
                      <w:sz w:val="18"/>
                      <w:szCs w:val="22"/>
                    </w:rPr>
                  </w:pPr>
                  <w:r w:rsidRPr="007D68E2">
                    <w:rPr>
                      <w:color w:val="000000"/>
                      <w:sz w:val="18"/>
                      <w:szCs w:val="22"/>
                    </w:rPr>
                    <w:t>1,09</w:t>
                  </w:r>
                </w:p>
              </w:tc>
              <w:tc>
                <w:tcPr>
                  <w:tcW w:w="1164"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5</w:t>
                  </w:r>
                </w:p>
              </w:tc>
              <w:tc>
                <w:tcPr>
                  <w:tcW w:w="1338"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2,94</w:t>
                  </w:r>
                </w:p>
              </w:tc>
              <w:tc>
                <w:tcPr>
                  <w:tcW w:w="1164"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14,70</w:t>
                  </w:r>
                </w:p>
              </w:tc>
            </w:tr>
            <w:tr w:rsidR="00EC0509" w:rsidRPr="00EC6A4B" w:rsidTr="00F6607F">
              <w:trPr>
                <w:trHeight w:val="300"/>
              </w:trPr>
              <w:tc>
                <w:tcPr>
                  <w:tcW w:w="2804" w:type="dxa"/>
                  <w:tcBorders>
                    <w:top w:val="nil"/>
                    <w:left w:val="single" w:sz="4" w:space="0" w:color="auto"/>
                    <w:bottom w:val="single" w:sz="4" w:space="0" w:color="auto"/>
                    <w:right w:val="single" w:sz="4" w:space="0" w:color="auto"/>
                  </w:tcBorders>
                  <w:shd w:val="clear" w:color="auto" w:fill="auto"/>
                  <w:noWrap/>
                  <w:vAlign w:val="center"/>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Pozos en Zonas No Saturadas</w:t>
                  </w:r>
                </w:p>
              </w:tc>
              <w:tc>
                <w:tcPr>
                  <w:tcW w:w="1262" w:type="dxa"/>
                  <w:tcBorders>
                    <w:top w:val="nil"/>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right"/>
                    <w:rPr>
                      <w:rFonts w:eastAsia="Times New Roman" w:cs="Times New Roman"/>
                      <w:color w:val="000000"/>
                      <w:sz w:val="18"/>
                      <w:szCs w:val="22"/>
                    </w:rPr>
                  </w:pPr>
                  <w:r w:rsidRPr="007D68E2">
                    <w:rPr>
                      <w:rFonts w:eastAsia="Times New Roman" w:cs="Times New Roman"/>
                      <w:color w:val="000000"/>
                      <w:sz w:val="18"/>
                      <w:szCs w:val="22"/>
                    </w:rPr>
                    <w:t>30%</w:t>
                  </w:r>
                </w:p>
              </w:tc>
              <w:tc>
                <w:tcPr>
                  <w:tcW w:w="1381"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0,63</w:t>
                  </w:r>
                </w:p>
              </w:tc>
              <w:tc>
                <w:tcPr>
                  <w:tcW w:w="1164"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14</w:t>
                  </w:r>
                </w:p>
              </w:tc>
              <w:tc>
                <w:tcPr>
                  <w:tcW w:w="1338"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1,42</w:t>
                  </w:r>
                </w:p>
              </w:tc>
              <w:tc>
                <w:tcPr>
                  <w:tcW w:w="1164"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19,88</w:t>
                  </w:r>
                </w:p>
              </w:tc>
            </w:tr>
            <w:tr w:rsidR="00EC0509" w:rsidRPr="00EC6A4B" w:rsidTr="00F6607F">
              <w:trPr>
                <w:trHeight w:val="300"/>
              </w:trPr>
              <w:tc>
                <w:tcPr>
                  <w:tcW w:w="2804" w:type="dxa"/>
                  <w:tcBorders>
                    <w:top w:val="nil"/>
                    <w:left w:val="single" w:sz="4" w:space="0" w:color="auto"/>
                    <w:bottom w:val="nil"/>
                    <w:right w:val="single" w:sz="4" w:space="0" w:color="auto"/>
                  </w:tcBorders>
                  <w:shd w:val="clear" w:color="auto" w:fill="auto"/>
                  <w:noWrap/>
                  <w:vAlign w:val="center"/>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Pozos en Zonas Saturadas</w:t>
                  </w:r>
                </w:p>
              </w:tc>
              <w:tc>
                <w:tcPr>
                  <w:tcW w:w="1262" w:type="dxa"/>
                  <w:tcBorders>
                    <w:top w:val="nil"/>
                    <w:left w:val="nil"/>
                    <w:bottom w:val="nil"/>
                    <w:right w:val="single" w:sz="4" w:space="0" w:color="auto"/>
                  </w:tcBorders>
                  <w:shd w:val="clear" w:color="auto" w:fill="auto"/>
                  <w:noWrap/>
                  <w:vAlign w:val="bottom"/>
                  <w:hideMark/>
                </w:tcPr>
                <w:p w:rsidR="00EC0509" w:rsidRPr="007D68E2" w:rsidRDefault="00EC0509" w:rsidP="00EC0509">
                  <w:pPr>
                    <w:spacing w:after="0" w:line="240" w:lineRule="auto"/>
                    <w:jc w:val="right"/>
                    <w:rPr>
                      <w:rFonts w:eastAsia="Times New Roman" w:cs="Times New Roman"/>
                      <w:color w:val="000000"/>
                      <w:sz w:val="18"/>
                      <w:szCs w:val="22"/>
                    </w:rPr>
                  </w:pPr>
                  <w:r w:rsidRPr="007D68E2">
                    <w:rPr>
                      <w:rFonts w:eastAsia="Times New Roman" w:cs="Times New Roman"/>
                      <w:color w:val="000000"/>
                      <w:sz w:val="18"/>
                      <w:szCs w:val="22"/>
                    </w:rPr>
                    <w:t>30%</w:t>
                  </w:r>
                </w:p>
              </w:tc>
              <w:tc>
                <w:tcPr>
                  <w:tcW w:w="1381"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0,67</w:t>
                  </w:r>
                </w:p>
              </w:tc>
              <w:tc>
                <w:tcPr>
                  <w:tcW w:w="1164" w:type="dxa"/>
                  <w:tcBorders>
                    <w:top w:val="nil"/>
                    <w:left w:val="nil"/>
                    <w:bottom w:val="nil"/>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3</w:t>
                  </w:r>
                </w:p>
              </w:tc>
              <w:tc>
                <w:tcPr>
                  <w:tcW w:w="1338" w:type="dxa"/>
                  <w:tcBorders>
                    <w:top w:val="nil"/>
                    <w:left w:val="nil"/>
                    <w:bottom w:val="nil"/>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53,60</w:t>
                  </w:r>
                </w:p>
              </w:tc>
              <w:tc>
                <w:tcPr>
                  <w:tcW w:w="1164" w:type="dxa"/>
                  <w:tcBorders>
                    <w:top w:val="nil"/>
                    <w:left w:val="nil"/>
                    <w:bottom w:val="nil"/>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160,80</w:t>
                  </w:r>
                </w:p>
              </w:tc>
            </w:tr>
            <w:tr w:rsidR="00EC0509" w:rsidRPr="00EC6A4B" w:rsidTr="00F6607F">
              <w:trPr>
                <w:trHeight w:val="300"/>
              </w:trPr>
              <w:tc>
                <w:tcPr>
                  <w:tcW w:w="2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0509" w:rsidRPr="007D68E2" w:rsidRDefault="00EC0509" w:rsidP="00EC0509">
                  <w:pPr>
                    <w:spacing w:after="0" w:line="240" w:lineRule="auto"/>
                    <w:jc w:val="left"/>
                    <w:rPr>
                      <w:rFonts w:eastAsia="Times New Roman" w:cs="Times New Roman"/>
                      <w:color w:val="000000"/>
                      <w:sz w:val="18"/>
                      <w:szCs w:val="22"/>
                    </w:rPr>
                  </w:pPr>
                  <w:r w:rsidRPr="007D68E2">
                    <w:rPr>
                      <w:rFonts w:eastAsia="Times New Roman" w:cs="Times New Roman"/>
                      <w:color w:val="000000"/>
                      <w:sz w:val="18"/>
                      <w:szCs w:val="22"/>
                    </w:rPr>
                    <w:t>Total</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EC0509" w:rsidRPr="007D68E2" w:rsidRDefault="00EC0509" w:rsidP="00EC0509">
                  <w:pPr>
                    <w:spacing w:after="0" w:line="240" w:lineRule="auto"/>
                    <w:jc w:val="right"/>
                    <w:rPr>
                      <w:rFonts w:eastAsia="Times New Roman" w:cs="Times New Roman"/>
                      <w:color w:val="000000"/>
                      <w:sz w:val="18"/>
                      <w:szCs w:val="22"/>
                    </w:rPr>
                  </w:pPr>
                  <w:r w:rsidRPr="007D68E2">
                    <w:rPr>
                      <w:rFonts w:eastAsia="Times New Roman" w:cs="Times New Roman"/>
                      <w:color w:val="000000"/>
                      <w:sz w:val="18"/>
                      <w:szCs w:val="22"/>
                    </w:rPr>
                    <w:t>100%</w:t>
                  </w:r>
                </w:p>
              </w:tc>
              <w:tc>
                <w:tcPr>
                  <w:tcW w:w="1381" w:type="dxa"/>
                  <w:tcBorders>
                    <w:top w:val="nil"/>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2,39</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22</w:t>
                  </w:r>
                </w:p>
              </w:tc>
              <w:tc>
                <w:tcPr>
                  <w:tcW w:w="1338" w:type="dxa"/>
                  <w:tcBorders>
                    <w:top w:val="single" w:sz="4" w:space="0" w:color="auto"/>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EC0509" w:rsidRPr="007D68E2" w:rsidRDefault="00EC0509" w:rsidP="00EC0509">
                  <w:pPr>
                    <w:spacing w:after="0" w:line="240" w:lineRule="auto"/>
                    <w:jc w:val="right"/>
                    <w:rPr>
                      <w:color w:val="000000"/>
                      <w:sz w:val="18"/>
                      <w:szCs w:val="22"/>
                    </w:rPr>
                  </w:pPr>
                  <w:r w:rsidRPr="007D68E2">
                    <w:rPr>
                      <w:color w:val="000000"/>
                      <w:sz w:val="18"/>
                      <w:szCs w:val="22"/>
                    </w:rPr>
                    <w:t>195,38</w:t>
                  </w:r>
                </w:p>
              </w:tc>
            </w:tr>
          </w:tbl>
          <w:p w:rsidR="00EC0509" w:rsidRPr="00EC6A4B" w:rsidRDefault="00EC0509" w:rsidP="00EC0509">
            <w:pPr>
              <w:rPr>
                <w:rFonts w:eastAsia="Times New Roman"/>
                <w:sz w:val="18"/>
                <w:lang w:val="es-ES" w:eastAsia="es-ES"/>
              </w:rPr>
            </w:pPr>
          </w:p>
          <w:p w:rsidR="00EC0509" w:rsidRPr="00EC6A4B" w:rsidRDefault="00EC0509" w:rsidP="00EC0509">
            <w:pPr>
              <w:rPr>
                <w:rFonts w:eastAsia="Times New Roman"/>
                <w:sz w:val="18"/>
                <w:lang w:val="es-ES" w:eastAsia="es-ES"/>
              </w:rPr>
            </w:pPr>
            <w:r w:rsidRPr="00EC6A4B">
              <w:rPr>
                <w:rFonts w:eastAsia="Times New Roman"/>
                <w:sz w:val="18"/>
                <w:lang w:val="es-ES" w:eastAsia="es-ES"/>
              </w:rPr>
              <w:t xml:space="preserve">Por lo tanto, un valor de referencia del costo de implementación de esta medida es de 195,4 millones de $. </w:t>
            </w:r>
          </w:p>
          <w:p w:rsidR="00EC0509" w:rsidRPr="00EC6A4B" w:rsidRDefault="00EC0509" w:rsidP="00EC0509">
            <w:pPr>
              <w:rPr>
                <w:rFonts w:eastAsia="Times New Roman"/>
                <w:sz w:val="18"/>
                <w:lang w:val="es-ES" w:eastAsia="es-ES"/>
              </w:rPr>
            </w:pPr>
            <w:r w:rsidRPr="00EC6A4B">
              <w:rPr>
                <w:rFonts w:eastAsia="Times New Roman"/>
                <w:sz w:val="18"/>
                <w:lang w:val="es-ES" w:eastAsia="es-ES"/>
              </w:rPr>
              <w:t xml:space="preserve">El número de beneficiarios asociados se determinó considerando como supuesto un consumo promedio de 10.000 m3/ha/año por un cultivo estándar. De esta forma, una recarga de 2,39 hm3/año podría abastecer 239 ha de riego. Si una explotación promedio tiene 5,0 ha, el número de beneficiarios sería de 48 familias. </w:t>
            </w:r>
          </w:p>
          <w:p w:rsidR="00EC0509" w:rsidRPr="00EC6A4B" w:rsidRDefault="00EC0509" w:rsidP="005202BA">
            <w:pPr>
              <w:spacing w:after="0" w:line="240" w:lineRule="auto"/>
              <w:rPr>
                <w:rFonts w:eastAsia="Times New Roman"/>
                <w:sz w:val="18"/>
                <w:lang w:val="es-ES" w:eastAsia="es-ES"/>
              </w:rPr>
            </w:pPr>
          </w:p>
          <w:p w:rsidR="00E0532F" w:rsidRPr="00EC6A4B" w:rsidRDefault="00E0532F" w:rsidP="005202BA">
            <w:pPr>
              <w:rPr>
                <w:rFonts w:eastAsia="Times New Roman"/>
                <w:sz w:val="18"/>
                <w:lang w:val="es-ES" w:eastAsia="es-ES"/>
              </w:rPr>
            </w:pPr>
            <w:r w:rsidRPr="00EC6A4B">
              <w:rPr>
                <w:rFonts w:eastAsia="Times New Roman"/>
                <w:sz w:val="18"/>
                <w:lang w:val="es-ES" w:eastAsia="es-ES"/>
              </w:rPr>
              <w:t>La forma de implementación de la iniciativa puede corresponder a dos alternativas:</w:t>
            </w:r>
          </w:p>
          <w:p w:rsidR="00E0532F" w:rsidRPr="00EC6A4B" w:rsidRDefault="00E0532F" w:rsidP="00437D46">
            <w:pPr>
              <w:pStyle w:val="Prrafodelista"/>
              <w:numPr>
                <w:ilvl w:val="0"/>
                <w:numId w:val="27"/>
              </w:numPr>
              <w:rPr>
                <w:rFonts w:eastAsia="Times New Roman"/>
                <w:sz w:val="18"/>
                <w:lang w:val="es-ES" w:eastAsia="es-ES"/>
              </w:rPr>
            </w:pPr>
            <w:r w:rsidRPr="00EC6A4B">
              <w:rPr>
                <w:rFonts w:eastAsia="Times New Roman"/>
                <w:sz w:val="18"/>
                <w:lang w:val="es-ES" w:eastAsia="es-ES"/>
              </w:rPr>
              <w:t>Proyectos de la Ley de Fomento a la Inversión Privada en Obras de Riego y Drenaje, administrada por la CNR, y presentada por organizaciones de usuarios de agua (comunidades de aguas superficiales o subterráneas)</w:t>
            </w:r>
          </w:p>
          <w:p w:rsidR="00E0532F" w:rsidRPr="00EC6A4B" w:rsidRDefault="00E0532F" w:rsidP="00437D46">
            <w:pPr>
              <w:pStyle w:val="Prrafodelista"/>
              <w:numPr>
                <w:ilvl w:val="0"/>
                <w:numId w:val="27"/>
              </w:numPr>
              <w:rPr>
                <w:rFonts w:eastAsia="Times New Roman"/>
                <w:sz w:val="18"/>
                <w:lang w:val="es-ES" w:eastAsia="es-ES"/>
              </w:rPr>
            </w:pPr>
            <w:r w:rsidRPr="00EC6A4B">
              <w:rPr>
                <w:rFonts w:eastAsia="Times New Roman"/>
                <w:sz w:val="18"/>
                <w:lang w:val="es-ES" w:eastAsia="es-ES"/>
              </w:rPr>
              <w:t xml:space="preserve">Financiamiento mediante Ministerio de Obras Públicas, dado que se trata de obras colectivas de almacenamiento de aguas subterráneas.  </w:t>
            </w:r>
          </w:p>
          <w:p w:rsidR="00E0532F" w:rsidRPr="00EC6A4B" w:rsidRDefault="00E0532F" w:rsidP="005202BA">
            <w:pPr>
              <w:rPr>
                <w:rFonts w:eastAsia="Times New Roman"/>
                <w:sz w:val="18"/>
                <w:lang w:val="es-ES" w:eastAsia="es-ES"/>
              </w:rPr>
            </w:pPr>
          </w:p>
        </w:tc>
      </w:tr>
      <w:tr w:rsidR="00E0532F" w:rsidRPr="00EC6A4B" w:rsidTr="007D68E2">
        <w:trPr>
          <w:trHeight w:val="586"/>
        </w:trPr>
        <w:tc>
          <w:tcPr>
            <w:tcW w:w="9103" w:type="dxa"/>
            <w:gridSpan w:val="8"/>
            <w:shd w:val="clear" w:color="auto" w:fill="auto"/>
            <w:vAlign w:val="center"/>
          </w:tcPr>
          <w:p w:rsidR="00E0532F" w:rsidRPr="00EC6A4B" w:rsidRDefault="00E0532F" w:rsidP="005202BA">
            <w:pPr>
              <w:spacing w:after="0" w:line="240" w:lineRule="auto"/>
              <w:jc w:val="left"/>
              <w:rPr>
                <w:rFonts w:eastAsia="Times New Roman" w:cs="Times New Roman"/>
                <w:b/>
                <w:color w:val="000000"/>
                <w:sz w:val="18"/>
                <w:szCs w:val="18"/>
                <w:lang w:val="es-ES" w:eastAsia="es-ES"/>
              </w:rPr>
            </w:pPr>
            <w:r w:rsidRPr="00EC6A4B">
              <w:rPr>
                <w:rFonts w:eastAsia="Times New Roman" w:cs="Times New Roman"/>
                <w:b/>
                <w:color w:val="000000"/>
                <w:sz w:val="18"/>
                <w:szCs w:val="18"/>
                <w:lang w:val="es-ES" w:eastAsia="es-ES"/>
              </w:rPr>
              <w:lastRenderedPageBreak/>
              <w:t>Presupuesto</w:t>
            </w:r>
          </w:p>
        </w:tc>
      </w:tr>
      <w:tr w:rsidR="00E0532F" w:rsidRPr="00EC6A4B" w:rsidTr="007D68E2">
        <w:trPr>
          <w:trHeight w:val="586"/>
        </w:trPr>
        <w:tc>
          <w:tcPr>
            <w:tcW w:w="9103" w:type="dxa"/>
            <w:gridSpan w:val="8"/>
            <w:shd w:val="clear" w:color="auto" w:fill="auto"/>
            <w:vAlign w:val="center"/>
          </w:tcPr>
          <w:p w:rsidR="00E0532F" w:rsidRPr="00EC6A4B" w:rsidRDefault="00EC0509" w:rsidP="005202BA">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lastRenderedPageBreak/>
              <w:t xml:space="preserve">El presupuesto total de esta iniciativa es de 195,38 millones de $, sin IVA. </w:t>
            </w:r>
          </w:p>
        </w:tc>
      </w:tr>
      <w:tr w:rsidR="00821002" w:rsidRPr="00EC6A4B" w:rsidTr="007D68E2">
        <w:trPr>
          <w:gridAfter w:val="1"/>
          <w:wAfter w:w="14" w:type="dxa"/>
          <w:trHeight w:val="586"/>
        </w:trPr>
        <w:tc>
          <w:tcPr>
            <w:tcW w:w="2297" w:type="dxa"/>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INDICADOR ECONÓMICO</w:t>
            </w:r>
          </w:p>
        </w:tc>
        <w:tc>
          <w:tcPr>
            <w:tcW w:w="2207" w:type="dxa"/>
            <w:gridSpan w:val="2"/>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TIR, 6%</w:t>
            </w:r>
          </w:p>
        </w:tc>
        <w:tc>
          <w:tcPr>
            <w:tcW w:w="1795" w:type="dxa"/>
            <w:gridSpan w:val="2"/>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SUPUESTOS</w:t>
            </w:r>
          </w:p>
        </w:tc>
        <w:tc>
          <w:tcPr>
            <w:tcW w:w="2790" w:type="dxa"/>
            <w:gridSpan w:val="2"/>
            <w:shd w:val="clear" w:color="auto" w:fill="auto"/>
            <w:vAlign w:val="center"/>
          </w:tcPr>
          <w:p w:rsidR="00821002" w:rsidRPr="00EC6A4B" w:rsidRDefault="00821002" w:rsidP="00A62558">
            <w:pPr>
              <w:spacing w:after="0" w:line="240" w:lineRule="auto"/>
              <w:jc w:val="left"/>
              <w:rPr>
                <w:rFonts w:eastAsia="Times New Roman" w:cs="Times New Roman"/>
                <w:color w:val="000000"/>
                <w:sz w:val="18"/>
                <w:szCs w:val="18"/>
                <w:lang w:val="es-ES" w:eastAsia="es-ES"/>
              </w:rPr>
            </w:pPr>
            <w:r w:rsidRPr="00EC6A4B">
              <w:rPr>
                <w:rFonts w:eastAsia="Times New Roman" w:cs="Times New Roman"/>
                <w:color w:val="000000"/>
                <w:sz w:val="18"/>
                <w:szCs w:val="18"/>
                <w:lang w:val="es-ES" w:eastAsia="es-ES"/>
              </w:rPr>
              <w:t xml:space="preserve">Se tomó como referencia el proyecto CNR citado en los antecedentes (TIR 22,96%, pero solo viable en 1 de 10 proyectos), y se consideró una TIR favorable pero conservadora. </w:t>
            </w:r>
          </w:p>
        </w:tc>
      </w:tr>
    </w:tbl>
    <w:p w:rsidR="00E0532F" w:rsidRPr="00EC6A4B" w:rsidRDefault="00E0532F" w:rsidP="00FB2027">
      <w:pPr>
        <w:rPr>
          <w:lang w:eastAsia="es-ES"/>
        </w:rPr>
      </w:pPr>
    </w:p>
    <w:p w:rsidR="004F2625" w:rsidRPr="00EC6A4B" w:rsidRDefault="004F2625" w:rsidP="00FB2027">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4F2625" w:rsidRPr="00EC6A4B" w:rsidRDefault="004F2625" w:rsidP="004F2625">
      <w:pPr>
        <w:rPr>
          <w:lang w:eastAsia="es-ES"/>
        </w:rPr>
      </w:pPr>
    </w:p>
    <w:p w:rsidR="00F6607F" w:rsidRPr="00EC6A4B" w:rsidRDefault="004F2625" w:rsidP="004F2625">
      <w:pPr>
        <w:tabs>
          <w:tab w:val="left" w:pos="2940"/>
        </w:tabs>
        <w:rPr>
          <w:lang w:eastAsia="es-ES"/>
        </w:rPr>
      </w:pPr>
      <w:r w:rsidRPr="00EC6A4B">
        <w:rPr>
          <w:lang w:eastAsia="es-ES"/>
        </w:rPr>
        <w:tab/>
      </w:r>
    </w:p>
    <w:sectPr w:rsidR="00F6607F" w:rsidRPr="00EC6A4B" w:rsidSect="00FA1E3E">
      <w:headerReference w:type="default" r:id="rId12"/>
      <w:footerReference w:type="default" r:id="rId13"/>
      <w:pgSz w:w="12240" w:h="15840" w:code="1"/>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A32" w:rsidRDefault="008C5A32" w:rsidP="00C47A64">
      <w:r>
        <w:separator/>
      </w:r>
    </w:p>
    <w:p w:rsidR="008C5A32" w:rsidRDefault="008C5A32" w:rsidP="00C47A64"/>
  </w:endnote>
  <w:endnote w:type="continuationSeparator" w:id="0">
    <w:p w:rsidR="008C5A32" w:rsidRDefault="008C5A32" w:rsidP="00C47A64">
      <w:r>
        <w:continuationSeparator/>
      </w:r>
    </w:p>
    <w:p w:rsidR="008C5A32" w:rsidRDefault="008C5A32" w:rsidP="00C4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Univers">
    <w:altName w:val="Arial"/>
    <w:charset w:val="00"/>
    <w:family w:val="swiss"/>
    <w:pitch w:val="variable"/>
    <w:sig w:usb0="00000007" w:usb1="00000000" w:usb2="00000000" w:usb3="00000000" w:csb0="0000001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
    <w:altName w:val="Times New Roman"/>
    <w:panose1 w:val="00000000000000000000"/>
    <w:charset w:val="00"/>
    <w:family w:val="roman"/>
    <w:notTrueType/>
    <w:pitch w:val="default"/>
  </w:font>
  <w:font w:name="HiddenHorzOCR">
    <w:altName w:val="Arial Unicode MS"/>
    <w:panose1 w:val="00000000000000000000"/>
    <w:charset w:val="80"/>
    <w:family w:val="auto"/>
    <w:notTrueType/>
    <w:pitch w:val="default"/>
    <w:sig w:usb0="00000001" w:usb1="08070000" w:usb2="00000010" w:usb3="00000000" w:csb0="00020000" w:csb1="00000000"/>
  </w:font>
  <w:font w:name="gobCL">
    <w:altName w:val="Arial"/>
    <w:panose1 w:val="00000000000000000000"/>
    <w:charset w:val="00"/>
    <w:family w:val="modern"/>
    <w:notTrueType/>
    <w:pitch w:val="variable"/>
    <w:sig w:usb0="8000002F" w:usb1="4000005B" w:usb2="00000000" w:usb3="00000000" w:csb0="00000111" w:csb1="00000000"/>
  </w:font>
  <w:font w:name="Arial Unicode MS">
    <w:panose1 w:val="020B0604020202020204"/>
    <w:charset w:val="80"/>
    <w:family w:val="swiss"/>
    <w:pitch w:val="variable"/>
    <w:sig w:usb0="F7FFAFFF" w:usb1="E9DFFFFF" w:usb2="0000003F" w:usb3="00000000" w:csb0="003F01FF" w:csb1="00000000"/>
  </w:font>
  <w:font w:name="FrutigerLTStd-LightCn">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2BA" w:rsidRPr="00BE37F7" w:rsidRDefault="005202BA" w:rsidP="000B0CCE">
    <w:pPr>
      <w:pStyle w:val="EncabezadoPie"/>
      <w:pBdr>
        <w:top w:val="single" w:sz="4" w:space="11" w:color="auto"/>
      </w:pBdr>
    </w:pPr>
    <w:r w:rsidRPr="00BE37F7">
      <w:t xml:space="preserve">PLAN MAESTRO DE RECURSOS HÍDRICOS REGIÓN DEL MAULE   </w:t>
    </w:r>
  </w:p>
  <w:p w:rsidR="005202BA" w:rsidRPr="00BE37F7" w:rsidRDefault="005202BA" w:rsidP="00C47A64">
    <w:pPr>
      <w:pStyle w:val="EncabezadoPie"/>
    </w:pPr>
    <w:r w:rsidRPr="00BE37F7">
      <w:t>Etapa 4. Propuesta del Plan Regional</w:t>
    </w:r>
    <w:r w:rsidRPr="00BE37F7">
      <w:rPr>
        <w:rFonts w:ascii="Arial Narrow" w:hAnsi="Arial Narrow"/>
        <w:sz w:val="18"/>
        <w:szCs w:val="18"/>
      </w:rPr>
      <w:tab/>
    </w:r>
  </w:p>
  <w:p w:rsidR="005202BA" w:rsidRDefault="005202BA" w:rsidP="00C47A64">
    <w:pPr>
      <w:pStyle w:val="EncabezadoPie"/>
      <w:tabs>
        <w:tab w:val="right" w:pos="9072"/>
      </w:tabs>
    </w:pPr>
    <w:r>
      <w:t>FICHAS DE INICIATIVAS</w:t>
    </w:r>
  </w:p>
  <w:p w:rsidR="005202BA" w:rsidRPr="00DB2BA2" w:rsidRDefault="005202BA" w:rsidP="00F6607F">
    <w:pPr>
      <w:pStyle w:val="EncabezadoPie"/>
      <w:tabs>
        <w:tab w:val="right" w:pos="9072"/>
      </w:tabs>
      <w:jc w:val="right"/>
    </w:pPr>
    <w:r>
      <w:t xml:space="preserve">Página </w:t>
    </w:r>
    <w:r>
      <w:fldChar w:fldCharType="begin"/>
    </w:r>
    <w:r>
      <w:instrText>PAGE   \* MERGEFORMAT</w:instrText>
    </w:r>
    <w:r>
      <w:fldChar w:fldCharType="separate"/>
    </w:r>
    <w:r w:rsidR="00CC43C2" w:rsidRPr="00CC43C2">
      <w:rPr>
        <w:noProof/>
        <w:lang w:val="es-ES"/>
      </w:rPr>
      <w:t>15</w:t>
    </w:r>
    <w:r>
      <w:fldChar w:fldCharType="end"/>
    </w:r>
    <w:r>
      <w:t>/</w:t>
    </w:r>
    <w:fldSimple w:instr=" NUMPAGES   \* MERGEFORMAT ">
      <w:r w:rsidR="00CC43C2">
        <w:rPr>
          <w:noProof/>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A32" w:rsidRDefault="008C5A32" w:rsidP="00C47A64">
      <w:r>
        <w:separator/>
      </w:r>
    </w:p>
    <w:p w:rsidR="008C5A32" w:rsidRDefault="008C5A32" w:rsidP="00C47A64"/>
  </w:footnote>
  <w:footnote w:type="continuationSeparator" w:id="0">
    <w:p w:rsidR="008C5A32" w:rsidRDefault="008C5A32" w:rsidP="00C47A64">
      <w:r>
        <w:continuationSeparator/>
      </w:r>
    </w:p>
    <w:p w:rsidR="008C5A32" w:rsidRDefault="008C5A32" w:rsidP="00C47A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DGA2"/>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126"/>
    </w:tblGrid>
    <w:tr w:rsidR="005202BA" w:rsidTr="00EC6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5202BA" w:rsidRDefault="005202BA" w:rsidP="001B0220">
          <w:pPr>
            <w:pStyle w:val="Encabezado"/>
          </w:pPr>
          <w:r>
            <w:rPr>
              <w:rFonts w:cstheme="minorBidi"/>
              <w:b w:val="0"/>
            </w:rPr>
            <w:object w:dxaOrig="2865"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56.1pt" o:ole="">
                <v:imagedata r:id="rId1" o:title=""/>
              </v:shape>
              <o:OLEObject Type="Embed" ProgID="PBrush" ShapeID="_x0000_i1025" DrawAspect="Content" ObjectID="_1606314004" r:id="rId2"/>
            </w:object>
          </w:r>
        </w:p>
      </w:tc>
      <w:tc>
        <w:tcPr>
          <w:tcW w:w="7126" w:type="dxa"/>
          <w:shd w:val="clear" w:color="auto" w:fill="auto"/>
        </w:tcPr>
        <w:p w:rsidR="005202BA" w:rsidRPr="00B31517" w:rsidRDefault="005202BA" w:rsidP="00FC21C5">
          <w:pPr>
            <w:pStyle w:val="EncabezadoPie"/>
            <w:cnfStyle w:val="100000000000" w:firstRow="1" w:lastRow="0" w:firstColumn="0" w:lastColumn="0" w:oddVBand="0" w:evenVBand="0" w:oddHBand="0" w:evenHBand="0" w:firstRowFirstColumn="0" w:firstRowLastColumn="0" w:lastRowFirstColumn="0" w:lastRowLastColumn="0"/>
          </w:pPr>
          <w:r w:rsidRPr="00B31517">
            <w:t>GOBIERNO DE CHILE</w:t>
          </w:r>
        </w:p>
        <w:p w:rsidR="005202BA" w:rsidRPr="00B31517" w:rsidRDefault="005202BA" w:rsidP="00FC21C5">
          <w:pPr>
            <w:pStyle w:val="EncabezadoPie"/>
            <w:cnfStyle w:val="100000000000" w:firstRow="1" w:lastRow="0" w:firstColumn="0" w:lastColumn="0" w:oddVBand="0" w:evenVBand="0" w:oddHBand="0" w:evenHBand="0" w:firstRowFirstColumn="0" w:firstRowLastColumn="0" w:lastRowFirstColumn="0" w:lastRowLastColumn="0"/>
          </w:pPr>
          <w:r w:rsidRPr="00B31517">
            <w:t>MINISTERIO DE OBRAS PÚBLICAS</w:t>
          </w:r>
        </w:p>
        <w:p w:rsidR="005202BA" w:rsidRDefault="005202BA" w:rsidP="00FC21C5">
          <w:pPr>
            <w:pStyle w:val="EncabezadoPie"/>
            <w:cnfStyle w:val="100000000000" w:firstRow="1" w:lastRow="0" w:firstColumn="0" w:lastColumn="0" w:oddVBand="0" w:evenVBand="0" w:oddHBand="0" w:evenHBand="0" w:firstRowFirstColumn="0" w:firstRowLastColumn="0" w:lastRowFirstColumn="0" w:lastRowLastColumn="0"/>
          </w:pPr>
          <w:r w:rsidRPr="00B31517">
            <w:t>DIRECCIÓN GENERAL DE AGUAS</w:t>
          </w:r>
        </w:p>
        <w:p w:rsidR="005202BA" w:rsidRPr="00B31517" w:rsidRDefault="005202BA" w:rsidP="00FC21C5">
          <w:pPr>
            <w:pStyle w:val="EncabezadoPie"/>
            <w:cnfStyle w:val="100000000000" w:firstRow="1" w:lastRow="0" w:firstColumn="0" w:lastColumn="0" w:oddVBand="0" w:evenVBand="0" w:oddHBand="0" w:evenHBand="0" w:firstRowFirstColumn="0" w:firstRowLastColumn="0" w:lastRowFirstColumn="0" w:lastRowLastColumn="0"/>
          </w:pPr>
        </w:p>
        <w:p w:rsidR="005202BA" w:rsidRPr="00B31517" w:rsidRDefault="005202BA" w:rsidP="00FC21C5">
          <w:pPr>
            <w:pStyle w:val="EncabezadoPie"/>
            <w:cnfStyle w:val="100000000000" w:firstRow="1" w:lastRow="0" w:firstColumn="0" w:lastColumn="0" w:oddVBand="0" w:evenVBand="0" w:oddHBand="0" w:evenHBand="0" w:firstRowFirstColumn="0" w:firstRowLastColumn="0" w:lastRowFirstColumn="0" w:lastRowLastColumn="0"/>
          </w:pPr>
          <w:r w:rsidRPr="00B31517">
            <w:t xml:space="preserve">DIRECCIÓN REGIONAL DE AGUAS – </w:t>
          </w:r>
          <w:r>
            <w:t>REGIÓN DEL MAULE</w:t>
          </w:r>
        </w:p>
        <w:p w:rsidR="005202BA" w:rsidRDefault="005202BA" w:rsidP="00FC21C5">
          <w:pPr>
            <w:pStyle w:val="Encabezado"/>
            <w:jc w:val="left"/>
            <w:cnfStyle w:val="100000000000" w:firstRow="1" w:lastRow="0" w:firstColumn="0" w:lastColumn="0" w:oddVBand="0" w:evenVBand="0" w:oddHBand="0" w:evenHBand="0" w:firstRowFirstColumn="0" w:firstRowLastColumn="0" w:lastRowFirstColumn="0" w:lastRowLastColumn="0"/>
          </w:pPr>
        </w:p>
      </w:tc>
    </w:tr>
  </w:tbl>
  <w:p w:rsidR="005202BA" w:rsidRPr="001B0220" w:rsidRDefault="005202BA" w:rsidP="005A77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4B184A88"/>
    <w:lvl w:ilvl="0">
      <w:start w:val="1"/>
      <w:numFmt w:val="bullet"/>
      <w:pStyle w:val="Listaconvieta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43CAF19A"/>
    <w:lvl w:ilvl="0">
      <w:start w:val="1"/>
      <w:numFmt w:val="bullet"/>
      <w:pStyle w:val="Listaconvietas2"/>
      <w:lvlText w:val=""/>
      <w:lvlJc w:val="left"/>
      <w:pPr>
        <w:tabs>
          <w:tab w:val="num" w:pos="720"/>
        </w:tabs>
        <w:ind w:left="720" w:hanging="360"/>
      </w:pPr>
      <w:rPr>
        <w:rFonts w:ascii="Symbol" w:hAnsi="Symbol" w:hint="default"/>
      </w:rPr>
    </w:lvl>
  </w:abstractNum>
  <w:abstractNum w:abstractNumId="2" w15:restartNumberingAfterBreak="0">
    <w:nsid w:val="03BD10E5"/>
    <w:multiLevelType w:val="hybridMultilevel"/>
    <w:tmpl w:val="72AA6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49755CA"/>
    <w:multiLevelType w:val="singleLevel"/>
    <w:tmpl w:val="DFD2F9D2"/>
    <w:lvl w:ilvl="0">
      <w:start w:val="1"/>
      <w:numFmt w:val="bullet"/>
      <w:pStyle w:val="Lista"/>
      <w:lvlText w:val=""/>
      <w:lvlJc w:val="left"/>
      <w:pPr>
        <w:tabs>
          <w:tab w:val="num" w:pos="2203"/>
        </w:tabs>
        <w:ind w:left="2203" w:hanging="360"/>
      </w:pPr>
      <w:rPr>
        <w:rFonts w:ascii="Wingdings" w:hAnsi="Wingdings" w:hint="default"/>
      </w:rPr>
    </w:lvl>
  </w:abstractNum>
  <w:abstractNum w:abstractNumId="4" w15:restartNumberingAfterBreak="0">
    <w:nsid w:val="04B77E4B"/>
    <w:multiLevelType w:val="hybridMultilevel"/>
    <w:tmpl w:val="AE2E991E"/>
    <w:lvl w:ilvl="0" w:tplc="83B8940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9A11A13"/>
    <w:multiLevelType w:val="hybridMultilevel"/>
    <w:tmpl w:val="72AA6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50E5D1C"/>
    <w:multiLevelType w:val="singleLevel"/>
    <w:tmpl w:val="B5F6144A"/>
    <w:name w:val="pablo"/>
    <w:lvl w:ilvl="0">
      <w:start w:val="1"/>
      <w:numFmt w:val="bullet"/>
      <w:pStyle w:val="Vietadepunto"/>
      <w:lvlText w:val=""/>
      <w:legacy w:legacy="1" w:legacySpace="0" w:legacyIndent="283"/>
      <w:lvlJc w:val="left"/>
      <w:pPr>
        <w:ind w:left="283" w:hanging="283"/>
      </w:pPr>
      <w:rPr>
        <w:rFonts w:ascii="Symbol" w:hAnsi="Symbol" w:hint="default"/>
      </w:rPr>
    </w:lvl>
  </w:abstractNum>
  <w:abstractNum w:abstractNumId="7" w15:restartNumberingAfterBreak="0">
    <w:nsid w:val="1685129E"/>
    <w:multiLevelType w:val="hybridMultilevel"/>
    <w:tmpl w:val="E402DD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14C0E1B"/>
    <w:multiLevelType w:val="hybridMultilevel"/>
    <w:tmpl w:val="B2A28B4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1945390"/>
    <w:multiLevelType w:val="multilevel"/>
    <w:tmpl w:val="0B24CECC"/>
    <w:lvl w:ilvl="0">
      <w:start w:val="1"/>
      <w:numFmt w:val="decimal"/>
      <w:suff w:val="space"/>
      <w:lvlText w:val="%1."/>
      <w:lvlJc w:val="left"/>
      <w:pPr>
        <w:ind w:left="0" w:firstLine="0"/>
      </w:pPr>
      <w:rPr>
        <w:rFonts w:ascii="Verdana" w:hAnsi="Verdana" w:hint="default"/>
        <w:b/>
        <w:i w:val="0"/>
        <w:caps w:val="0"/>
        <w:strike w:val="0"/>
        <w:dstrike w:val="0"/>
        <w:vanish w:val="0"/>
        <w:sz w:val="22"/>
        <w:vertAlign w:val="baseline"/>
      </w:rPr>
    </w:lvl>
    <w:lvl w:ilvl="1">
      <w:start w:val="1"/>
      <w:numFmt w:val="decimal"/>
      <w:suff w:val="space"/>
      <w:lvlText w:val="%1.%2."/>
      <w:lvlJc w:val="left"/>
      <w:pPr>
        <w:ind w:left="0" w:firstLine="0"/>
      </w:pPr>
      <w:rPr>
        <w:rFonts w:ascii="Verdana" w:hAnsi="Verdana" w:hint="default"/>
        <w:b/>
        <w:i w:val="0"/>
        <w:caps w:val="0"/>
        <w:strike w:val="0"/>
        <w:dstrike w:val="0"/>
        <w:vanish w:val="0"/>
        <w:sz w:val="22"/>
        <w:vertAlign w:val="baseline"/>
      </w:rPr>
    </w:lvl>
    <w:lvl w:ilvl="2">
      <w:start w:val="1"/>
      <w:numFmt w:val="decimal"/>
      <w:suff w:val="space"/>
      <w:lvlText w:val="%1.%2.%3."/>
      <w:lvlJc w:val="left"/>
      <w:pPr>
        <w:ind w:left="0" w:firstLine="0"/>
      </w:pPr>
      <w:rPr>
        <w:rFonts w:ascii="Verdana" w:hAnsi="Verdana" w:hint="default"/>
        <w:b/>
        <w:i w:val="0"/>
        <w:caps w:val="0"/>
        <w:strike w:val="0"/>
        <w:dstrike w:val="0"/>
        <w:vanish w:val="0"/>
        <w:vertAlign w:val="baseline"/>
      </w:rPr>
    </w:lvl>
    <w:lvl w:ilvl="3">
      <w:start w:val="1"/>
      <w:numFmt w:val="decimal"/>
      <w:suff w:val="space"/>
      <w:lvlText w:val="%1.%2.%3.%4."/>
      <w:lvlJc w:val="left"/>
      <w:pPr>
        <w:ind w:left="0" w:firstLine="0"/>
      </w:pPr>
      <w:rPr>
        <w:rFonts w:ascii="Verdana" w:hAnsi="Verdana" w:hint="default"/>
        <w:b w:val="0"/>
        <w:i w:val="0"/>
        <w:caps w:val="0"/>
        <w:strike w:val="0"/>
        <w:dstrike w:val="0"/>
        <w:vanish w:val="0"/>
        <w:sz w:val="22"/>
        <w:vertAlign w:val="baseline"/>
      </w:rPr>
    </w:lvl>
    <w:lvl w:ilvl="4">
      <w:start w:val="1"/>
      <w:numFmt w:val="decimal"/>
      <w:pStyle w:val="Ttulo5"/>
      <w:lvlText w:val="%1.%2.%3.%4.%5"/>
      <w:lvlJc w:val="left"/>
      <w:pPr>
        <w:ind w:left="1008" w:hanging="1008"/>
      </w:pPr>
      <w:rPr>
        <w:rFonts w:hint="default"/>
        <w:b w:val="0"/>
        <w:color w:val="000000" w:themeColor="text1"/>
      </w:rPr>
    </w:lvl>
    <w:lvl w:ilvl="5">
      <w:start w:val="1"/>
      <w:numFmt w:val="decimal"/>
      <w:pStyle w:val="Ttulo6"/>
      <w:lvlText w:val="%1.%2.%3.%4.%5.%6"/>
      <w:lvlJc w:val="left"/>
      <w:pPr>
        <w:ind w:left="1152" w:hanging="1152"/>
      </w:pPr>
      <w:rPr>
        <w:rFonts w:hint="default"/>
        <w:color w:val="auto"/>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23E663FD"/>
    <w:multiLevelType w:val="hybridMultilevel"/>
    <w:tmpl w:val="E402DD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C7838A1"/>
    <w:multiLevelType w:val="hybridMultilevel"/>
    <w:tmpl w:val="402EB7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CB26698"/>
    <w:multiLevelType w:val="hybridMultilevel"/>
    <w:tmpl w:val="7EFAA284"/>
    <w:lvl w:ilvl="0" w:tplc="E95CEF28">
      <w:start w:val="1"/>
      <w:numFmt w:val="bullet"/>
      <w:lvlText w:val="-"/>
      <w:lvlJc w:val="left"/>
      <w:pPr>
        <w:ind w:left="720" w:hanging="360"/>
      </w:pPr>
      <w:rPr>
        <w:rFonts w:ascii="Verdana" w:eastAsia="Times New Roman"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40306BA"/>
    <w:multiLevelType w:val="multilevel"/>
    <w:tmpl w:val="044422A2"/>
    <w:lvl w:ilvl="0">
      <w:start w:val="1"/>
      <w:numFmt w:val="decimal"/>
      <w:pStyle w:val="Ttulo1"/>
      <w:suff w:val="space"/>
      <w:lvlText w:val="%1."/>
      <w:lvlJc w:val="left"/>
      <w:pPr>
        <w:ind w:left="0" w:firstLine="0"/>
      </w:pPr>
      <w:rPr>
        <w:rFonts w:ascii="Verdana" w:hAnsi="Verdana" w:hint="default"/>
        <w:b/>
        <w:i w:val="0"/>
        <w:caps/>
        <w:strike w:val="0"/>
        <w:dstrike w:val="0"/>
        <w:vanish w:val="0"/>
        <w:color w:val="auto"/>
        <w:kern w:val="0"/>
        <w:sz w:val="20"/>
        <w:szCs w:val="20"/>
        <w:effect w:val="none"/>
        <w:vertAlign w:val="baseline"/>
      </w:rPr>
    </w:lvl>
    <w:lvl w:ilvl="1">
      <w:start w:val="1"/>
      <w:numFmt w:val="decimal"/>
      <w:pStyle w:val="Ttulo2"/>
      <w:suff w:val="space"/>
      <w:lvlText w:val="%1.%2."/>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Verdana" w:hAnsi="Verdana" w:hint="default"/>
        <w:b/>
        <w:i w:val="0"/>
        <w:caps/>
        <w:strike w:val="0"/>
        <w:dstrike w:val="0"/>
        <w:vanish w:val="0"/>
        <w:color w:val="auto"/>
        <w:kern w:val="0"/>
        <w:sz w:val="20"/>
        <w:szCs w:val="20"/>
        <w:effect w:val="none"/>
        <w:vertAlign w:val="baseline"/>
      </w:rPr>
    </w:lvl>
    <w:lvl w:ilvl="3">
      <w:start w:val="1"/>
      <w:numFmt w:val="decimal"/>
      <w:pStyle w:val="Ttulo4"/>
      <w:suff w:val="space"/>
      <w:lvlText w:val="%1.%2.%3.%4."/>
      <w:lvlJc w:val="left"/>
      <w:pPr>
        <w:ind w:left="1418" w:firstLine="0"/>
      </w:pPr>
      <w:rPr>
        <w:rFonts w:ascii="Verdana" w:hAnsi="Verdana" w:hint="default"/>
        <w:b/>
        <w:i w:val="0"/>
        <w:caps w:val="0"/>
        <w:strike w:val="0"/>
        <w:dstrike w:val="0"/>
        <w:vanish w:val="0"/>
        <w:color w:val="auto"/>
        <w:spacing w:val="0"/>
        <w:w w:val="100"/>
        <w:kern w:val="0"/>
        <w:position w:val="0"/>
        <w:sz w:val="20"/>
        <w:szCs w:val="20"/>
        <w:effect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6257227"/>
    <w:multiLevelType w:val="multilevel"/>
    <w:tmpl w:val="2110E728"/>
    <w:lvl w:ilvl="0">
      <w:start w:val="1"/>
      <w:numFmt w:val="decimal"/>
      <w:pStyle w:val="Textoindependient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9C03A5A"/>
    <w:multiLevelType w:val="hybridMultilevel"/>
    <w:tmpl w:val="B3A09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5284A82"/>
    <w:multiLevelType w:val="hybridMultilevel"/>
    <w:tmpl w:val="72AA6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735009A"/>
    <w:multiLevelType w:val="multilevel"/>
    <w:tmpl w:val="4DB46500"/>
    <w:styleLink w:val="Estilo1"/>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2C4014E"/>
    <w:multiLevelType w:val="hybridMultilevel"/>
    <w:tmpl w:val="8306E35E"/>
    <w:lvl w:ilvl="0" w:tplc="4C9EC29E">
      <w:start w:val="1"/>
      <w:numFmt w:val="lowerLetter"/>
      <w:pStyle w:val="Letras"/>
      <w:lvlText w:val="%1)"/>
      <w:lvlJc w:val="left"/>
      <w:pPr>
        <w:ind w:left="1080" w:hanging="360"/>
      </w:pPr>
      <w:rPr>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598213DE"/>
    <w:multiLevelType w:val="hybridMultilevel"/>
    <w:tmpl w:val="8ED85FA0"/>
    <w:lvl w:ilvl="0" w:tplc="E6DE897A">
      <w:start w:val="1"/>
      <w:numFmt w:val="lowerLetter"/>
      <w:pStyle w:val="brechas"/>
      <w:lvlText w:val="%1.BRECHA"/>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5E6C8E"/>
    <w:multiLevelType w:val="multilevel"/>
    <w:tmpl w:val="F32A21E2"/>
    <w:styleLink w:val="EstiloNumerado"/>
    <w:lvl w:ilvl="0">
      <w:start w:val="1"/>
      <w:numFmt w:val="lowerLetter"/>
      <w:lvlText w:val="%1)"/>
      <w:lvlJc w:val="left"/>
      <w:pPr>
        <w:tabs>
          <w:tab w:val="num" w:pos="495"/>
        </w:tabs>
        <w:ind w:left="495" w:hanging="360"/>
      </w:pPr>
      <w:rPr>
        <w:rFonts w:ascii="Univers" w:hAnsi="Univers" w:cs="Times New Roman"/>
        <w:dstrike w:val="0"/>
        <w:spacing w:val="0"/>
        <w:w w:val="100"/>
        <w:kern w:val="0"/>
        <w:position w:val="0"/>
        <w:sz w:val="22"/>
        <w:szCs w:val="22"/>
        <w:effect w:val="none"/>
        <w:vertAlign w:val="base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5ECE43AC"/>
    <w:multiLevelType w:val="multilevel"/>
    <w:tmpl w:val="6C684566"/>
    <w:styleLink w:val="Estilo2"/>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7656215"/>
    <w:multiLevelType w:val="hybridMultilevel"/>
    <w:tmpl w:val="3AD2EE70"/>
    <w:lvl w:ilvl="0" w:tplc="340A0011">
      <w:start w:val="1"/>
      <w:numFmt w:val="upperLetter"/>
      <w:pStyle w:val="Ttuloanx"/>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23" w15:restartNumberingAfterBreak="0">
    <w:nsid w:val="676675E9"/>
    <w:multiLevelType w:val="hybridMultilevel"/>
    <w:tmpl w:val="6AE0B268"/>
    <w:lvl w:ilvl="0" w:tplc="DD4E868E">
      <w:start w:val="1"/>
      <w:numFmt w:val="decimal"/>
      <w:pStyle w:val="Nmeros"/>
      <w:lvlText w:val="%1."/>
      <w:lvlJc w:val="left"/>
      <w:pPr>
        <w:ind w:left="502" w:hanging="360"/>
      </w:pPr>
      <w:rPr>
        <w:rFonts w:ascii="Calibri" w:hAnsi="Calibri" w:hint="default"/>
        <w:b w:val="0"/>
        <w:i w:val="0"/>
        <w:caps w:val="0"/>
        <w:strike w:val="0"/>
        <w:dstrike w:val="0"/>
        <w:vanish w:val="0"/>
        <w:color w:val="000000"/>
        <w:spacing w:val="0"/>
        <w:w w:val="100"/>
        <w:kern w:val="0"/>
        <w:positio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4" w15:restartNumberingAfterBreak="0">
    <w:nsid w:val="711B73E1"/>
    <w:multiLevelType w:val="hybridMultilevel"/>
    <w:tmpl w:val="599E9C1C"/>
    <w:lvl w:ilvl="0" w:tplc="66C28BAA">
      <w:start w:val="1"/>
      <w:numFmt w:val="lowerLetter"/>
      <w:pStyle w:val="Puesto"/>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5" w15:restartNumberingAfterBreak="0">
    <w:nsid w:val="738760EF"/>
    <w:multiLevelType w:val="multilevel"/>
    <w:tmpl w:val="042C4378"/>
    <w:lvl w:ilvl="0">
      <w:start w:val="1"/>
      <w:numFmt w:val="bullet"/>
      <w:pStyle w:val="Guiones"/>
      <w:lvlText w:val="-"/>
      <w:lvlJc w:val="left"/>
      <w:pPr>
        <w:ind w:left="360" w:hanging="360"/>
      </w:pPr>
      <w:rPr>
        <w:rFonts w:ascii="Calibri" w:hAnsi="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5E77233"/>
    <w:multiLevelType w:val="hybridMultilevel"/>
    <w:tmpl w:val="0F7420F6"/>
    <w:lvl w:ilvl="0" w:tplc="A2FAD6E6">
      <w:start w:val="1"/>
      <w:numFmt w:val="bullet"/>
      <w:pStyle w:val="Vietas"/>
      <w:lvlText w:val=""/>
      <w:lvlJc w:val="left"/>
      <w:pPr>
        <w:ind w:left="720" w:hanging="360"/>
      </w:pPr>
      <w:rPr>
        <w:rFonts w:ascii="Symbol" w:hAnsi="Symbol" w:hint="default"/>
      </w:rPr>
    </w:lvl>
    <w:lvl w:ilvl="1" w:tplc="BEFC5D7A">
      <w:numFmt w:val="bullet"/>
      <w:lvlText w:val="-"/>
      <w:lvlJc w:val="left"/>
      <w:pPr>
        <w:tabs>
          <w:tab w:val="num" w:pos="1440"/>
        </w:tabs>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3"/>
  </w:num>
  <w:num w:numId="4">
    <w:abstractNumId w:val="14"/>
  </w:num>
  <w:num w:numId="5">
    <w:abstractNumId w:val="24"/>
  </w:num>
  <w:num w:numId="6">
    <w:abstractNumId w:val="22"/>
  </w:num>
  <w:num w:numId="7">
    <w:abstractNumId w:val="1"/>
  </w:num>
  <w:num w:numId="8">
    <w:abstractNumId w:val="0"/>
  </w:num>
  <w:num w:numId="9">
    <w:abstractNumId w:val="17"/>
  </w:num>
  <w:num w:numId="10">
    <w:abstractNumId w:val="21"/>
  </w:num>
  <w:num w:numId="11">
    <w:abstractNumId w:val="9"/>
  </w:num>
  <w:num w:numId="12">
    <w:abstractNumId w:val="20"/>
  </w:num>
  <w:num w:numId="13">
    <w:abstractNumId w:val="25"/>
  </w:num>
  <w:num w:numId="14">
    <w:abstractNumId w:val="18"/>
  </w:num>
  <w:num w:numId="15">
    <w:abstractNumId w:val="13"/>
  </w:num>
  <w:num w:numId="16">
    <w:abstractNumId w:val="26"/>
  </w:num>
  <w:num w:numId="17">
    <w:abstractNumId w:val="19"/>
  </w:num>
  <w:num w:numId="18">
    <w:abstractNumId w:val="4"/>
  </w:num>
  <w:num w:numId="19">
    <w:abstractNumId w:val="8"/>
  </w:num>
  <w:num w:numId="20">
    <w:abstractNumId w:val="15"/>
  </w:num>
  <w:num w:numId="21">
    <w:abstractNumId w:val="12"/>
  </w:num>
  <w:num w:numId="22">
    <w:abstractNumId w:val="5"/>
  </w:num>
  <w:num w:numId="23">
    <w:abstractNumId w:val="11"/>
  </w:num>
  <w:num w:numId="24">
    <w:abstractNumId w:val="2"/>
  </w:num>
  <w:num w:numId="25">
    <w:abstractNumId w:val="16"/>
  </w:num>
  <w:num w:numId="26">
    <w:abstractNumId w:val="7"/>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L"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TABLADGA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4F"/>
    <w:rsid w:val="000009C2"/>
    <w:rsid w:val="00000DAB"/>
    <w:rsid w:val="0000129E"/>
    <w:rsid w:val="00001D30"/>
    <w:rsid w:val="0000272A"/>
    <w:rsid w:val="00004616"/>
    <w:rsid w:val="000049C0"/>
    <w:rsid w:val="0000761C"/>
    <w:rsid w:val="0000773B"/>
    <w:rsid w:val="00010AB9"/>
    <w:rsid w:val="00011C20"/>
    <w:rsid w:val="00012630"/>
    <w:rsid w:val="000173E3"/>
    <w:rsid w:val="00020FA0"/>
    <w:rsid w:val="0002177C"/>
    <w:rsid w:val="000238AD"/>
    <w:rsid w:val="0002503D"/>
    <w:rsid w:val="00025E4C"/>
    <w:rsid w:val="0002681C"/>
    <w:rsid w:val="0003043E"/>
    <w:rsid w:val="00030E9C"/>
    <w:rsid w:val="0003186A"/>
    <w:rsid w:val="00032721"/>
    <w:rsid w:val="00032B42"/>
    <w:rsid w:val="0003430A"/>
    <w:rsid w:val="0003545B"/>
    <w:rsid w:val="00043F93"/>
    <w:rsid w:val="00045FE3"/>
    <w:rsid w:val="00046792"/>
    <w:rsid w:val="00054DCA"/>
    <w:rsid w:val="00056721"/>
    <w:rsid w:val="00057026"/>
    <w:rsid w:val="00057D4E"/>
    <w:rsid w:val="00057E76"/>
    <w:rsid w:val="00060F38"/>
    <w:rsid w:val="00061D8B"/>
    <w:rsid w:val="00061F80"/>
    <w:rsid w:val="00062234"/>
    <w:rsid w:val="00063EEC"/>
    <w:rsid w:val="0006498D"/>
    <w:rsid w:val="000652D3"/>
    <w:rsid w:val="00067172"/>
    <w:rsid w:val="00072982"/>
    <w:rsid w:val="00072E2A"/>
    <w:rsid w:val="00072F3D"/>
    <w:rsid w:val="00074155"/>
    <w:rsid w:val="00074891"/>
    <w:rsid w:val="000759C7"/>
    <w:rsid w:val="00075DA8"/>
    <w:rsid w:val="000764B3"/>
    <w:rsid w:val="00076809"/>
    <w:rsid w:val="000776DB"/>
    <w:rsid w:val="00077950"/>
    <w:rsid w:val="00083725"/>
    <w:rsid w:val="00084A5B"/>
    <w:rsid w:val="00087C0B"/>
    <w:rsid w:val="00087EE2"/>
    <w:rsid w:val="00091E6C"/>
    <w:rsid w:val="00092330"/>
    <w:rsid w:val="0009267C"/>
    <w:rsid w:val="00093E36"/>
    <w:rsid w:val="00095000"/>
    <w:rsid w:val="0009561F"/>
    <w:rsid w:val="0009649D"/>
    <w:rsid w:val="00097666"/>
    <w:rsid w:val="000A0535"/>
    <w:rsid w:val="000A3906"/>
    <w:rsid w:val="000A77CB"/>
    <w:rsid w:val="000B08F3"/>
    <w:rsid w:val="000B0CCE"/>
    <w:rsid w:val="000B4687"/>
    <w:rsid w:val="000B5465"/>
    <w:rsid w:val="000C0420"/>
    <w:rsid w:val="000C1291"/>
    <w:rsid w:val="000C3CF3"/>
    <w:rsid w:val="000C48D2"/>
    <w:rsid w:val="000C5C70"/>
    <w:rsid w:val="000C5EAF"/>
    <w:rsid w:val="000C61B1"/>
    <w:rsid w:val="000C6E91"/>
    <w:rsid w:val="000D1C4F"/>
    <w:rsid w:val="000D295C"/>
    <w:rsid w:val="000D434F"/>
    <w:rsid w:val="000D5A0A"/>
    <w:rsid w:val="000D6707"/>
    <w:rsid w:val="000E01FD"/>
    <w:rsid w:val="000E1487"/>
    <w:rsid w:val="000E1B70"/>
    <w:rsid w:val="000E25AB"/>
    <w:rsid w:val="000E2624"/>
    <w:rsid w:val="000E3E30"/>
    <w:rsid w:val="000E56E6"/>
    <w:rsid w:val="000E5B7E"/>
    <w:rsid w:val="000E71B0"/>
    <w:rsid w:val="000F7A85"/>
    <w:rsid w:val="00101D92"/>
    <w:rsid w:val="001049DF"/>
    <w:rsid w:val="001049FE"/>
    <w:rsid w:val="00105BFB"/>
    <w:rsid w:val="00107B48"/>
    <w:rsid w:val="00111807"/>
    <w:rsid w:val="00111FBB"/>
    <w:rsid w:val="0011482D"/>
    <w:rsid w:val="0011747F"/>
    <w:rsid w:val="00117A13"/>
    <w:rsid w:val="00120CE0"/>
    <w:rsid w:val="00121037"/>
    <w:rsid w:val="00121C48"/>
    <w:rsid w:val="0012343A"/>
    <w:rsid w:val="00123800"/>
    <w:rsid w:val="00126560"/>
    <w:rsid w:val="00127E96"/>
    <w:rsid w:val="0013185B"/>
    <w:rsid w:val="00131D31"/>
    <w:rsid w:val="001320F6"/>
    <w:rsid w:val="0013239C"/>
    <w:rsid w:val="00132689"/>
    <w:rsid w:val="001340C7"/>
    <w:rsid w:val="001371A3"/>
    <w:rsid w:val="0014148D"/>
    <w:rsid w:val="00141889"/>
    <w:rsid w:val="00143C4C"/>
    <w:rsid w:val="00146303"/>
    <w:rsid w:val="001542AB"/>
    <w:rsid w:val="00164BB6"/>
    <w:rsid w:val="0016631F"/>
    <w:rsid w:val="00171AC2"/>
    <w:rsid w:val="00172077"/>
    <w:rsid w:val="001749F2"/>
    <w:rsid w:val="00181066"/>
    <w:rsid w:val="00181136"/>
    <w:rsid w:val="00183840"/>
    <w:rsid w:val="00183892"/>
    <w:rsid w:val="00183947"/>
    <w:rsid w:val="00183CE4"/>
    <w:rsid w:val="00184650"/>
    <w:rsid w:val="00184AD7"/>
    <w:rsid w:val="00185A59"/>
    <w:rsid w:val="00185CCF"/>
    <w:rsid w:val="0019026A"/>
    <w:rsid w:val="00190D9F"/>
    <w:rsid w:val="0019177F"/>
    <w:rsid w:val="00192347"/>
    <w:rsid w:val="001926F3"/>
    <w:rsid w:val="00193079"/>
    <w:rsid w:val="00194E78"/>
    <w:rsid w:val="001A05CC"/>
    <w:rsid w:val="001A0972"/>
    <w:rsid w:val="001A10B0"/>
    <w:rsid w:val="001A34C3"/>
    <w:rsid w:val="001A4071"/>
    <w:rsid w:val="001A4F1B"/>
    <w:rsid w:val="001A5708"/>
    <w:rsid w:val="001A577C"/>
    <w:rsid w:val="001B0220"/>
    <w:rsid w:val="001B1407"/>
    <w:rsid w:val="001B2200"/>
    <w:rsid w:val="001B61E1"/>
    <w:rsid w:val="001B63B3"/>
    <w:rsid w:val="001C012A"/>
    <w:rsid w:val="001C0A0B"/>
    <w:rsid w:val="001C2868"/>
    <w:rsid w:val="001C3E1C"/>
    <w:rsid w:val="001C3E7E"/>
    <w:rsid w:val="001C3F1A"/>
    <w:rsid w:val="001C4D95"/>
    <w:rsid w:val="001C594B"/>
    <w:rsid w:val="001C5A62"/>
    <w:rsid w:val="001C64C1"/>
    <w:rsid w:val="001C7691"/>
    <w:rsid w:val="001C7A38"/>
    <w:rsid w:val="001D4D72"/>
    <w:rsid w:val="001D51D2"/>
    <w:rsid w:val="001D529D"/>
    <w:rsid w:val="001D58A0"/>
    <w:rsid w:val="001D6DC9"/>
    <w:rsid w:val="001E1658"/>
    <w:rsid w:val="001E3619"/>
    <w:rsid w:val="001E4CD2"/>
    <w:rsid w:val="001E6061"/>
    <w:rsid w:val="001E614A"/>
    <w:rsid w:val="001E6C8F"/>
    <w:rsid w:val="001E70BA"/>
    <w:rsid w:val="001F244E"/>
    <w:rsid w:val="001F3B5B"/>
    <w:rsid w:val="001F5360"/>
    <w:rsid w:val="001F623C"/>
    <w:rsid w:val="00200D0D"/>
    <w:rsid w:val="00201FA9"/>
    <w:rsid w:val="0020305A"/>
    <w:rsid w:val="00203B52"/>
    <w:rsid w:val="00204ADD"/>
    <w:rsid w:val="00206A79"/>
    <w:rsid w:val="00206E67"/>
    <w:rsid w:val="002101BF"/>
    <w:rsid w:val="002105CA"/>
    <w:rsid w:val="002106F9"/>
    <w:rsid w:val="0021199F"/>
    <w:rsid w:val="00211AA0"/>
    <w:rsid w:val="00213F4B"/>
    <w:rsid w:val="0021407F"/>
    <w:rsid w:val="00214AB1"/>
    <w:rsid w:val="00214F9D"/>
    <w:rsid w:val="00215A11"/>
    <w:rsid w:val="00215A93"/>
    <w:rsid w:val="00216186"/>
    <w:rsid w:val="00217DF1"/>
    <w:rsid w:val="002202D1"/>
    <w:rsid w:val="00220E59"/>
    <w:rsid w:val="00223099"/>
    <w:rsid w:val="002268C3"/>
    <w:rsid w:val="00227A23"/>
    <w:rsid w:val="00227E27"/>
    <w:rsid w:val="00230FAF"/>
    <w:rsid w:val="00235270"/>
    <w:rsid w:val="00235974"/>
    <w:rsid w:val="00236DDA"/>
    <w:rsid w:val="002408AD"/>
    <w:rsid w:val="00240D93"/>
    <w:rsid w:val="00245FEE"/>
    <w:rsid w:val="0025042E"/>
    <w:rsid w:val="0025079B"/>
    <w:rsid w:val="00252ADC"/>
    <w:rsid w:val="00253428"/>
    <w:rsid w:val="00254DB4"/>
    <w:rsid w:val="00256006"/>
    <w:rsid w:val="0025604D"/>
    <w:rsid w:val="00256813"/>
    <w:rsid w:val="00260508"/>
    <w:rsid w:val="00260FA4"/>
    <w:rsid w:val="00261735"/>
    <w:rsid w:val="00264A8A"/>
    <w:rsid w:val="00265ED5"/>
    <w:rsid w:val="002667AA"/>
    <w:rsid w:val="00270111"/>
    <w:rsid w:val="00270B0A"/>
    <w:rsid w:val="00271D0D"/>
    <w:rsid w:val="00272088"/>
    <w:rsid w:val="00272D33"/>
    <w:rsid w:val="0027484F"/>
    <w:rsid w:val="0027700D"/>
    <w:rsid w:val="00277E1F"/>
    <w:rsid w:val="00281591"/>
    <w:rsid w:val="0028180F"/>
    <w:rsid w:val="00286038"/>
    <w:rsid w:val="002860E3"/>
    <w:rsid w:val="002877A8"/>
    <w:rsid w:val="00293448"/>
    <w:rsid w:val="002942CB"/>
    <w:rsid w:val="002959CA"/>
    <w:rsid w:val="002A0185"/>
    <w:rsid w:val="002A019F"/>
    <w:rsid w:val="002A195B"/>
    <w:rsid w:val="002A4B52"/>
    <w:rsid w:val="002A7DE0"/>
    <w:rsid w:val="002B02A4"/>
    <w:rsid w:val="002B036E"/>
    <w:rsid w:val="002B0726"/>
    <w:rsid w:val="002B47F1"/>
    <w:rsid w:val="002B4AAA"/>
    <w:rsid w:val="002B5A4E"/>
    <w:rsid w:val="002C0833"/>
    <w:rsid w:val="002C14B9"/>
    <w:rsid w:val="002C160B"/>
    <w:rsid w:val="002C3FCC"/>
    <w:rsid w:val="002C4FBE"/>
    <w:rsid w:val="002C6E0E"/>
    <w:rsid w:val="002C7F3E"/>
    <w:rsid w:val="002D083F"/>
    <w:rsid w:val="002D16CA"/>
    <w:rsid w:val="002D1832"/>
    <w:rsid w:val="002D3116"/>
    <w:rsid w:val="002D43BE"/>
    <w:rsid w:val="002D48BB"/>
    <w:rsid w:val="002D4F59"/>
    <w:rsid w:val="002D69D4"/>
    <w:rsid w:val="002D6B06"/>
    <w:rsid w:val="002E0985"/>
    <w:rsid w:val="002E0F53"/>
    <w:rsid w:val="002E11E0"/>
    <w:rsid w:val="002E154B"/>
    <w:rsid w:val="002E2D5D"/>
    <w:rsid w:val="002E4045"/>
    <w:rsid w:val="002F1856"/>
    <w:rsid w:val="002F2434"/>
    <w:rsid w:val="002F2D53"/>
    <w:rsid w:val="002F5C3C"/>
    <w:rsid w:val="002F640E"/>
    <w:rsid w:val="002F75D7"/>
    <w:rsid w:val="002F7A6E"/>
    <w:rsid w:val="00301E77"/>
    <w:rsid w:val="00302857"/>
    <w:rsid w:val="0030396F"/>
    <w:rsid w:val="00305F45"/>
    <w:rsid w:val="00305F53"/>
    <w:rsid w:val="0030643D"/>
    <w:rsid w:val="003101F0"/>
    <w:rsid w:val="00312814"/>
    <w:rsid w:val="0031322B"/>
    <w:rsid w:val="00313E80"/>
    <w:rsid w:val="00314608"/>
    <w:rsid w:val="00316218"/>
    <w:rsid w:val="00316FFA"/>
    <w:rsid w:val="003209EB"/>
    <w:rsid w:val="00322951"/>
    <w:rsid w:val="00323C32"/>
    <w:rsid w:val="00323F96"/>
    <w:rsid w:val="00325786"/>
    <w:rsid w:val="00325EE7"/>
    <w:rsid w:val="00327512"/>
    <w:rsid w:val="00330539"/>
    <w:rsid w:val="003306FA"/>
    <w:rsid w:val="0033181B"/>
    <w:rsid w:val="0033256D"/>
    <w:rsid w:val="003349C9"/>
    <w:rsid w:val="00335C9B"/>
    <w:rsid w:val="00337111"/>
    <w:rsid w:val="00341C1A"/>
    <w:rsid w:val="00342097"/>
    <w:rsid w:val="00342874"/>
    <w:rsid w:val="00344D35"/>
    <w:rsid w:val="00346247"/>
    <w:rsid w:val="00350F78"/>
    <w:rsid w:val="00352F60"/>
    <w:rsid w:val="00353CB4"/>
    <w:rsid w:val="003546CF"/>
    <w:rsid w:val="00354EAA"/>
    <w:rsid w:val="00355CC3"/>
    <w:rsid w:val="00356832"/>
    <w:rsid w:val="00356BAD"/>
    <w:rsid w:val="00360A04"/>
    <w:rsid w:val="0036240D"/>
    <w:rsid w:val="003650E6"/>
    <w:rsid w:val="00365126"/>
    <w:rsid w:val="003676E1"/>
    <w:rsid w:val="00367C47"/>
    <w:rsid w:val="0037075A"/>
    <w:rsid w:val="00372A8B"/>
    <w:rsid w:val="00372C41"/>
    <w:rsid w:val="003735CB"/>
    <w:rsid w:val="00374589"/>
    <w:rsid w:val="00376692"/>
    <w:rsid w:val="0038291B"/>
    <w:rsid w:val="003837DC"/>
    <w:rsid w:val="003841F2"/>
    <w:rsid w:val="00385F5F"/>
    <w:rsid w:val="00387F4B"/>
    <w:rsid w:val="00387FE8"/>
    <w:rsid w:val="0039121F"/>
    <w:rsid w:val="00391FEA"/>
    <w:rsid w:val="00393427"/>
    <w:rsid w:val="00393CCB"/>
    <w:rsid w:val="00394487"/>
    <w:rsid w:val="00395C16"/>
    <w:rsid w:val="00395D7F"/>
    <w:rsid w:val="003967A9"/>
    <w:rsid w:val="00397175"/>
    <w:rsid w:val="003A1977"/>
    <w:rsid w:val="003A28C4"/>
    <w:rsid w:val="003A2F2D"/>
    <w:rsid w:val="003A304F"/>
    <w:rsid w:val="003A3459"/>
    <w:rsid w:val="003A522B"/>
    <w:rsid w:val="003A5EAD"/>
    <w:rsid w:val="003A71EA"/>
    <w:rsid w:val="003A73CE"/>
    <w:rsid w:val="003A7C8A"/>
    <w:rsid w:val="003B3486"/>
    <w:rsid w:val="003B3675"/>
    <w:rsid w:val="003B6AEA"/>
    <w:rsid w:val="003C2E07"/>
    <w:rsid w:val="003C47D1"/>
    <w:rsid w:val="003C6321"/>
    <w:rsid w:val="003C672E"/>
    <w:rsid w:val="003D036A"/>
    <w:rsid w:val="003D0525"/>
    <w:rsid w:val="003D1BDB"/>
    <w:rsid w:val="003D26CD"/>
    <w:rsid w:val="003D26D5"/>
    <w:rsid w:val="003D2807"/>
    <w:rsid w:val="003D6DE5"/>
    <w:rsid w:val="003D6F50"/>
    <w:rsid w:val="003D7557"/>
    <w:rsid w:val="003D75A9"/>
    <w:rsid w:val="003D7FEB"/>
    <w:rsid w:val="003E024B"/>
    <w:rsid w:val="003E08C2"/>
    <w:rsid w:val="003E2623"/>
    <w:rsid w:val="003E2A9C"/>
    <w:rsid w:val="003E3898"/>
    <w:rsid w:val="003E3A9A"/>
    <w:rsid w:val="003E4D32"/>
    <w:rsid w:val="003E538E"/>
    <w:rsid w:val="003E65E3"/>
    <w:rsid w:val="003E6A16"/>
    <w:rsid w:val="003F0E66"/>
    <w:rsid w:val="003F2289"/>
    <w:rsid w:val="003F36AF"/>
    <w:rsid w:val="003F39D1"/>
    <w:rsid w:val="003F4692"/>
    <w:rsid w:val="003F5B97"/>
    <w:rsid w:val="003F6DD0"/>
    <w:rsid w:val="00401368"/>
    <w:rsid w:val="0040176A"/>
    <w:rsid w:val="00404D86"/>
    <w:rsid w:val="004057A7"/>
    <w:rsid w:val="00407C70"/>
    <w:rsid w:val="00410FFB"/>
    <w:rsid w:val="0041371E"/>
    <w:rsid w:val="00414557"/>
    <w:rsid w:val="004153D4"/>
    <w:rsid w:val="00416C51"/>
    <w:rsid w:val="0042020F"/>
    <w:rsid w:val="00420844"/>
    <w:rsid w:val="00421363"/>
    <w:rsid w:val="004220C4"/>
    <w:rsid w:val="00422C5D"/>
    <w:rsid w:val="00423FA4"/>
    <w:rsid w:val="004260E9"/>
    <w:rsid w:val="0043597F"/>
    <w:rsid w:val="0043671B"/>
    <w:rsid w:val="00437550"/>
    <w:rsid w:val="00437D46"/>
    <w:rsid w:val="00440FDB"/>
    <w:rsid w:val="00442014"/>
    <w:rsid w:val="0044279F"/>
    <w:rsid w:val="0044349E"/>
    <w:rsid w:val="00445485"/>
    <w:rsid w:val="004459AD"/>
    <w:rsid w:val="00445C66"/>
    <w:rsid w:val="00452C3D"/>
    <w:rsid w:val="0045398C"/>
    <w:rsid w:val="00454210"/>
    <w:rsid w:val="00455281"/>
    <w:rsid w:val="004558CA"/>
    <w:rsid w:val="00455AB4"/>
    <w:rsid w:val="0045698D"/>
    <w:rsid w:val="00456D31"/>
    <w:rsid w:val="00457C22"/>
    <w:rsid w:val="00457EA7"/>
    <w:rsid w:val="004612F8"/>
    <w:rsid w:val="00463A60"/>
    <w:rsid w:val="0046681B"/>
    <w:rsid w:val="00467B16"/>
    <w:rsid w:val="00467F38"/>
    <w:rsid w:val="00470616"/>
    <w:rsid w:val="004710E5"/>
    <w:rsid w:val="004723B6"/>
    <w:rsid w:val="00473066"/>
    <w:rsid w:val="0047550E"/>
    <w:rsid w:val="0047621C"/>
    <w:rsid w:val="00476323"/>
    <w:rsid w:val="004776E9"/>
    <w:rsid w:val="0048609B"/>
    <w:rsid w:val="00487BEB"/>
    <w:rsid w:val="00487F43"/>
    <w:rsid w:val="00493E9D"/>
    <w:rsid w:val="004943A0"/>
    <w:rsid w:val="00495D4A"/>
    <w:rsid w:val="00496FDC"/>
    <w:rsid w:val="004A08FA"/>
    <w:rsid w:val="004A15C9"/>
    <w:rsid w:val="004A271F"/>
    <w:rsid w:val="004A3770"/>
    <w:rsid w:val="004A5155"/>
    <w:rsid w:val="004B1BE2"/>
    <w:rsid w:val="004B1C3D"/>
    <w:rsid w:val="004B2F15"/>
    <w:rsid w:val="004B5857"/>
    <w:rsid w:val="004B612A"/>
    <w:rsid w:val="004C0134"/>
    <w:rsid w:val="004C14E0"/>
    <w:rsid w:val="004C18F4"/>
    <w:rsid w:val="004C44BA"/>
    <w:rsid w:val="004C628D"/>
    <w:rsid w:val="004C69E5"/>
    <w:rsid w:val="004D0CDD"/>
    <w:rsid w:val="004D0F8B"/>
    <w:rsid w:val="004D2115"/>
    <w:rsid w:val="004D3AE0"/>
    <w:rsid w:val="004D602B"/>
    <w:rsid w:val="004D7AFE"/>
    <w:rsid w:val="004E057C"/>
    <w:rsid w:val="004E09A7"/>
    <w:rsid w:val="004E117F"/>
    <w:rsid w:val="004E2DE4"/>
    <w:rsid w:val="004E31C9"/>
    <w:rsid w:val="004E5769"/>
    <w:rsid w:val="004E5EA0"/>
    <w:rsid w:val="004E6585"/>
    <w:rsid w:val="004E71EA"/>
    <w:rsid w:val="004E7B0A"/>
    <w:rsid w:val="004E7F8E"/>
    <w:rsid w:val="004E7FA7"/>
    <w:rsid w:val="004F10DD"/>
    <w:rsid w:val="004F1F89"/>
    <w:rsid w:val="004F2625"/>
    <w:rsid w:val="004F4F9E"/>
    <w:rsid w:val="004F5D6E"/>
    <w:rsid w:val="004F7BD3"/>
    <w:rsid w:val="00501739"/>
    <w:rsid w:val="00501F03"/>
    <w:rsid w:val="00502EAA"/>
    <w:rsid w:val="00503E8A"/>
    <w:rsid w:val="005045D7"/>
    <w:rsid w:val="005059CE"/>
    <w:rsid w:val="00505BD6"/>
    <w:rsid w:val="00510662"/>
    <w:rsid w:val="005109E1"/>
    <w:rsid w:val="005150AC"/>
    <w:rsid w:val="00515B01"/>
    <w:rsid w:val="00516010"/>
    <w:rsid w:val="005202BA"/>
    <w:rsid w:val="005206B8"/>
    <w:rsid w:val="005260E3"/>
    <w:rsid w:val="005264A9"/>
    <w:rsid w:val="005264B4"/>
    <w:rsid w:val="0052739B"/>
    <w:rsid w:val="00530685"/>
    <w:rsid w:val="00531650"/>
    <w:rsid w:val="005324C1"/>
    <w:rsid w:val="00533605"/>
    <w:rsid w:val="00533969"/>
    <w:rsid w:val="005360E7"/>
    <w:rsid w:val="00536BFA"/>
    <w:rsid w:val="00536DF9"/>
    <w:rsid w:val="005406D0"/>
    <w:rsid w:val="00540FDE"/>
    <w:rsid w:val="005414D1"/>
    <w:rsid w:val="005414FD"/>
    <w:rsid w:val="0054162B"/>
    <w:rsid w:val="00543B2F"/>
    <w:rsid w:val="00544B2F"/>
    <w:rsid w:val="00545910"/>
    <w:rsid w:val="00545D79"/>
    <w:rsid w:val="00546EE8"/>
    <w:rsid w:val="0054742B"/>
    <w:rsid w:val="0055051B"/>
    <w:rsid w:val="005507A4"/>
    <w:rsid w:val="00550899"/>
    <w:rsid w:val="00551BE4"/>
    <w:rsid w:val="00556420"/>
    <w:rsid w:val="00560307"/>
    <w:rsid w:val="00560BD3"/>
    <w:rsid w:val="0056191B"/>
    <w:rsid w:val="00561B2A"/>
    <w:rsid w:val="00561E88"/>
    <w:rsid w:val="00562433"/>
    <w:rsid w:val="00562436"/>
    <w:rsid w:val="00562FA0"/>
    <w:rsid w:val="00563AEF"/>
    <w:rsid w:val="00564B93"/>
    <w:rsid w:val="00566CD6"/>
    <w:rsid w:val="005742D8"/>
    <w:rsid w:val="00580BEE"/>
    <w:rsid w:val="00581334"/>
    <w:rsid w:val="00582320"/>
    <w:rsid w:val="00582F03"/>
    <w:rsid w:val="00582FCA"/>
    <w:rsid w:val="0058471E"/>
    <w:rsid w:val="00586D64"/>
    <w:rsid w:val="005919CA"/>
    <w:rsid w:val="00596C43"/>
    <w:rsid w:val="00597CF6"/>
    <w:rsid w:val="005A1919"/>
    <w:rsid w:val="005A5C84"/>
    <w:rsid w:val="005A6136"/>
    <w:rsid w:val="005A6871"/>
    <w:rsid w:val="005A7721"/>
    <w:rsid w:val="005B0802"/>
    <w:rsid w:val="005B082D"/>
    <w:rsid w:val="005B1D06"/>
    <w:rsid w:val="005B2CBD"/>
    <w:rsid w:val="005B531D"/>
    <w:rsid w:val="005C241A"/>
    <w:rsid w:val="005C6768"/>
    <w:rsid w:val="005C6B6A"/>
    <w:rsid w:val="005C7A6A"/>
    <w:rsid w:val="005D2BAC"/>
    <w:rsid w:val="005D2E01"/>
    <w:rsid w:val="005D3E04"/>
    <w:rsid w:val="005D55CF"/>
    <w:rsid w:val="005D6C77"/>
    <w:rsid w:val="005D715F"/>
    <w:rsid w:val="005D7702"/>
    <w:rsid w:val="005D7E30"/>
    <w:rsid w:val="005E0231"/>
    <w:rsid w:val="005E4CFF"/>
    <w:rsid w:val="005E5329"/>
    <w:rsid w:val="005E72B4"/>
    <w:rsid w:val="005F1B16"/>
    <w:rsid w:val="005F277B"/>
    <w:rsid w:val="005F63D2"/>
    <w:rsid w:val="005F6D95"/>
    <w:rsid w:val="005F70DA"/>
    <w:rsid w:val="00600297"/>
    <w:rsid w:val="00601EA6"/>
    <w:rsid w:val="00605F0B"/>
    <w:rsid w:val="00611A87"/>
    <w:rsid w:val="00613F01"/>
    <w:rsid w:val="00614B18"/>
    <w:rsid w:val="00614C5D"/>
    <w:rsid w:val="00615463"/>
    <w:rsid w:val="006168E6"/>
    <w:rsid w:val="0061735E"/>
    <w:rsid w:val="00620A95"/>
    <w:rsid w:val="00620FAA"/>
    <w:rsid w:val="0062158D"/>
    <w:rsid w:val="00626318"/>
    <w:rsid w:val="00626E32"/>
    <w:rsid w:val="00630653"/>
    <w:rsid w:val="006308D6"/>
    <w:rsid w:val="00631FEA"/>
    <w:rsid w:val="00632588"/>
    <w:rsid w:val="0063418E"/>
    <w:rsid w:val="00635422"/>
    <w:rsid w:val="00635CCF"/>
    <w:rsid w:val="00635E9A"/>
    <w:rsid w:val="006374E6"/>
    <w:rsid w:val="00640AE6"/>
    <w:rsid w:val="00640D15"/>
    <w:rsid w:val="0064213F"/>
    <w:rsid w:val="00642278"/>
    <w:rsid w:val="00642B30"/>
    <w:rsid w:val="006435C3"/>
    <w:rsid w:val="00643750"/>
    <w:rsid w:val="00644EC5"/>
    <w:rsid w:val="00644EDF"/>
    <w:rsid w:val="00645656"/>
    <w:rsid w:val="0064644B"/>
    <w:rsid w:val="00646972"/>
    <w:rsid w:val="00651BA3"/>
    <w:rsid w:val="00652071"/>
    <w:rsid w:val="00652DD6"/>
    <w:rsid w:val="00652ED4"/>
    <w:rsid w:val="00652EE8"/>
    <w:rsid w:val="006539B4"/>
    <w:rsid w:val="00654F6E"/>
    <w:rsid w:val="0065575D"/>
    <w:rsid w:val="006602A8"/>
    <w:rsid w:val="0066046B"/>
    <w:rsid w:val="00661503"/>
    <w:rsid w:val="006637B1"/>
    <w:rsid w:val="00663C8B"/>
    <w:rsid w:val="00664D38"/>
    <w:rsid w:val="00665C58"/>
    <w:rsid w:val="00666A64"/>
    <w:rsid w:val="006675E9"/>
    <w:rsid w:val="00672490"/>
    <w:rsid w:val="00675245"/>
    <w:rsid w:val="00675EC3"/>
    <w:rsid w:val="006765CE"/>
    <w:rsid w:val="00676CF1"/>
    <w:rsid w:val="00677743"/>
    <w:rsid w:val="00680050"/>
    <w:rsid w:val="006810D3"/>
    <w:rsid w:val="00681402"/>
    <w:rsid w:val="0068155D"/>
    <w:rsid w:val="0068194C"/>
    <w:rsid w:val="00681D2E"/>
    <w:rsid w:val="00682297"/>
    <w:rsid w:val="0068369E"/>
    <w:rsid w:val="0068444B"/>
    <w:rsid w:val="00685999"/>
    <w:rsid w:val="006859E9"/>
    <w:rsid w:val="006903D4"/>
    <w:rsid w:val="00692713"/>
    <w:rsid w:val="0069328C"/>
    <w:rsid w:val="006938BA"/>
    <w:rsid w:val="00693CDD"/>
    <w:rsid w:val="00693DCA"/>
    <w:rsid w:val="00695CD7"/>
    <w:rsid w:val="006A002E"/>
    <w:rsid w:val="006A0869"/>
    <w:rsid w:val="006A1ACD"/>
    <w:rsid w:val="006A1DFB"/>
    <w:rsid w:val="006A3B77"/>
    <w:rsid w:val="006A438E"/>
    <w:rsid w:val="006A43CC"/>
    <w:rsid w:val="006A688B"/>
    <w:rsid w:val="006A6F14"/>
    <w:rsid w:val="006B07A1"/>
    <w:rsid w:val="006B0834"/>
    <w:rsid w:val="006B0C56"/>
    <w:rsid w:val="006B2C04"/>
    <w:rsid w:val="006B5E60"/>
    <w:rsid w:val="006C0456"/>
    <w:rsid w:val="006C05CF"/>
    <w:rsid w:val="006C2194"/>
    <w:rsid w:val="006C7C81"/>
    <w:rsid w:val="006D1EA8"/>
    <w:rsid w:val="006D7C1D"/>
    <w:rsid w:val="006E26AD"/>
    <w:rsid w:val="006E2A0B"/>
    <w:rsid w:val="006E33B2"/>
    <w:rsid w:val="006E3A7D"/>
    <w:rsid w:val="006E6159"/>
    <w:rsid w:val="006E65D3"/>
    <w:rsid w:val="006F059E"/>
    <w:rsid w:val="006F100C"/>
    <w:rsid w:val="006F2F90"/>
    <w:rsid w:val="006F3BC6"/>
    <w:rsid w:val="006F3CC2"/>
    <w:rsid w:val="006F49E7"/>
    <w:rsid w:val="006F5014"/>
    <w:rsid w:val="006F6209"/>
    <w:rsid w:val="006F777F"/>
    <w:rsid w:val="007034F2"/>
    <w:rsid w:val="00704979"/>
    <w:rsid w:val="0070628C"/>
    <w:rsid w:val="0070732D"/>
    <w:rsid w:val="007107D3"/>
    <w:rsid w:val="00711830"/>
    <w:rsid w:val="007216D4"/>
    <w:rsid w:val="007229D7"/>
    <w:rsid w:val="00723C6D"/>
    <w:rsid w:val="007241EF"/>
    <w:rsid w:val="00725401"/>
    <w:rsid w:val="00725609"/>
    <w:rsid w:val="0072718B"/>
    <w:rsid w:val="007273F3"/>
    <w:rsid w:val="00731D84"/>
    <w:rsid w:val="00733147"/>
    <w:rsid w:val="00734F40"/>
    <w:rsid w:val="007361EC"/>
    <w:rsid w:val="0073645A"/>
    <w:rsid w:val="00740901"/>
    <w:rsid w:val="00741766"/>
    <w:rsid w:val="00742985"/>
    <w:rsid w:val="00742DF8"/>
    <w:rsid w:val="007436EE"/>
    <w:rsid w:val="00744407"/>
    <w:rsid w:val="00744B78"/>
    <w:rsid w:val="00746962"/>
    <w:rsid w:val="00755409"/>
    <w:rsid w:val="007560AB"/>
    <w:rsid w:val="007608A2"/>
    <w:rsid w:val="0076201E"/>
    <w:rsid w:val="00762712"/>
    <w:rsid w:val="0076298A"/>
    <w:rsid w:val="00762A70"/>
    <w:rsid w:val="00763C4F"/>
    <w:rsid w:val="00764616"/>
    <w:rsid w:val="00764DE4"/>
    <w:rsid w:val="00765273"/>
    <w:rsid w:val="00765A1F"/>
    <w:rsid w:val="00765F79"/>
    <w:rsid w:val="007709B7"/>
    <w:rsid w:val="00770C70"/>
    <w:rsid w:val="00774069"/>
    <w:rsid w:val="00774A10"/>
    <w:rsid w:val="00780DA0"/>
    <w:rsid w:val="0078189C"/>
    <w:rsid w:val="00784490"/>
    <w:rsid w:val="00784CF2"/>
    <w:rsid w:val="00785DFE"/>
    <w:rsid w:val="007873E8"/>
    <w:rsid w:val="00787A84"/>
    <w:rsid w:val="007906ED"/>
    <w:rsid w:val="00790A78"/>
    <w:rsid w:val="00790B9B"/>
    <w:rsid w:val="0079170F"/>
    <w:rsid w:val="0079455E"/>
    <w:rsid w:val="007956CD"/>
    <w:rsid w:val="007A0A9A"/>
    <w:rsid w:val="007A0C92"/>
    <w:rsid w:val="007A14E0"/>
    <w:rsid w:val="007A3540"/>
    <w:rsid w:val="007A3CF5"/>
    <w:rsid w:val="007A424C"/>
    <w:rsid w:val="007A4E3D"/>
    <w:rsid w:val="007A5177"/>
    <w:rsid w:val="007A557F"/>
    <w:rsid w:val="007A591E"/>
    <w:rsid w:val="007A597B"/>
    <w:rsid w:val="007A7886"/>
    <w:rsid w:val="007A7DF9"/>
    <w:rsid w:val="007B15D1"/>
    <w:rsid w:val="007B223C"/>
    <w:rsid w:val="007B2623"/>
    <w:rsid w:val="007B2EA5"/>
    <w:rsid w:val="007B2F68"/>
    <w:rsid w:val="007B4B00"/>
    <w:rsid w:val="007B4B63"/>
    <w:rsid w:val="007B599A"/>
    <w:rsid w:val="007B67E6"/>
    <w:rsid w:val="007B6DCF"/>
    <w:rsid w:val="007C10E8"/>
    <w:rsid w:val="007C16E6"/>
    <w:rsid w:val="007C4286"/>
    <w:rsid w:val="007C4EEC"/>
    <w:rsid w:val="007C6D7B"/>
    <w:rsid w:val="007C71E9"/>
    <w:rsid w:val="007D0567"/>
    <w:rsid w:val="007D4600"/>
    <w:rsid w:val="007D68E2"/>
    <w:rsid w:val="007E06E6"/>
    <w:rsid w:val="007E3448"/>
    <w:rsid w:val="007E3885"/>
    <w:rsid w:val="007E498F"/>
    <w:rsid w:val="007E6306"/>
    <w:rsid w:val="007E7824"/>
    <w:rsid w:val="007E7829"/>
    <w:rsid w:val="007F154A"/>
    <w:rsid w:val="007F19FC"/>
    <w:rsid w:val="007F444D"/>
    <w:rsid w:val="007F57EC"/>
    <w:rsid w:val="007F5E6F"/>
    <w:rsid w:val="00800671"/>
    <w:rsid w:val="00801163"/>
    <w:rsid w:val="00802881"/>
    <w:rsid w:val="00802882"/>
    <w:rsid w:val="00804F78"/>
    <w:rsid w:val="00804F92"/>
    <w:rsid w:val="00805164"/>
    <w:rsid w:val="00805387"/>
    <w:rsid w:val="008053B4"/>
    <w:rsid w:val="00805BE6"/>
    <w:rsid w:val="00806A31"/>
    <w:rsid w:val="00810D12"/>
    <w:rsid w:val="00811404"/>
    <w:rsid w:val="00811F4C"/>
    <w:rsid w:val="00812052"/>
    <w:rsid w:val="00814E13"/>
    <w:rsid w:val="008151BA"/>
    <w:rsid w:val="00821002"/>
    <w:rsid w:val="0082184D"/>
    <w:rsid w:val="00823013"/>
    <w:rsid w:val="00823807"/>
    <w:rsid w:val="00826634"/>
    <w:rsid w:val="00826B94"/>
    <w:rsid w:val="008304A6"/>
    <w:rsid w:val="00830D67"/>
    <w:rsid w:val="00830F51"/>
    <w:rsid w:val="00831027"/>
    <w:rsid w:val="00831846"/>
    <w:rsid w:val="00831A3E"/>
    <w:rsid w:val="00831ED7"/>
    <w:rsid w:val="008350FF"/>
    <w:rsid w:val="008370F6"/>
    <w:rsid w:val="0083726E"/>
    <w:rsid w:val="008417CA"/>
    <w:rsid w:val="00841821"/>
    <w:rsid w:val="00842F70"/>
    <w:rsid w:val="0084571E"/>
    <w:rsid w:val="00847251"/>
    <w:rsid w:val="0084773E"/>
    <w:rsid w:val="00851678"/>
    <w:rsid w:val="00856044"/>
    <w:rsid w:val="00861BC6"/>
    <w:rsid w:val="00862583"/>
    <w:rsid w:val="00867ACB"/>
    <w:rsid w:val="00871366"/>
    <w:rsid w:val="0087207D"/>
    <w:rsid w:val="00872D01"/>
    <w:rsid w:val="00876041"/>
    <w:rsid w:val="00876F48"/>
    <w:rsid w:val="00877747"/>
    <w:rsid w:val="00881B13"/>
    <w:rsid w:val="00882133"/>
    <w:rsid w:val="00883DE1"/>
    <w:rsid w:val="00885961"/>
    <w:rsid w:val="00887321"/>
    <w:rsid w:val="00890762"/>
    <w:rsid w:val="00890A0C"/>
    <w:rsid w:val="0089124B"/>
    <w:rsid w:val="0089349B"/>
    <w:rsid w:val="0089380D"/>
    <w:rsid w:val="00893933"/>
    <w:rsid w:val="00893DD3"/>
    <w:rsid w:val="00895708"/>
    <w:rsid w:val="00896D3C"/>
    <w:rsid w:val="008A1AED"/>
    <w:rsid w:val="008A1C07"/>
    <w:rsid w:val="008A43CE"/>
    <w:rsid w:val="008A649C"/>
    <w:rsid w:val="008B2CA2"/>
    <w:rsid w:val="008B3129"/>
    <w:rsid w:val="008B4A6D"/>
    <w:rsid w:val="008B4CCF"/>
    <w:rsid w:val="008B5439"/>
    <w:rsid w:val="008B5E3C"/>
    <w:rsid w:val="008B5F55"/>
    <w:rsid w:val="008B79DF"/>
    <w:rsid w:val="008C0C79"/>
    <w:rsid w:val="008C0DC3"/>
    <w:rsid w:val="008C5A32"/>
    <w:rsid w:val="008C6098"/>
    <w:rsid w:val="008D1102"/>
    <w:rsid w:val="008D119A"/>
    <w:rsid w:val="008D18E4"/>
    <w:rsid w:val="008D3925"/>
    <w:rsid w:val="008D3D77"/>
    <w:rsid w:val="008D5908"/>
    <w:rsid w:val="008D6A89"/>
    <w:rsid w:val="008E1AA1"/>
    <w:rsid w:val="008E1CD8"/>
    <w:rsid w:val="008E439A"/>
    <w:rsid w:val="008E4AEF"/>
    <w:rsid w:val="008E4E37"/>
    <w:rsid w:val="008E4F79"/>
    <w:rsid w:val="008E4F85"/>
    <w:rsid w:val="008E5E8C"/>
    <w:rsid w:val="008E6BDE"/>
    <w:rsid w:val="008E7EE6"/>
    <w:rsid w:val="008F00B6"/>
    <w:rsid w:val="008F4BF2"/>
    <w:rsid w:val="008F50AE"/>
    <w:rsid w:val="008F594D"/>
    <w:rsid w:val="008F5CB1"/>
    <w:rsid w:val="008F5DA3"/>
    <w:rsid w:val="008F63AA"/>
    <w:rsid w:val="00900EDC"/>
    <w:rsid w:val="00902E38"/>
    <w:rsid w:val="00903131"/>
    <w:rsid w:val="0090350F"/>
    <w:rsid w:val="00904A49"/>
    <w:rsid w:val="00904D3C"/>
    <w:rsid w:val="009057A2"/>
    <w:rsid w:val="00907785"/>
    <w:rsid w:val="009110D2"/>
    <w:rsid w:val="00913A6C"/>
    <w:rsid w:val="00913BC7"/>
    <w:rsid w:val="00915296"/>
    <w:rsid w:val="009164AA"/>
    <w:rsid w:val="0091782E"/>
    <w:rsid w:val="00922B9B"/>
    <w:rsid w:val="00925A6A"/>
    <w:rsid w:val="00925AEC"/>
    <w:rsid w:val="00930555"/>
    <w:rsid w:val="00930A00"/>
    <w:rsid w:val="0093313E"/>
    <w:rsid w:val="0093396C"/>
    <w:rsid w:val="009377D4"/>
    <w:rsid w:val="00937993"/>
    <w:rsid w:val="00940270"/>
    <w:rsid w:val="009408DD"/>
    <w:rsid w:val="00941A58"/>
    <w:rsid w:val="00941ECE"/>
    <w:rsid w:val="00942DB9"/>
    <w:rsid w:val="00943936"/>
    <w:rsid w:val="00943C87"/>
    <w:rsid w:val="0094497C"/>
    <w:rsid w:val="00944E6C"/>
    <w:rsid w:val="00945669"/>
    <w:rsid w:val="00946241"/>
    <w:rsid w:val="00946CBD"/>
    <w:rsid w:val="0094761B"/>
    <w:rsid w:val="00947AEB"/>
    <w:rsid w:val="00951C4A"/>
    <w:rsid w:val="00951E09"/>
    <w:rsid w:val="0095236C"/>
    <w:rsid w:val="00952602"/>
    <w:rsid w:val="0095350D"/>
    <w:rsid w:val="009553C5"/>
    <w:rsid w:val="00955EAD"/>
    <w:rsid w:val="0096000A"/>
    <w:rsid w:val="00960097"/>
    <w:rsid w:val="00961009"/>
    <w:rsid w:val="00961933"/>
    <w:rsid w:val="0096235E"/>
    <w:rsid w:val="00963E9B"/>
    <w:rsid w:val="0096524C"/>
    <w:rsid w:val="0096554D"/>
    <w:rsid w:val="009655A4"/>
    <w:rsid w:val="0096624A"/>
    <w:rsid w:val="00966874"/>
    <w:rsid w:val="009675CE"/>
    <w:rsid w:val="0097016B"/>
    <w:rsid w:val="009710A4"/>
    <w:rsid w:val="0097158C"/>
    <w:rsid w:val="009728F5"/>
    <w:rsid w:val="00972DE5"/>
    <w:rsid w:val="00975C75"/>
    <w:rsid w:val="0098040F"/>
    <w:rsid w:val="00981173"/>
    <w:rsid w:val="00985127"/>
    <w:rsid w:val="00985ED5"/>
    <w:rsid w:val="00991357"/>
    <w:rsid w:val="00991464"/>
    <w:rsid w:val="00991B9C"/>
    <w:rsid w:val="00991EF5"/>
    <w:rsid w:val="009934A3"/>
    <w:rsid w:val="00995AE0"/>
    <w:rsid w:val="00995D6D"/>
    <w:rsid w:val="00996033"/>
    <w:rsid w:val="0099761D"/>
    <w:rsid w:val="009A0437"/>
    <w:rsid w:val="009A0DCE"/>
    <w:rsid w:val="009A0E0F"/>
    <w:rsid w:val="009A116A"/>
    <w:rsid w:val="009A67A4"/>
    <w:rsid w:val="009B35DE"/>
    <w:rsid w:val="009B4130"/>
    <w:rsid w:val="009B4D37"/>
    <w:rsid w:val="009B54A2"/>
    <w:rsid w:val="009B718A"/>
    <w:rsid w:val="009B77A8"/>
    <w:rsid w:val="009C004D"/>
    <w:rsid w:val="009C0BA7"/>
    <w:rsid w:val="009C0BA8"/>
    <w:rsid w:val="009C13B9"/>
    <w:rsid w:val="009C2490"/>
    <w:rsid w:val="009C3290"/>
    <w:rsid w:val="009C41C3"/>
    <w:rsid w:val="009C41D6"/>
    <w:rsid w:val="009C479E"/>
    <w:rsid w:val="009C709A"/>
    <w:rsid w:val="009D0091"/>
    <w:rsid w:val="009D10E3"/>
    <w:rsid w:val="009D13B1"/>
    <w:rsid w:val="009D15F6"/>
    <w:rsid w:val="009D290F"/>
    <w:rsid w:val="009D31B6"/>
    <w:rsid w:val="009D3A7F"/>
    <w:rsid w:val="009D6523"/>
    <w:rsid w:val="009D6A5C"/>
    <w:rsid w:val="009E097E"/>
    <w:rsid w:val="009E1AFA"/>
    <w:rsid w:val="009E1FF6"/>
    <w:rsid w:val="009E4A96"/>
    <w:rsid w:val="009E50AD"/>
    <w:rsid w:val="009E5498"/>
    <w:rsid w:val="009E56C4"/>
    <w:rsid w:val="009E5BD5"/>
    <w:rsid w:val="009E5CAE"/>
    <w:rsid w:val="009E6253"/>
    <w:rsid w:val="009E6D0C"/>
    <w:rsid w:val="009F0666"/>
    <w:rsid w:val="009F7196"/>
    <w:rsid w:val="00A00094"/>
    <w:rsid w:val="00A00A00"/>
    <w:rsid w:val="00A01DCF"/>
    <w:rsid w:val="00A02257"/>
    <w:rsid w:val="00A024F7"/>
    <w:rsid w:val="00A02A72"/>
    <w:rsid w:val="00A03649"/>
    <w:rsid w:val="00A05B82"/>
    <w:rsid w:val="00A05C00"/>
    <w:rsid w:val="00A0646E"/>
    <w:rsid w:val="00A06DC6"/>
    <w:rsid w:val="00A07E2B"/>
    <w:rsid w:val="00A10F93"/>
    <w:rsid w:val="00A11044"/>
    <w:rsid w:val="00A12258"/>
    <w:rsid w:val="00A14B81"/>
    <w:rsid w:val="00A15B35"/>
    <w:rsid w:val="00A15D0E"/>
    <w:rsid w:val="00A170F7"/>
    <w:rsid w:val="00A17974"/>
    <w:rsid w:val="00A17B15"/>
    <w:rsid w:val="00A20AD0"/>
    <w:rsid w:val="00A20FDD"/>
    <w:rsid w:val="00A21865"/>
    <w:rsid w:val="00A22962"/>
    <w:rsid w:val="00A23DC0"/>
    <w:rsid w:val="00A25718"/>
    <w:rsid w:val="00A25A20"/>
    <w:rsid w:val="00A2612C"/>
    <w:rsid w:val="00A26391"/>
    <w:rsid w:val="00A30DE2"/>
    <w:rsid w:val="00A33EDE"/>
    <w:rsid w:val="00A35107"/>
    <w:rsid w:val="00A35F39"/>
    <w:rsid w:val="00A36510"/>
    <w:rsid w:val="00A36CAA"/>
    <w:rsid w:val="00A401BE"/>
    <w:rsid w:val="00A401DF"/>
    <w:rsid w:val="00A40225"/>
    <w:rsid w:val="00A41862"/>
    <w:rsid w:val="00A4234E"/>
    <w:rsid w:val="00A42AE9"/>
    <w:rsid w:val="00A431FC"/>
    <w:rsid w:val="00A467EC"/>
    <w:rsid w:val="00A477A6"/>
    <w:rsid w:val="00A504FB"/>
    <w:rsid w:val="00A51E04"/>
    <w:rsid w:val="00A52E1C"/>
    <w:rsid w:val="00A54847"/>
    <w:rsid w:val="00A54D5D"/>
    <w:rsid w:val="00A55194"/>
    <w:rsid w:val="00A56BAB"/>
    <w:rsid w:val="00A60E36"/>
    <w:rsid w:val="00A610D0"/>
    <w:rsid w:val="00A614D4"/>
    <w:rsid w:val="00A620A2"/>
    <w:rsid w:val="00A62425"/>
    <w:rsid w:val="00A62ED2"/>
    <w:rsid w:val="00A633CD"/>
    <w:rsid w:val="00A650F5"/>
    <w:rsid w:val="00A70E91"/>
    <w:rsid w:val="00A71BA1"/>
    <w:rsid w:val="00A7305F"/>
    <w:rsid w:val="00A731B3"/>
    <w:rsid w:val="00A73C73"/>
    <w:rsid w:val="00A74A18"/>
    <w:rsid w:val="00A74F4E"/>
    <w:rsid w:val="00A75003"/>
    <w:rsid w:val="00A75897"/>
    <w:rsid w:val="00A772C7"/>
    <w:rsid w:val="00A80090"/>
    <w:rsid w:val="00A817E7"/>
    <w:rsid w:val="00A82C03"/>
    <w:rsid w:val="00A84040"/>
    <w:rsid w:val="00A869F4"/>
    <w:rsid w:val="00A8709C"/>
    <w:rsid w:val="00A90FF2"/>
    <w:rsid w:val="00A95968"/>
    <w:rsid w:val="00A964AC"/>
    <w:rsid w:val="00AA0ACE"/>
    <w:rsid w:val="00AA1A1E"/>
    <w:rsid w:val="00AA2151"/>
    <w:rsid w:val="00AA25AB"/>
    <w:rsid w:val="00AA56AD"/>
    <w:rsid w:val="00AA75B2"/>
    <w:rsid w:val="00AA75B4"/>
    <w:rsid w:val="00AA79DF"/>
    <w:rsid w:val="00AB0A46"/>
    <w:rsid w:val="00AB11B7"/>
    <w:rsid w:val="00AB24AA"/>
    <w:rsid w:val="00AB2D71"/>
    <w:rsid w:val="00AB4F25"/>
    <w:rsid w:val="00AB53DE"/>
    <w:rsid w:val="00AC0BAA"/>
    <w:rsid w:val="00AC1DC7"/>
    <w:rsid w:val="00AC4F22"/>
    <w:rsid w:val="00AD7329"/>
    <w:rsid w:val="00AE037E"/>
    <w:rsid w:val="00AE176E"/>
    <w:rsid w:val="00AE1E69"/>
    <w:rsid w:val="00AE3C74"/>
    <w:rsid w:val="00AE4358"/>
    <w:rsid w:val="00AE47D5"/>
    <w:rsid w:val="00AE4D11"/>
    <w:rsid w:val="00AE4FC2"/>
    <w:rsid w:val="00AE5D3A"/>
    <w:rsid w:val="00AF2E88"/>
    <w:rsid w:val="00AF3C76"/>
    <w:rsid w:val="00AF3D81"/>
    <w:rsid w:val="00AF5B97"/>
    <w:rsid w:val="00AF79A3"/>
    <w:rsid w:val="00B002CB"/>
    <w:rsid w:val="00B01402"/>
    <w:rsid w:val="00B01621"/>
    <w:rsid w:val="00B02B7B"/>
    <w:rsid w:val="00B03D1B"/>
    <w:rsid w:val="00B041A6"/>
    <w:rsid w:val="00B06188"/>
    <w:rsid w:val="00B068ED"/>
    <w:rsid w:val="00B076CF"/>
    <w:rsid w:val="00B0790F"/>
    <w:rsid w:val="00B10E18"/>
    <w:rsid w:val="00B113B2"/>
    <w:rsid w:val="00B16995"/>
    <w:rsid w:val="00B20CFE"/>
    <w:rsid w:val="00B21CC0"/>
    <w:rsid w:val="00B21E19"/>
    <w:rsid w:val="00B22451"/>
    <w:rsid w:val="00B248C9"/>
    <w:rsid w:val="00B25A90"/>
    <w:rsid w:val="00B2613B"/>
    <w:rsid w:val="00B26AD7"/>
    <w:rsid w:val="00B30B32"/>
    <w:rsid w:val="00B31517"/>
    <w:rsid w:val="00B31844"/>
    <w:rsid w:val="00B31B3D"/>
    <w:rsid w:val="00B349DA"/>
    <w:rsid w:val="00B34AFD"/>
    <w:rsid w:val="00B37087"/>
    <w:rsid w:val="00B372E9"/>
    <w:rsid w:val="00B37DB0"/>
    <w:rsid w:val="00B4076E"/>
    <w:rsid w:val="00B40E33"/>
    <w:rsid w:val="00B41C88"/>
    <w:rsid w:val="00B42C13"/>
    <w:rsid w:val="00B4303D"/>
    <w:rsid w:val="00B43404"/>
    <w:rsid w:val="00B43B1C"/>
    <w:rsid w:val="00B43BB8"/>
    <w:rsid w:val="00B44D1B"/>
    <w:rsid w:val="00B4581C"/>
    <w:rsid w:val="00B500A4"/>
    <w:rsid w:val="00B51E37"/>
    <w:rsid w:val="00B53369"/>
    <w:rsid w:val="00B538CA"/>
    <w:rsid w:val="00B54893"/>
    <w:rsid w:val="00B55C4F"/>
    <w:rsid w:val="00B57112"/>
    <w:rsid w:val="00B623FC"/>
    <w:rsid w:val="00B62D8B"/>
    <w:rsid w:val="00B62FC1"/>
    <w:rsid w:val="00B640A1"/>
    <w:rsid w:val="00B64B16"/>
    <w:rsid w:val="00B66E23"/>
    <w:rsid w:val="00B679D6"/>
    <w:rsid w:val="00B726E2"/>
    <w:rsid w:val="00B73C01"/>
    <w:rsid w:val="00B75AB6"/>
    <w:rsid w:val="00B774BF"/>
    <w:rsid w:val="00B8033E"/>
    <w:rsid w:val="00B814EF"/>
    <w:rsid w:val="00B820F1"/>
    <w:rsid w:val="00B85F65"/>
    <w:rsid w:val="00B86C1E"/>
    <w:rsid w:val="00B86D77"/>
    <w:rsid w:val="00B91016"/>
    <w:rsid w:val="00B93E37"/>
    <w:rsid w:val="00B945C9"/>
    <w:rsid w:val="00BA20BA"/>
    <w:rsid w:val="00BB14E8"/>
    <w:rsid w:val="00BB25DD"/>
    <w:rsid w:val="00BB36A2"/>
    <w:rsid w:val="00BB5F66"/>
    <w:rsid w:val="00BB640E"/>
    <w:rsid w:val="00BB672D"/>
    <w:rsid w:val="00BC0DFC"/>
    <w:rsid w:val="00BC259D"/>
    <w:rsid w:val="00BC275F"/>
    <w:rsid w:val="00BC2D98"/>
    <w:rsid w:val="00BC31C4"/>
    <w:rsid w:val="00BC31CD"/>
    <w:rsid w:val="00BC53F1"/>
    <w:rsid w:val="00BC72D8"/>
    <w:rsid w:val="00BD2264"/>
    <w:rsid w:val="00BD4535"/>
    <w:rsid w:val="00BD4D38"/>
    <w:rsid w:val="00BD6178"/>
    <w:rsid w:val="00BD6773"/>
    <w:rsid w:val="00BE00B2"/>
    <w:rsid w:val="00BE1A12"/>
    <w:rsid w:val="00BE1DDB"/>
    <w:rsid w:val="00BE37F7"/>
    <w:rsid w:val="00BE4652"/>
    <w:rsid w:val="00BE4B0F"/>
    <w:rsid w:val="00BF05C5"/>
    <w:rsid w:val="00BF272D"/>
    <w:rsid w:val="00BF3C07"/>
    <w:rsid w:val="00BF7603"/>
    <w:rsid w:val="00BF789F"/>
    <w:rsid w:val="00C00B51"/>
    <w:rsid w:val="00C00C62"/>
    <w:rsid w:val="00C011ED"/>
    <w:rsid w:val="00C02D47"/>
    <w:rsid w:val="00C03481"/>
    <w:rsid w:val="00C11730"/>
    <w:rsid w:val="00C147D0"/>
    <w:rsid w:val="00C17905"/>
    <w:rsid w:val="00C20332"/>
    <w:rsid w:val="00C20DC9"/>
    <w:rsid w:val="00C20EE9"/>
    <w:rsid w:val="00C21289"/>
    <w:rsid w:val="00C21579"/>
    <w:rsid w:val="00C21FB6"/>
    <w:rsid w:val="00C23A3E"/>
    <w:rsid w:val="00C24A59"/>
    <w:rsid w:val="00C24ADB"/>
    <w:rsid w:val="00C24FD5"/>
    <w:rsid w:val="00C2716D"/>
    <w:rsid w:val="00C27D69"/>
    <w:rsid w:val="00C30B4B"/>
    <w:rsid w:val="00C30E7D"/>
    <w:rsid w:val="00C3138E"/>
    <w:rsid w:val="00C3244A"/>
    <w:rsid w:val="00C328A0"/>
    <w:rsid w:val="00C32B49"/>
    <w:rsid w:val="00C332BB"/>
    <w:rsid w:val="00C33ACB"/>
    <w:rsid w:val="00C357B7"/>
    <w:rsid w:val="00C372DE"/>
    <w:rsid w:val="00C404A1"/>
    <w:rsid w:val="00C43485"/>
    <w:rsid w:val="00C44262"/>
    <w:rsid w:val="00C4438E"/>
    <w:rsid w:val="00C44B39"/>
    <w:rsid w:val="00C4577F"/>
    <w:rsid w:val="00C47752"/>
    <w:rsid w:val="00C47A64"/>
    <w:rsid w:val="00C47AF2"/>
    <w:rsid w:val="00C50150"/>
    <w:rsid w:val="00C51499"/>
    <w:rsid w:val="00C51CA5"/>
    <w:rsid w:val="00C51D05"/>
    <w:rsid w:val="00C53CCF"/>
    <w:rsid w:val="00C549E2"/>
    <w:rsid w:val="00C55230"/>
    <w:rsid w:val="00C560CE"/>
    <w:rsid w:val="00C62080"/>
    <w:rsid w:val="00C64DBB"/>
    <w:rsid w:val="00C64E1D"/>
    <w:rsid w:val="00C6560C"/>
    <w:rsid w:val="00C65676"/>
    <w:rsid w:val="00C6593F"/>
    <w:rsid w:val="00C65C12"/>
    <w:rsid w:val="00C6692F"/>
    <w:rsid w:val="00C66C2C"/>
    <w:rsid w:val="00C7219C"/>
    <w:rsid w:val="00C726D8"/>
    <w:rsid w:val="00C738AA"/>
    <w:rsid w:val="00C73BBB"/>
    <w:rsid w:val="00C76743"/>
    <w:rsid w:val="00C77759"/>
    <w:rsid w:val="00C83EB1"/>
    <w:rsid w:val="00C853F3"/>
    <w:rsid w:val="00C8676D"/>
    <w:rsid w:val="00C86B01"/>
    <w:rsid w:val="00C91D04"/>
    <w:rsid w:val="00C93F53"/>
    <w:rsid w:val="00C94C45"/>
    <w:rsid w:val="00C94F05"/>
    <w:rsid w:val="00C961B6"/>
    <w:rsid w:val="00C96B9A"/>
    <w:rsid w:val="00C96FB7"/>
    <w:rsid w:val="00CA065E"/>
    <w:rsid w:val="00CA075A"/>
    <w:rsid w:val="00CA111B"/>
    <w:rsid w:val="00CA14A4"/>
    <w:rsid w:val="00CA2BA0"/>
    <w:rsid w:val="00CA517D"/>
    <w:rsid w:val="00CA6368"/>
    <w:rsid w:val="00CA7047"/>
    <w:rsid w:val="00CA7229"/>
    <w:rsid w:val="00CA7863"/>
    <w:rsid w:val="00CB2A9F"/>
    <w:rsid w:val="00CB4ADE"/>
    <w:rsid w:val="00CB4DA7"/>
    <w:rsid w:val="00CB5027"/>
    <w:rsid w:val="00CB51AA"/>
    <w:rsid w:val="00CC3736"/>
    <w:rsid w:val="00CC43C2"/>
    <w:rsid w:val="00CC46B4"/>
    <w:rsid w:val="00CC4D14"/>
    <w:rsid w:val="00CC51E1"/>
    <w:rsid w:val="00CC5436"/>
    <w:rsid w:val="00CC5DDF"/>
    <w:rsid w:val="00CC7AFA"/>
    <w:rsid w:val="00CD087E"/>
    <w:rsid w:val="00CD29F6"/>
    <w:rsid w:val="00CD32E4"/>
    <w:rsid w:val="00CD5303"/>
    <w:rsid w:val="00CD6493"/>
    <w:rsid w:val="00CD6A51"/>
    <w:rsid w:val="00CD7438"/>
    <w:rsid w:val="00CE0DC3"/>
    <w:rsid w:val="00CE102F"/>
    <w:rsid w:val="00CE1EEA"/>
    <w:rsid w:val="00CE2969"/>
    <w:rsid w:val="00CE31C3"/>
    <w:rsid w:val="00CE7D7F"/>
    <w:rsid w:val="00CF00DF"/>
    <w:rsid w:val="00CF0162"/>
    <w:rsid w:val="00CF101A"/>
    <w:rsid w:val="00CF1B52"/>
    <w:rsid w:val="00CF2812"/>
    <w:rsid w:val="00CF2880"/>
    <w:rsid w:val="00CF4D06"/>
    <w:rsid w:val="00CF759C"/>
    <w:rsid w:val="00D02AA8"/>
    <w:rsid w:val="00D112D1"/>
    <w:rsid w:val="00D11C22"/>
    <w:rsid w:val="00D12D11"/>
    <w:rsid w:val="00D133DD"/>
    <w:rsid w:val="00D15227"/>
    <w:rsid w:val="00D1537E"/>
    <w:rsid w:val="00D16199"/>
    <w:rsid w:val="00D174B2"/>
    <w:rsid w:val="00D17845"/>
    <w:rsid w:val="00D20B7F"/>
    <w:rsid w:val="00D20F9A"/>
    <w:rsid w:val="00D214D0"/>
    <w:rsid w:val="00D22512"/>
    <w:rsid w:val="00D22F83"/>
    <w:rsid w:val="00D232FE"/>
    <w:rsid w:val="00D24DCA"/>
    <w:rsid w:val="00D24F0E"/>
    <w:rsid w:val="00D256A3"/>
    <w:rsid w:val="00D26354"/>
    <w:rsid w:val="00D26F34"/>
    <w:rsid w:val="00D27304"/>
    <w:rsid w:val="00D27771"/>
    <w:rsid w:val="00D3045C"/>
    <w:rsid w:val="00D3051A"/>
    <w:rsid w:val="00D30B67"/>
    <w:rsid w:val="00D30FC8"/>
    <w:rsid w:val="00D3130B"/>
    <w:rsid w:val="00D32A7F"/>
    <w:rsid w:val="00D33F35"/>
    <w:rsid w:val="00D348A9"/>
    <w:rsid w:val="00D41111"/>
    <w:rsid w:val="00D4355B"/>
    <w:rsid w:val="00D47C37"/>
    <w:rsid w:val="00D50389"/>
    <w:rsid w:val="00D520B1"/>
    <w:rsid w:val="00D521B6"/>
    <w:rsid w:val="00D52926"/>
    <w:rsid w:val="00D52F7A"/>
    <w:rsid w:val="00D53020"/>
    <w:rsid w:val="00D546EC"/>
    <w:rsid w:val="00D62F3B"/>
    <w:rsid w:val="00D62F4E"/>
    <w:rsid w:val="00D633E3"/>
    <w:rsid w:val="00D64F27"/>
    <w:rsid w:val="00D667A3"/>
    <w:rsid w:val="00D66EBF"/>
    <w:rsid w:val="00D67785"/>
    <w:rsid w:val="00D72E55"/>
    <w:rsid w:val="00D738E1"/>
    <w:rsid w:val="00D76FF7"/>
    <w:rsid w:val="00D77EDD"/>
    <w:rsid w:val="00D824CC"/>
    <w:rsid w:val="00D828D8"/>
    <w:rsid w:val="00D82965"/>
    <w:rsid w:val="00D83BFF"/>
    <w:rsid w:val="00D84640"/>
    <w:rsid w:val="00D86187"/>
    <w:rsid w:val="00D86BA8"/>
    <w:rsid w:val="00D90633"/>
    <w:rsid w:val="00D9172C"/>
    <w:rsid w:val="00D94374"/>
    <w:rsid w:val="00D9438C"/>
    <w:rsid w:val="00DA1DD9"/>
    <w:rsid w:val="00DA324B"/>
    <w:rsid w:val="00DA6323"/>
    <w:rsid w:val="00DA7CB0"/>
    <w:rsid w:val="00DB1AC9"/>
    <w:rsid w:val="00DB1FEA"/>
    <w:rsid w:val="00DB29B5"/>
    <w:rsid w:val="00DB2BA2"/>
    <w:rsid w:val="00DB31D6"/>
    <w:rsid w:val="00DB37AC"/>
    <w:rsid w:val="00DB4E62"/>
    <w:rsid w:val="00DC0060"/>
    <w:rsid w:val="00DC06D9"/>
    <w:rsid w:val="00DC2218"/>
    <w:rsid w:val="00DC2489"/>
    <w:rsid w:val="00DC2CB0"/>
    <w:rsid w:val="00DC4849"/>
    <w:rsid w:val="00DC6302"/>
    <w:rsid w:val="00DC78A1"/>
    <w:rsid w:val="00DD0366"/>
    <w:rsid w:val="00DD38B9"/>
    <w:rsid w:val="00DD6F4B"/>
    <w:rsid w:val="00DD6FCB"/>
    <w:rsid w:val="00DE1508"/>
    <w:rsid w:val="00DE27B5"/>
    <w:rsid w:val="00DE3ABF"/>
    <w:rsid w:val="00DE3BB3"/>
    <w:rsid w:val="00DE4A0E"/>
    <w:rsid w:val="00DE6371"/>
    <w:rsid w:val="00DF0E34"/>
    <w:rsid w:val="00DF3447"/>
    <w:rsid w:val="00DF4035"/>
    <w:rsid w:val="00DF46DD"/>
    <w:rsid w:val="00DF58FA"/>
    <w:rsid w:val="00DF5BE2"/>
    <w:rsid w:val="00DF6673"/>
    <w:rsid w:val="00E01397"/>
    <w:rsid w:val="00E01E59"/>
    <w:rsid w:val="00E0299A"/>
    <w:rsid w:val="00E0532F"/>
    <w:rsid w:val="00E059EC"/>
    <w:rsid w:val="00E061AC"/>
    <w:rsid w:val="00E06265"/>
    <w:rsid w:val="00E06C89"/>
    <w:rsid w:val="00E10605"/>
    <w:rsid w:val="00E107DE"/>
    <w:rsid w:val="00E11499"/>
    <w:rsid w:val="00E129E4"/>
    <w:rsid w:val="00E13659"/>
    <w:rsid w:val="00E14C2B"/>
    <w:rsid w:val="00E15E67"/>
    <w:rsid w:val="00E160E3"/>
    <w:rsid w:val="00E1677B"/>
    <w:rsid w:val="00E203FA"/>
    <w:rsid w:val="00E22A3A"/>
    <w:rsid w:val="00E22D00"/>
    <w:rsid w:val="00E22F11"/>
    <w:rsid w:val="00E235BE"/>
    <w:rsid w:val="00E237C2"/>
    <w:rsid w:val="00E240C8"/>
    <w:rsid w:val="00E345F6"/>
    <w:rsid w:val="00E40A34"/>
    <w:rsid w:val="00E40D0C"/>
    <w:rsid w:val="00E41BB7"/>
    <w:rsid w:val="00E442F6"/>
    <w:rsid w:val="00E50269"/>
    <w:rsid w:val="00E51709"/>
    <w:rsid w:val="00E5463A"/>
    <w:rsid w:val="00E5650D"/>
    <w:rsid w:val="00E5700A"/>
    <w:rsid w:val="00E57AEE"/>
    <w:rsid w:val="00E6001D"/>
    <w:rsid w:val="00E60436"/>
    <w:rsid w:val="00E612BA"/>
    <w:rsid w:val="00E6363D"/>
    <w:rsid w:val="00E6557A"/>
    <w:rsid w:val="00E66351"/>
    <w:rsid w:val="00E6745A"/>
    <w:rsid w:val="00E71AA8"/>
    <w:rsid w:val="00E71B50"/>
    <w:rsid w:val="00E72B9C"/>
    <w:rsid w:val="00E752F6"/>
    <w:rsid w:val="00E75F7D"/>
    <w:rsid w:val="00E76066"/>
    <w:rsid w:val="00E80806"/>
    <w:rsid w:val="00E812BD"/>
    <w:rsid w:val="00E816E6"/>
    <w:rsid w:val="00E822D4"/>
    <w:rsid w:val="00E83BFB"/>
    <w:rsid w:val="00E83C70"/>
    <w:rsid w:val="00E84357"/>
    <w:rsid w:val="00E86212"/>
    <w:rsid w:val="00E87B57"/>
    <w:rsid w:val="00E87E07"/>
    <w:rsid w:val="00E912D9"/>
    <w:rsid w:val="00E91445"/>
    <w:rsid w:val="00E92411"/>
    <w:rsid w:val="00E9280F"/>
    <w:rsid w:val="00E92EC6"/>
    <w:rsid w:val="00E94E80"/>
    <w:rsid w:val="00EA6580"/>
    <w:rsid w:val="00EB08AA"/>
    <w:rsid w:val="00EB101B"/>
    <w:rsid w:val="00EB1F52"/>
    <w:rsid w:val="00EB2776"/>
    <w:rsid w:val="00EB321E"/>
    <w:rsid w:val="00EB3804"/>
    <w:rsid w:val="00EB59FD"/>
    <w:rsid w:val="00EB5A3F"/>
    <w:rsid w:val="00EB6374"/>
    <w:rsid w:val="00EC0509"/>
    <w:rsid w:val="00EC1410"/>
    <w:rsid w:val="00EC15F1"/>
    <w:rsid w:val="00EC18E9"/>
    <w:rsid w:val="00EC193D"/>
    <w:rsid w:val="00EC1F15"/>
    <w:rsid w:val="00EC358B"/>
    <w:rsid w:val="00EC39AF"/>
    <w:rsid w:val="00EC4FB1"/>
    <w:rsid w:val="00EC5C5F"/>
    <w:rsid w:val="00EC6A4B"/>
    <w:rsid w:val="00EC72EF"/>
    <w:rsid w:val="00ED1460"/>
    <w:rsid w:val="00ED1683"/>
    <w:rsid w:val="00ED3C67"/>
    <w:rsid w:val="00ED5C8D"/>
    <w:rsid w:val="00ED66E9"/>
    <w:rsid w:val="00ED72BA"/>
    <w:rsid w:val="00ED7AD7"/>
    <w:rsid w:val="00EE0EA1"/>
    <w:rsid w:val="00EE0ECA"/>
    <w:rsid w:val="00EE1337"/>
    <w:rsid w:val="00EE29D0"/>
    <w:rsid w:val="00EE401F"/>
    <w:rsid w:val="00EE4131"/>
    <w:rsid w:val="00EE45DA"/>
    <w:rsid w:val="00EE4661"/>
    <w:rsid w:val="00EE555C"/>
    <w:rsid w:val="00EE62FF"/>
    <w:rsid w:val="00EE6C6B"/>
    <w:rsid w:val="00EF072A"/>
    <w:rsid w:val="00EF1FA2"/>
    <w:rsid w:val="00EF255B"/>
    <w:rsid w:val="00EF2C7D"/>
    <w:rsid w:val="00EF555F"/>
    <w:rsid w:val="00EF697F"/>
    <w:rsid w:val="00EF7976"/>
    <w:rsid w:val="00EF79E5"/>
    <w:rsid w:val="00EF7F4A"/>
    <w:rsid w:val="00F0103A"/>
    <w:rsid w:val="00F01E37"/>
    <w:rsid w:val="00F01E73"/>
    <w:rsid w:val="00F0281F"/>
    <w:rsid w:val="00F0289F"/>
    <w:rsid w:val="00F02B32"/>
    <w:rsid w:val="00F04864"/>
    <w:rsid w:val="00F04F5F"/>
    <w:rsid w:val="00F06ABB"/>
    <w:rsid w:val="00F10E5D"/>
    <w:rsid w:val="00F142DE"/>
    <w:rsid w:val="00F14731"/>
    <w:rsid w:val="00F14FFB"/>
    <w:rsid w:val="00F153DD"/>
    <w:rsid w:val="00F16144"/>
    <w:rsid w:val="00F17532"/>
    <w:rsid w:val="00F17F09"/>
    <w:rsid w:val="00F20B91"/>
    <w:rsid w:val="00F21776"/>
    <w:rsid w:val="00F21C0F"/>
    <w:rsid w:val="00F22922"/>
    <w:rsid w:val="00F234DC"/>
    <w:rsid w:val="00F24505"/>
    <w:rsid w:val="00F258FA"/>
    <w:rsid w:val="00F25B61"/>
    <w:rsid w:val="00F2676B"/>
    <w:rsid w:val="00F26A99"/>
    <w:rsid w:val="00F26C22"/>
    <w:rsid w:val="00F278DC"/>
    <w:rsid w:val="00F3171C"/>
    <w:rsid w:val="00F31C5D"/>
    <w:rsid w:val="00F330F4"/>
    <w:rsid w:val="00F3409C"/>
    <w:rsid w:val="00F34F4A"/>
    <w:rsid w:val="00F36CDD"/>
    <w:rsid w:val="00F36E06"/>
    <w:rsid w:val="00F37391"/>
    <w:rsid w:val="00F4120B"/>
    <w:rsid w:val="00F420CD"/>
    <w:rsid w:val="00F42563"/>
    <w:rsid w:val="00F43A1A"/>
    <w:rsid w:val="00F44F45"/>
    <w:rsid w:val="00F45C3B"/>
    <w:rsid w:val="00F47BE8"/>
    <w:rsid w:val="00F51F42"/>
    <w:rsid w:val="00F52FF1"/>
    <w:rsid w:val="00F537BE"/>
    <w:rsid w:val="00F53958"/>
    <w:rsid w:val="00F53B5D"/>
    <w:rsid w:val="00F55F3A"/>
    <w:rsid w:val="00F5634A"/>
    <w:rsid w:val="00F56A9B"/>
    <w:rsid w:val="00F64B2A"/>
    <w:rsid w:val="00F6607F"/>
    <w:rsid w:val="00F67100"/>
    <w:rsid w:val="00F71D46"/>
    <w:rsid w:val="00F72C54"/>
    <w:rsid w:val="00F7546C"/>
    <w:rsid w:val="00F756F9"/>
    <w:rsid w:val="00F75F4A"/>
    <w:rsid w:val="00F76785"/>
    <w:rsid w:val="00F772A0"/>
    <w:rsid w:val="00F80412"/>
    <w:rsid w:val="00F80506"/>
    <w:rsid w:val="00F822A4"/>
    <w:rsid w:val="00F84350"/>
    <w:rsid w:val="00F847DC"/>
    <w:rsid w:val="00F874DE"/>
    <w:rsid w:val="00F9080A"/>
    <w:rsid w:val="00F91C37"/>
    <w:rsid w:val="00F92319"/>
    <w:rsid w:val="00F967FA"/>
    <w:rsid w:val="00FA00EB"/>
    <w:rsid w:val="00FA17FC"/>
    <w:rsid w:val="00FA1D38"/>
    <w:rsid w:val="00FA1E3E"/>
    <w:rsid w:val="00FA1FDC"/>
    <w:rsid w:val="00FA4BE9"/>
    <w:rsid w:val="00FA67FB"/>
    <w:rsid w:val="00FA71C4"/>
    <w:rsid w:val="00FA78FA"/>
    <w:rsid w:val="00FB09D5"/>
    <w:rsid w:val="00FB195D"/>
    <w:rsid w:val="00FB2027"/>
    <w:rsid w:val="00FB3735"/>
    <w:rsid w:val="00FB4554"/>
    <w:rsid w:val="00FB5A13"/>
    <w:rsid w:val="00FB5B44"/>
    <w:rsid w:val="00FC173D"/>
    <w:rsid w:val="00FC1FA0"/>
    <w:rsid w:val="00FC21C5"/>
    <w:rsid w:val="00FC32EC"/>
    <w:rsid w:val="00FC3D16"/>
    <w:rsid w:val="00FC7040"/>
    <w:rsid w:val="00FC7973"/>
    <w:rsid w:val="00FD2FD6"/>
    <w:rsid w:val="00FD4D2D"/>
    <w:rsid w:val="00FE10A1"/>
    <w:rsid w:val="00FE3FAE"/>
    <w:rsid w:val="00FE5482"/>
    <w:rsid w:val="00FF0447"/>
    <w:rsid w:val="00FF058E"/>
    <w:rsid w:val="00FF112E"/>
    <w:rsid w:val="00FF1DE6"/>
    <w:rsid w:val="00FF1E1B"/>
    <w:rsid w:val="00FF2B6D"/>
    <w:rsid w:val="00FF6467"/>
    <w:rsid w:val="00FF705F"/>
    <w:rsid w:val="00FF79B8"/>
    <w:rsid w:val="00FF7B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245E-E6AC-4B00-983B-10E7961A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nhideWhenUsed="1"/>
    <w:lsdException w:name="heading 6" w:semiHidden="1" w:unhideWhenUsed="1"/>
    <w:lsdException w:name="heading 7" w:semiHidden="1"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E6"/>
    <w:pPr>
      <w:spacing w:after="120"/>
      <w:jc w:val="both"/>
    </w:pPr>
    <w:rPr>
      <w:rFonts w:ascii="Verdana" w:eastAsiaTheme="minorEastAsia" w:hAnsi="Verdana"/>
      <w:sz w:val="20"/>
      <w:szCs w:val="20"/>
      <w:lang w:val="es-CL" w:eastAsia="es-CL"/>
    </w:rPr>
  </w:style>
  <w:style w:type="paragraph" w:styleId="Ttulo1">
    <w:name w:val="heading 1"/>
    <w:basedOn w:val="Normal"/>
    <w:next w:val="Normal"/>
    <w:link w:val="Ttulo1Car"/>
    <w:uiPriority w:val="99"/>
    <w:qFormat/>
    <w:rsid w:val="00CE31C3"/>
    <w:pPr>
      <w:keepNext/>
      <w:pageBreakBefore/>
      <w:numPr>
        <w:numId w:val="15"/>
      </w:numPr>
      <w:spacing w:before="240" w:after="240"/>
      <w:outlineLvl w:val="0"/>
    </w:pPr>
    <w:rPr>
      <w:rFonts w:eastAsia="Times New Roman" w:cs="Univers"/>
      <w:b/>
      <w:caps/>
      <w:szCs w:val="22"/>
      <w:lang w:val="es-ES_tradnl" w:eastAsia="es-ES"/>
    </w:rPr>
  </w:style>
  <w:style w:type="paragraph" w:styleId="Ttulo2">
    <w:name w:val="heading 2"/>
    <w:basedOn w:val="Normal"/>
    <w:next w:val="Normal"/>
    <w:link w:val="Ttulo2Car"/>
    <w:uiPriority w:val="99"/>
    <w:qFormat/>
    <w:rsid w:val="0038291B"/>
    <w:pPr>
      <w:keepNext/>
      <w:numPr>
        <w:ilvl w:val="1"/>
        <w:numId w:val="15"/>
      </w:numPr>
      <w:spacing w:before="240" w:after="240"/>
      <w:outlineLvl w:val="1"/>
    </w:pPr>
    <w:rPr>
      <w:rFonts w:eastAsia="Times New Roman" w:cs="Univers"/>
      <w:b/>
      <w:szCs w:val="22"/>
      <w:lang w:val="es-ES_tradnl" w:eastAsia="es-ES"/>
    </w:rPr>
  </w:style>
  <w:style w:type="paragraph" w:styleId="Ttulo3">
    <w:name w:val="heading 3"/>
    <w:basedOn w:val="Normal"/>
    <w:next w:val="Normal"/>
    <w:link w:val="Ttulo3Car"/>
    <w:uiPriority w:val="99"/>
    <w:qFormat/>
    <w:rsid w:val="008A649C"/>
    <w:pPr>
      <w:keepNext/>
      <w:numPr>
        <w:ilvl w:val="2"/>
        <w:numId w:val="15"/>
      </w:numPr>
      <w:spacing w:before="240" w:after="240"/>
      <w:outlineLvl w:val="2"/>
    </w:pPr>
    <w:rPr>
      <w:rFonts w:eastAsia="Times New Roman" w:cs="Arial"/>
      <w:b/>
      <w:bCs/>
      <w:snapToGrid w:val="0"/>
      <w:szCs w:val="22"/>
      <w:lang w:val="es-ES_tradnl" w:eastAsia="es-ES"/>
    </w:rPr>
  </w:style>
  <w:style w:type="paragraph" w:styleId="Ttulo4">
    <w:name w:val="heading 4"/>
    <w:basedOn w:val="Ttulo3"/>
    <w:next w:val="Normal"/>
    <w:link w:val="Ttulo4Car"/>
    <w:qFormat/>
    <w:rsid w:val="00372A8B"/>
    <w:pPr>
      <w:numPr>
        <w:ilvl w:val="3"/>
      </w:numPr>
      <w:outlineLvl w:val="3"/>
    </w:pPr>
    <w:rPr>
      <w:bCs w:val="0"/>
      <w:szCs w:val="28"/>
    </w:rPr>
  </w:style>
  <w:style w:type="paragraph" w:styleId="Ttulo5">
    <w:name w:val="heading 5"/>
    <w:basedOn w:val="Normal"/>
    <w:next w:val="Normal"/>
    <w:link w:val="Ttulo5Car"/>
    <w:uiPriority w:val="99"/>
    <w:unhideWhenUsed/>
    <w:rsid w:val="001C2868"/>
    <w:pPr>
      <w:numPr>
        <w:ilvl w:val="4"/>
        <w:numId w:val="11"/>
      </w:numPr>
      <w:jc w:val="left"/>
      <w:outlineLvl w:val="4"/>
    </w:pPr>
    <w:rPr>
      <w:b/>
      <w:color w:val="7F7F7F" w:themeColor="text1" w:themeTint="80"/>
      <w:spacing w:val="10"/>
      <w:szCs w:val="26"/>
    </w:rPr>
  </w:style>
  <w:style w:type="paragraph" w:styleId="Ttulo6">
    <w:name w:val="heading 6"/>
    <w:basedOn w:val="Normal"/>
    <w:next w:val="Normal"/>
    <w:link w:val="Ttulo6Car"/>
    <w:uiPriority w:val="99"/>
    <w:unhideWhenUsed/>
    <w:rsid w:val="0027484F"/>
    <w:pPr>
      <w:numPr>
        <w:ilvl w:val="5"/>
        <w:numId w:val="11"/>
      </w:numPr>
      <w:spacing w:after="0"/>
      <w:jc w:val="left"/>
      <w:outlineLvl w:val="5"/>
    </w:pPr>
    <w:rPr>
      <w:smallCaps/>
      <w:color w:val="C0504D" w:themeColor="accent2"/>
      <w:spacing w:val="5"/>
    </w:rPr>
  </w:style>
  <w:style w:type="paragraph" w:styleId="Ttulo7">
    <w:name w:val="heading 7"/>
    <w:basedOn w:val="Normal"/>
    <w:next w:val="Normal"/>
    <w:link w:val="Ttulo7Car"/>
    <w:uiPriority w:val="99"/>
    <w:unhideWhenUsed/>
    <w:rsid w:val="0027484F"/>
    <w:pPr>
      <w:numPr>
        <w:ilvl w:val="6"/>
        <w:numId w:val="11"/>
      </w:numPr>
      <w:spacing w:after="0"/>
      <w:jc w:val="left"/>
      <w:outlineLvl w:val="6"/>
    </w:pPr>
    <w:rPr>
      <w:b/>
      <w:smallCaps/>
      <w:color w:val="C0504D" w:themeColor="accent2"/>
      <w:spacing w:val="10"/>
    </w:rPr>
  </w:style>
  <w:style w:type="paragraph" w:styleId="Ttulo8">
    <w:name w:val="heading 8"/>
    <w:basedOn w:val="Normal"/>
    <w:next w:val="Normal"/>
    <w:link w:val="Ttulo8Car"/>
    <w:unhideWhenUsed/>
    <w:rsid w:val="0027484F"/>
    <w:pPr>
      <w:numPr>
        <w:ilvl w:val="7"/>
        <w:numId w:val="11"/>
      </w:numPr>
      <w:spacing w:after="0"/>
      <w:jc w:val="left"/>
      <w:outlineLvl w:val="7"/>
    </w:pPr>
    <w:rPr>
      <w:b/>
      <w:i/>
      <w:smallCaps/>
      <w:color w:val="943634" w:themeColor="accent2" w:themeShade="BF"/>
    </w:rPr>
  </w:style>
  <w:style w:type="paragraph" w:styleId="Ttulo9">
    <w:name w:val="heading 9"/>
    <w:basedOn w:val="Normal"/>
    <w:next w:val="Normal"/>
    <w:link w:val="Ttulo9Car"/>
    <w:unhideWhenUsed/>
    <w:rsid w:val="0027484F"/>
    <w:pPr>
      <w:numPr>
        <w:ilvl w:val="8"/>
        <w:numId w:val="1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99"/>
    <w:rsid w:val="0027484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semiHidden/>
    <w:unhideWhenUsed/>
    <w:rsid w:val="0027484F"/>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27484F"/>
    <w:rPr>
      <w:rFonts w:ascii="Tahoma" w:eastAsiaTheme="minorEastAsia" w:hAnsi="Tahoma" w:cs="Tahoma"/>
      <w:sz w:val="16"/>
      <w:szCs w:val="16"/>
      <w:lang w:val="es-CL" w:eastAsia="es-CL"/>
    </w:rPr>
  </w:style>
  <w:style w:type="paragraph" w:styleId="Sinespaciado">
    <w:name w:val="No Spacing"/>
    <w:basedOn w:val="Normal"/>
    <w:link w:val="SinespaciadoCar"/>
    <w:uiPriority w:val="1"/>
    <w:qFormat/>
    <w:rsid w:val="0027484F"/>
    <w:pPr>
      <w:spacing w:after="0"/>
    </w:pPr>
  </w:style>
  <w:style w:type="character" w:customStyle="1" w:styleId="SinespaciadoCar">
    <w:name w:val="Sin espaciado Car"/>
    <w:basedOn w:val="Fuentedeprrafopredeter"/>
    <w:link w:val="Sinespaciado"/>
    <w:uiPriority w:val="1"/>
    <w:rsid w:val="0027484F"/>
    <w:rPr>
      <w:rFonts w:eastAsiaTheme="minorEastAsia"/>
      <w:sz w:val="20"/>
      <w:szCs w:val="20"/>
      <w:lang w:val="es-CL" w:eastAsia="es-CL"/>
    </w:rPr>
  </w:style>
  <w:style w:type="character" w:customStyle="1" w:styleId="Ttulo1Car">
    <w:name w:val="Título 1 Car"/>
    <w:link w:val="Ttulo1"/>
    <w:uiPriority w:val="99"/>
    <w:rsid w:val="00CE31C3"/>
    <w:rPr>
      <w:rFonts w:ascii="Verdana" w:eastAsia="Times New Roman" w:hAnsi="Verdana" w:cs="Univers"/>
      <w:b/>
      <w:caps/>
      <w:sz w:val="20"/>
      <w:lang w:val="es-ES_tradnl" w:eastAsia="es-ES"/>
    </w:rPr>
  </w:style>
  <w:style w:type="character" w:customStyle="1" w:styleId="Ttulo2Car">
    <w:name w:val="Título 2 Car"/>
    <w:link w:val="Ttulo2"/>
    <w:uiPriority w:val="99"/>
    <w:rsid w:val="0038291B"/>
    <w:rPr>
      <w:rFonts w:ascii="Verdana" w:eastAsia="Times New Roman" w:hAnsi="Verdana" w:cs="Univers"/>
      <w:b/>
      <w:sz w:val="20"/>
      <w:lang w:val="es-ES_tradnl" w:eastAsia="es-ES"/>
    </w:rPr>
  </w:style>
  <w:style w:type="character" w:customStyle="1" w:styleId="Ttulo3Car">
    <w:name w:val="Título 3 Car"/>
    <w:link w:val="Ttulo3"/>
    <w:uiPriority w:val="99"/>
    <w:rsid w:val="008A649C"/>
    <w:rPr>
      <w:rFonts w:ascii="Verdana" w:eastAsia="Times New Roman" w:hAnsi="Verdana" w:cs="Arial"/>
      <w:b/>
      <w:bCs/>
      <w:snapToGrid w:val="0"/>
      <w:sz w:val="20"/>
      <w:lang w:val="es-ES_tradnl" w:eastAsia="es-ES"/>
    </w:rPr>
  </w:style>
  <w:style w:type="character" w:customStyle="1" w:styleId="Ttulo4Car">
    <w:name w:val="Título 4 Car"/>
    <w:link w:val="Ttulo4"/>
    <w:rsid w:val="00372A8B"/>
    <w:rPr>
      <w:rFonts w:ascii="Verdana" w:eastAsia="Times New Roman" w:hAnsi="Verdana" w:cs="Arial"/>
      <w:b/>
      <w:snapToGrid w:val="0"/>
      <w:sz w:val="20"/>
      <w:szCs w:val="28"/>
      <w:lang w:val="es-ES_tradnl" w:eastAsia="es-ES"/>
    </w:rPr>
  </w:style>
  <w:style w:type="character" w:customStyle="1" w:styleId="Ttulo5Car">
    <w:name w:val="Título 5 Car"/>
    <w:basedOn w:val="Fuentedeprrafopredeter"/>
    <w:link w:val="Ttulo5"/>
    <w:uiPriority w:val="99"/>
    <w:rsid w:val="001C2868"/>
    <w:rPr>
      <w:rFonts w:ascii="Verdana" w:eastAsiaTheme="minorEastAsia" w:hAnsi="Verdana"/>
      <w:b/>
      <w:color w:val="7F7F7F" w:themeColor="text1" w:themeTint="80"/>
      <w:spacing w:val="10"/>
      <w:sz w:val="20"/>
      <w:szCs w:val="26"/>
      <w:lang w:val="es-CL" w:eastAsia="es-CL"/>
    </w:rPr>
  </w:style>
  <w:style w:type="character" w:customStyle="1" w:styleId="Ttulo6Car">
    <w:name w:val="Título 6 Car"/>
    <w:basedOn w:val="Fuentedeprrafopredeter"/>
    <w:link w:val="Ttulo6"/>
    <w:uiPriority w:val="99"/>
    <w:rsid w:val="0027484F"/>
    <w:rPr>
      <w:rFonts w:ascii="Verdana" w:eastAsiaTheme="minorEastAsia" w:hAnsi="Verdana"/>
      <w:smallCaps/>
      <w:color w:val="C0504D" w:themeColor="accent2"/>
      <w:spacing w:val="5"/>
      <w:sz w:val="20"/>
      <w:szCs w:val="20"/>
      <w:lang w:val="es-CL" w:eastAsia="es-CL"/>
    </w:rPr>
  </w:style>
  <w:style w:type="character" w:customStyle="1" w:styleId="Ttulo7Car">
    <w:name w:val="Título 7 Car"/>
    <w:basedOn w:val="Fuentedeprrafopredeter"/>
    <w:link w:val="Ttulo7"/>
    <w:uiPriority w:val="99"/>
    <w:rsid w:val="0027484F"/>
    <w:rPr>
      <w:rFonts w:ascii="Verdana" w:eastAsiaTheme="minorEastAsia" w:hAnsi="Verdana"/>
      <w:b/>
      <w:smallCaps/>
      <w:color w:val="C0504D" w:themeColor="accent2"/>
      <w:spacing w:val="10"/>
      <w:sz w:val="20"/>
      <w:szCs w:val="20"/>
      <w:lang w:val="es-CL" w:eastAsia="es-CL"/>
    </w:rPr>
  </w:style>
  <w:style w:type="character" w:customStyle="1" w:styleId="Ttulo8Car">
    <w:name w:val="Título 8 Car"/>
    <w:basedOn w:val="Fuentedeprrafopredeter"/>
    <w:link w:val="Ttulo8"/>
    <w:rsid w:val="0027484F"/>
    <w:rPr>
      <w:rFonts w:ascii="Verdana" w:eastAsiaTheme="minorEastAsia" w:hAnsi="Verdana"/>
      <w:b/>
      <w:i/>
      <w:smallCaps/>
      <w:color w:val="943634" w:themeColor="accent2" w:themeShade="BF"/>
      <w:sz w:val="20"/>
      <w:szCs w:val="20"/>
      <w:lang w:val="es-CL" w:eastAsia="es-CL"/>
    </w:rPr>
  </w:style>
  <w:style w:type="character" w:customStyle="1" w:styleId="Ttulo9Car">
    <w:name w:val="Título 9 Car"/>
    <w:basedOn w:val="Fuentedeprrafopredeter"/>
    <w:link w:val="Ttulo9"/>
    <w:rsid w:val="0027484F"/>
    <w:rPr>
      <w:rFonts w:ascii="Verdana" w:eastAsiaTheme="minorEastAsia" w:hAnsi="Verdana"/>
      <w:b/>
      <w:i/>
      <w:smallCaps/>
      <w:color w:val="622423" w:themeColor="accent2" w:themeShade="7F"/>
      <w:sz w:val="20"/>
      <w:szCs w:val="20"/>
      <w:lang w:val="es-CL" w:eastAsia="es-CL"/>
    </w:rPr>
  </w:style>
  <w:style w:type="paragraph" w:styleId="Prrafodelista">
    <w:name w:val="List Paragraph"/>
    <w:basedOn w:val="Normal"/>
    <w:link w:val="PrrafodelistaCar"/>
    <w:uiPriority w:val="34"/>
    <w:qFormat/>
    <w:rsid w:val="0027484F"/>
    <w:pPr>
      <w:ind w:left="720"/>
      <w:contextualSpacing/>
    </w:pPr>
  </w:style>
  <w:style w:type="paragraph" w:styleId="Textonotapie">
    <w:name w:val="footnote text"/>
    <w:aliases w:val=" Car"/>
    <w:basedOn w:val="Normal"/>
    <w:link w:val="TextonotapieCar"/>
    <w:unhideWhenUsed/>
    <w:rsid w:val="0027484F"/>
    <w:pPr>
      <w:spacing w:after="0"/>
    </w:pPr>
  </w:style>
  <w:style w:type="character" w:customStyle="1" w:styleId="TextonotapieCar">
    <w:name w:val="Texto nota pie Car"/>
    <w:aliases w:val=" Car Car"/>
    <w:basedOn w:val="Fuentedeprrafopredeter"/>
    <w:link w:val="Textonotapie"/>
    <w:rsid w:val="0027484F"/>
    <w:rPr>
      <w:rFonts w:ascii="Arial" w:eastAsiaTheme="minorEastAsia" w:hAnsi="Arial"/>
      <w:sz w:val="20"/>
      <w:szCs w:val="20"/>
      <w:lang w:val="es-CL" w:eastAsia="es-CL"/>
    </w:rPr>
  </w:style>
  <w:style w:type="paragraph" w:customStyle="1" w:styleId="Cuadro">
    <w:name w:val="Cuadro"/>
    <w:basedOn w:val="Normal"/>
    <w:qFormat/>
    <w:rsid w:val="00372A8B"/>
    <w:pPr>
      <w:spacing w:after="0"/>
      <w:jc w:val="center"/>
    </w:pPr>
    <w:rPr>
      <w:rFonts w:eastAsia="Times New Roman" w:cs="U"/>
      <w:b/>
      <w:szCs w:val="22"/>
      <w:lang w:val="es-ES_tradnl" w:eastAsia="es-ES"/>
    </w:rPr>
  </w:style>
  <w:style w:type="paragraph" w:customStyle="1" w:styleId="TablaseIlustraciones">
    <w:name w:val="Tablas e Ilustraciones"/>
    <w:basedOn w:val="Normal"/>
    <w:link w:val="TablaseIlustracionesCar"/>
    <w:qFormat/>
    <w:rsid w:val="00372A8B"/>
    <w:pPr>
      <w:keepNext/>
      <w:spacing w:after="200"/>
      <w:jc w:val="center"/>
    </w:pPr>
    <w:rPr>
      <w:bCs/>
      <w:sz w:val="22"/>
      <w:szCs w:val="22"/>
    </w:rPr>
  </w:style>
  <w:style w:type="paragraph" w:styleId="Encabezado">
    <w:name w:val="header"/>
    <w:aliases w:val="Membrete Sup.,encabezado"/>
    <w:basedOn w:val="Normal"/>
    <w:link w:val="EncabezadoCar"/>
    <w:uiPriority w:val="99"/>
    <w:unhideWhenUsed/>
    <w:rsid w:val="001C2868"/>
    <w:pPr>
      <w:tabs>
        <w:tab w:val="center" w:pos="4252"/>
        <w:tab w:val="right" w:pos="8504"/>
      </w:tabs>
      <w:spacing w:after="0"/>
    </w:pPr>
  </w:style>
  <w:style w:type="paragraph" w:customStyle="1" w:styleId="Piedefoto">
    <w:name w:val="Pie de foto"/>
    <w:basedOn w:val="Normal"/>
    <w:autoRedefine/>
    <w:qFormat/>
    <w:rsid w:val="00372A8B"/>
    <w:pPr>
      <w:widowControl w:val="0"/>
      <w:spacing w:after="0" w:line="240" w:lineRule="auto"/>
      <w:jc w:val="center"/>
    </w:pPr>
    <w:rPr>
      <w:rFonts w:eastAsia="HiddenHorzOCR" w:cs="Arial"/>
      <w:i/>
      <w:sz w:val="18"/>
      <w:szCs w:val="18"/>
      <w:lang w:val="es-ES_tradnl" w:eastAsia="es-ES"/>
    </w:rPr>
  </w:style>
  <w:style w:type="character" w:customStyle="1" w:styleId="TablaseIlustracionesCar">
    <w:name w:val="Tablas e Ilustraciones Car"/>
    <w:basedOn w:val="Fuentedeprrafopredeter"/>
    <w:link w:val="TablaseIlustraciones"/>
    <w:rsid w:val="00372A8B"/>
    <w:rPr>
      <w:rFonts w:ascii="Arial" w:eastAsiaTheme="minorEastAsia" w:hAnsi="Arial"/>
      <w:b/>
      <w:bCs/>
      <w:color w:val="4F81BD" w:themeColor="accent1"/>
      <w:sz w:val="18"/>
      <w:szCs w:val="18"/>
      <w:lang w:val="es-CL" w:eastAsia="es-CL"/>
    </w:rPr>
  </w:style>
  <w:style w:type="character" w:customStyle="1" w:styleId="EncabezadoCar">
    <w:name w:val="Encabezado Car"/>
    <w:aliases w:val="Membrete Sup. Car,encabezado Car"/>
    <w:basedOn w:val="Fuentedeprrafopredeter"/>
    <w:link w:val="Encabezado"/>
    <w:uiPriority w:val="99"/>
    <w:rsid w:val="001C2868"/>
    <w:rPr>
      <w:rFonts w:ascii="Arial" w:eastAsiaTheme="minorEastAsia" w:hAnsi="Arial"/>
      <w:szCs w:val="20"/>
      <w:lang w:val="es-CL" w:eastAsia="es-CL"/>
    </w:rPr>
  </w:style>
  <w:style w:type="paragraph" w:styleId="Piedepgina">
    <w:name w:val="footer"/>
    <w:aliases w:val="Membrete Inferior"/>
    <w:basedOn w:val="Normal"/>
    <w:link w:val="PiedepginaCar"/>
    <w:uiPriority w:val="99"/>
    <w:unhideWhenUsed/>
    <w:rsid w:val="001C2868"/>
    <w:pPr>
      <w:tabs>
        <w:tab w:val="center" w:pos="4252"/>
        <w:tab w:val="right" w:pos="8504"/>
      </w:tabs>
      <w:spacing w:after="0"/>
    </w:pPr>
  </w:style>
  <w:style w:type="character" w:customStyle="1" w:styleId="PiedepginaCar">
    <w:name w:val="Pie de página Car"/>
    <w:aliases w:val="Membrete Inferior Car"/>
    <w:basedOn w:val="Fuentedeprrafopredeter"/>
    <w:link w:val="Piedepgina"/>
    <w:uiPriority w:val="99"/>
    <w:rsid w:val="001C2868"/>
    <w:rPr>
      <w:rFonts w:ascii="Arial" w:eastAsiaTheme="minorEastAsia" w:hAnsi="Arial"/>
      <w:szCs w:val="20"/>
      <w:lang w:val="es-CL" w:eastAsia="es-CL"/>
    </w:rPr>
  </w:style>
  <w:style w:type="character" w:styleId="Nmerodepgina">
    <w:name w:val="page number"/>
    <w:basedOn w:val="Fuentedeprrafopredeter"/>
    <w:rsid w:val="007E498F"/>
  </w:style>
  <w:style w:type="paragraph" w:styleId="Lista">
    <w:name w:val="List"/>
    <w:aliases w:val="Lista par"/>
    <w:basedOn w:val="Normal"/>
    <w:rsid w:val="007E498F"/>
    <w:pPr>
      <w:numPr>
        <w:numId w:val="1"/>
      </w:numPr>
      <w:suppressAutoHyphens/>
      <w:spacing w:before="60" w:after="60" w:line="360" w:lineRule="auto"/>
      <w:contextualSpacing/>
    </w:pPr>
    <w:rPr>
      <w:rFonts w:eastAsia="Times New Roman" w:cs="Times New Roman"/>
      <w:sz w:val="24"/>
      <w:lang w:eastAsia="es-ES" w:bidi="he-IL"/>
    </w:rPr>
  </w:style>
  <w:style w:type="paragraph" w:customStyle="1" w:styleId="Vietadepunto">
    <w:name w:val="Viñeta de punto"/>
    <w:basedOn w:val="Normal"/>
    <w:rsid w:val="00EE6C6B"/>
    <w:pPr>
      <w:numPr>
        <w:numId w:val="2"/>
      </w:numPr>
      <w:tabs>
        <w:tab w:val="left" w:pos="709"/>
      </w:tabs>
      <w:spacing w:after="0"/>
    </w:pPr>
    <w:rPr>
      <w:rFonts w:eastAsia="Times New Roman" w:cs="Times New Roman"/>
      <w:sz w:val="24"/>
      <w:lang w:eastAsia="es-ES" w:bidi="he-IL"/>
    </w:rPr>
  </w:style>
  <w:style w:type="paragraph" w:customStyle="1" w:styleId="Guiones">
    <w:name w:val="Guiones"/>
    <w:basedOn w:val="Normal"/>
    <w:link w:val="GuionesCar"/>
    <w:qFormat/>
    <w:rsid w:val="00281591"/>
    <w:pPr>
      <w:numPr>
        <w:numId w:val="13"/>
      </w:numPr>
      <w:ind w:left="284" w:hanging="142"/>
    </w:pPr>
    <w:rPr>
      <w:rFonts w:eastAsia="HiddenHorzOCR" w:cs="Arial"/>
      <w:szCs w:val="22"/>
      <w:lang w:val="es-ES_tradnl" w:eastAsia="es-ES"/>
    </w:rPr>
  </w:style>
  <w:style w:type="character" w:customStyle="1" w:styleId="GuionesCar">
    <w:name w:val="Guiones Car"/>
    <w:link w:val="Guiones"/>
    <w:rsid w:val="00281591"/>
    <w:rPr>
      <w:rFonts w:ascii="Verdana" w:eastAsia="HiddenHorzOCR" w:hAnsi="Verdana" w:cs="Arial"/>
      <w:sz w:val="20"/>
      <w:lang w:val="es-ES_tradnl" w:eastAsia="es-ES"/>
    </w:rPr>
  </w:style>
  <w:style w:type="paragraph" w:styleId="Mapadeldocumento">
    <w:name w:val="Document Map"/>
    <w:basedOn w:val="Normal"/>
    <w:link w:val="MapadeldocumentoCar"/>
    <w:semiHidden/>
    <w:unhideWhenUsed/>
    <w:rsid w:val="00EE6C6B"/>
    <w:pPr>
      <w:spacing w:after="0"/>
    </w:pPr>
    <w:rPr>
      <w:rFonts w:ascii="Tahoma" w:hAnsi="Tahoma" w:cs="Tahoma"/>
      <w:sz w:val="16"/>
      <w:szCs w:val="16"/>
    </w:rPr>
  </w:style>
  <w:style w:type="character" w:customStyle="1" w:styleId="MapadeldocumentoCar">
    <w:name w:val="Mapa del documento Car"/>
    <w:basedOn w:val="Fuentedeprrafopredeter"/>
    <w:link w:val="Mapadeldocumento"/>
    <w:semiHidden/>
    <w:rsid w:val="00EE6C6B"/>
    <w:rPr>
      <w:rFonts w:ascii="Tahoma" w:eastAsiaTheme="minorEastAsia" w:hAnsi="Tahoma" w:cs="Tahoma"/>
      <w:sz w:val="16"/>
      <w:szCs w:val="16"/>
      <w:lang w:val="es-CL" w:eastAsia="es-CL"/>
    </w:rPr>
  </w:style>
  <w:style w:type="paragraph" w:styleId="TDC1">
    <w:name w:val="toc 1"/>
    <w:basedOn w:val="Normal"/>
    <w:next w:val="Normal"/>
    <w:uiPriority w:val="39"/>
    <w:qFormat/>
    <w:rsid w:val="00372A8B"/>
    <w:pPr>
      <w:spacing w:after="0"/>
      <w:jc w:val="left"/>
    </w:pPr>
    <w:rPr>
      <w:rFonts w:eastAsia="Times New Roman" w:cs="Univers"/>
      <w:b/>
      <w:caps/>
      <w:szCs w:val="22"/>
      <w:u w:val="single"/>
      <w:lang w:val="es-ES_tradnl" w:eastAsia="es-ES"/>
    </w:rPr>
  </w:style>
  <w:style w:type="paragraph" w:styleId="TDC2">
    <w:name w:val="toc 2"/>
    <w:basedOn w:val="Normal"/>
    <w:next w:val="Normal"/>
    <w:uiPriority w:val="39"/>
    <w:qFormat/>
    <w:rsid w:val="00372A8B"/>
    <w:pPr>
      <w:spacing w:after="0"/>
      <w:ind w:left="142"/>
      <w:jc w:val="left"/>
    </w:pPr>
    <w:rPr>
      <w:rFonts w:eastAsia="Times New Roman" w:cs="Univers"/>
      <w:b/>
      <w:szCs w:val="22"/>
      <w:lang w:val="es-ES_tradnl" w:eastAsia="es-ES"/>
    </w:rPr>
  </w:style>
  <w:style w:type="character" w:styleId="Hipervnculo">
    <w:name w:val="Hyperlink"/>
    <w:basedOn w:val="Fuentedeprrafopredeter"/>
    <w:uiPriority w:val="99"/>
    <w:unhideWhenUsed/>
    <w:rsid w:val="00EE6C6B"/>
    <w:rPr>
      <w:color w:val="0000FF" w:themeColor="hyperlink"/>
      <w:u w:val="single"/>
    </w:rPr>
  </w:style>
  <w:style w:type="paragraph" w:styleId="Tabladeilustraciones">
    <w:name w:val="table of figures"/>
    <w:basedOn w:val="Normal"/>
    <w:next w:val="Normal"/>
    <w:uiPriority w:val="99"/>
    <w:unhideWhenUsed/>
    <w:rsid w:val="00C738AA"/>
    <w:pPr>
      <w:spacing w:after="0"/>
    </w:pPr>
  </w:style>
  <w:style w:type="paragraph" w:customStyle="1" w:styleId="Portada1">
    <w:name w:val="Portada1"/>
    <w:basedOn w:val="Normal"/>
    <w:link w:val="Portada1Car"/>
    <w:qFormat/>
    <w:rsid w:val="00E059EC"/>
    <w:pPr>
      <w:jc w:val="center"/>
    </w:pPr>
    <w:rPr>
      <w:rFonts w:ascii="gobCL" w:hAnsi="gobCL" w:cs="Arial"/>
      <w:b/>
      <w:color w:val="1F497D" w:themeColor="text2"/>
      <w:sz w:val="40"/>
      <w:szCs w:val="40"/>
    </w:rPr>
  </w:style>
  <w:style w:type="paragraph" w:customStyle="1" w:styleId="Portada2">
    <w:name w:val="Portada2"/>
    <w:basedOn w:val="Normal"/>
    <w:link w:val="Portada2Car"/>
    <w:qFormat/>
    <w:rsid w:val="00E059EC"/>
    <w:pPr>
      <w:spacing w:after="0"/>
      <w:jc w:val="center"/>
    </w:pPr>
    <w:rPr>
      <w:rFonts w:ascii="gobCL" w:hAnsi="gobCL" w:cs="Arial"/>
      <w:b/>
      <w:color w:val="1F497D" w:themeColor="text2"/>
      <w:sz w:val="36"/>
      <w:szCs w:val="36"/>
    </w:rPr>
  </w:style>
  <w:style w:type="character" w:customStyle="1" w:styleId="Portada1Car">
    <w:name w:val="Portada1 Car"/>
    <w:basedOn w:val="Fuentedeprrafopredeter"/>
    <w:link w:val="Portada1"/>
    <w:rsid w:val="00E059EC"/>
    <w:rPr>
      <w:rFonts w:ascii="gobCL" w:eastAsiaTheme="minorEastAsia" w:hAnsi="gobCL" w:cs="Arial"/>
      <w:b/>
      <w:color w:val="1F497D" w:themeColor="text2"/>
      <w:sz w:val="40"/>
      <w:szCs w:val="40"/>
      <w:lang w:val="es-CL" w:eastAsia="es-CL"/>
    </w:rPr>
  </w:style>
  <w:style w:type="paragraph" w:customStyle="1" w:styleId="Portada3">
    <w:name w:val="Portada3"/>
    <w:basedOn w:val="Normal"/>
    <w:link w:val="Portada3Car"/>
    <w:qFormat/>
    <w:rsid w:val="00E059EC"/>
    <w:pPr>
      <w:tabs>
        <w:tab w:val="left" w:pos="142"/>
      </w:tabs>
      <w:jc w:val="center"/>
    </w:pPr>
    <w:rPr>
      <w:rFonts w:ascii="gobCL" w:hAnsi="gobCL" w:cs="Arial"/>
      <w:b/>
      <w:bCs/>
      <w:color w:val="1F497D" w:themeColor="text2"/>
      <w:sz w:val="28"/>
      <w:szCs w:val="28"/>
      <w:lang w:val="pt-BR"/>
    </w:rPr>
  </w:style>
  <w:style w:type="character" w:customStyle="1" w:styleId="Portada2Car">
    <w:name w:val="Portada2 Car"/>
    <w:basedOn w:val="Fuentedeprrafopredeter"/>
    <w:link w:val="Portada2"/>
    <w:rsid w:val="00E059EC"/>
    <w:rPr>
      <w:rFonts w:ascii="gobCL" w:eastAsiaTheme="minorEastAsia" w:hAnsi="gobCL" w:cs="Arial"/>
      <w:b/>
      <w:color w:val="1F497D" w:themeColor="text2"/>
      <w:sz w:val="36"/>
      <w:szCs w:val="36"/>
      <w:lang w:val="es-CL" w:eastAsia="es-CL"/>
    </w:rPr>
  </w:style>
  <w:style w:type="character" w:customStyle="1" w:styleId="Portada3Car">
    <w:name w:val="Portada3 Car"/>
    <w:basedOn w:val="Fuentedeprrafopredeter"/>
    <w:link w:val="Portada3"/>
    <w:rsid w:val="00E059EC"/>
    <w:rPr>
      <w:rFonts w:ascii="gobCL" w:eastAsiaTheme="minorEastAsia" w:hAnsi="gobCL" w:cs="Arial"/>
      <w:b/>
      <w:bCs/>
      <w:color w:val="1F497D" w:themeColor="text2"/>
      <w:sz w:val="28"/>
      <w:szCs w:val="28"/>
      <w:lang w:val="pt-BR" w:eastAsia="es-CL"/>
    </w:rPr>
  </w:style>
  <w:style w:type="paragraph" w:customStyle="1" w:styleId="EncabezadoPie">
    <w:name w:val="EncabezadoPie"/>
    <w:basedOn w:val="Normal"/>
    <w:link w:val="EncabezadoPieCar"/>
    <w:qFormat/>
    <w:rsid w:val="00C47A64"/>
    <w:pPr>
      <w:spacing w:after="0"/>
      <w:jc w:val="left"/>
    </w:pPr>
    <w:rPr>
      <w:rFonts w:eastAsia="Times New Roman"/>
      <w:b/>
      <w:color w:val="1F497D" w:themeColor="text2"/>
      <w:sz w:val="16"/>
      <w:szCs w:val="16"/>
    </w:rPr>
  </w:style>
  <w:style w:type="character" w:customStyle="1" w:styleId="EncabezadoPieCar">
    <w:name w:val="EncabezadoPie Car"/>
    <w:basedOn w:val="Fuentedeprrafopredeter"/>
    <w:link w:val="EncabezadoPie"/>
    <w:rsid w:val="00C47A64"/>
    <w:rPr>
      <w:rFonts w:ascii="Verdana" w:eastAsia="Times New Roman" w:hAnsi="Verdana"/>
      <w:b/>
      <w:color w:val="1F497D" w:themeColor="text2"/>
      <w:sz w:val="16"/>
      <w:szCs w:val="16"/>
      <w:lang w:eastAsia="es-CL"/>
    </w:rPr>
  </w:style>
  <w:style w:type="paragraph" w:styleId="TtulodeTDC">
    <w:name w:val="TOC Heading"/>
    <w:basedOn w:val="Ttulo1"/>
    <w:next w:val="Normal"/>
    <w:uiPriority w:val="39"/>
    <w:unhideWhenUsed/>
    <w:qFormat/>
    <w:rsid w:val="003A3459"/>
    <w:pPr>
      <w:keepLines/>
      <w:numPr>
        <w:numId w:val="0"/>
      </w:numPr>
      <w:spacing w:before="480" w:after="0"/>
      <w:jc w:val="center"/>
      <w:outlineLvl w:val="9"/>
    </w:pPr>
    <w:rPr>
      <w:rFonts w:eastAsiaTheme="majorEastAsia" w:cstheme="majorBidi"/>
      <w:bCs/>
      <w:smallCaps/>
      <w:color w:val="365F91" w:themeColor="accent1" w:themeShade="BF"/>
      <w:sz w:val="28"/>
      <w:szCs w:val="28"/>
    </w:rPr>
  </w:style>
  <w:style w:type="paragraph" w:customStyle="1" w:styleId="Nmeros">
    <w:name w:val="Números"/>
    <w:basedOn w:val="Normal"/>
    <w:qFormat/>
    <w:rsid w:val="00CA14A4"/>
    <w:pPr>
      <w:numPr>
        <w:numId w:val="3"/>
      </w:numPr>
      <w:spacing w:after="0"/>
    </w:pPr>
    <w:rPr>
      <w:rFonts w:ascii="Calibri" w:eastAsia="Times New Roman" w:hAnsi="Calibri" w:cs="Times New Roman"/>
      <w:sz w:val="24"/>
      <w:lang w:val="es-ES_tradnl" w:eastAsia="es-ES"/>
    </w:rPr>
  </w:style>
  <w:style w:type="paragraph" w:customStyle="1" w:styleId="Figura">
    <w:name w:val="Figura"/>
    <w:basedOn w:val="Grfico"/>
    <w:uiPriority w:val="99"/>
    <w:qFormat/>
    <w:rsid w:val="00455281"/>
    <w:rPr>
      <w:sz w:val="18"/>
      <w:szCs w:val="20"/>
    </w:rPr>
  </w:style>
  <w:style w:type="paragraph" w:customStyle="1" w:styleId="Vietas">
    <w:name w:val="Viñetas"/>
    <w:basedOn w:val="Normal"/>
    <w:qFormat/>
    <w:rsid w:val="00281591"/>
    <w:pPr>
      <w:numPr>
        <w:numId w:val="16"/>
      </w:numPr>
    </w:pPr>
    <w:rPr>
      <w:rFonts w:eastAsia="Arial Unicode MS" w:cs="Univers"/>
      <w:szCs w:val="22"/>
      <w:lang w:val="es-ES_tradnl" w:eastAsia="es-ES"/>
    </w:rPr>
  </w:style>
  <w:style w:type="character" w:customStyle="1" w:styleId="PrrafodelistaCar">
    <w:name w:val="Párrafo de lista Car"/>
    <w:link w:val="Prrafodelista"/>
    <w:uiPriority w:val="34"/>
    <w:locked/>
    <w:rsid w:val="00CA14A4"/>
    <w:rPr>
      <w:rFonts w:ascii="Verdana" w:eastAsiaTheme="minorEastAsia" w:hAnsi="Verdana"/>
      <w:sz w:val="20"/>
      <w:szCs w:val="20"/>
      <w:lang w:val="es-CL" w:eastAsia="es-CL"/>
    </w:rPr>
  </w:style>
  <w:style w:type="paragraph" w:styleId="Textosinformato">
    <w:name w:val="Plain Text"/>
    <w:basedOn w:val="Normal"/>
    <w:link w:val="TextosinformatoCar"/>
    <w:uiPriority w:val="99"/>
    <w:unhideWhenUsed/>
    <w:rsid w:val="00253428"/>
    <w:pPr>
      <w:spacing w:before="100" w:beforeAutospacing="1" w:after="100" w:afterAutospacing="1"/>
      <w:jc w:val="left"/>
    </w:pPr>
    <w:rPr>
      <w:rFonts w:ascii="Times New Roman" w:eastAsia="Times New Roman" w:hAnsi="Times New Roman" w:cs="Times New Roman"/>
      <w:sz w:val="24"/>
      <w:szCs w:val="24"/>
    </w:rPr>
  </w:style>
  <w:style w:type="character" w:customStyle="1" w:styleId="TextosinformatoCar">
    <w:name w:val="Texto sin formato Car"/>
    <w:basedOn w:val="Fuentedeprrafopredeter"/>
    <w:link w:val="Textosinformato"/>
    <w:uiPriority w:val="99"/>
    <w:rsid w:val="00253428"/>
    <w:rPr>
      <w:rFonts w:ascii="Times New Roman" w:eastAsia="Times New Roman" w:hAnsi="Times New Roman" w:cs="Times New Roman"/>
      <w:sz w:val="24"/>
      <w:szCs w:val="24"/>
      <w:lang w:val="es-CL" w:eastAsia="es-CL"/>
    </w:rPr>
  </w:style>
  <w:style w:type="paragraph" w:styleId="TDC3">
    <w:name w:val="toc 3"/>
    <w:basedOn w:val="Normal"/>
    <w:next w:val="Normal"/>
    <w:uiPriority w:val="39"/>
    <w:qFormat/>
    <w:rsid w:val="00372A8B"/>
    <w:pPr>
      <w:spacing w:after="0"/>
      <w:ind w:left="567"/>
    </w:pPr>
    <w:rPr>
      <w:rFonts w:eastAsia="Times New Roman" w:cs="Univers"/>
      <w:szCs w:val="22"/>
      <w:lang w:val="es-ES_tradnl" w:eastAsia="es-ES_tradnl"/>
    </w:rPr>
  </w:style>
  <w:style w:type="character" w:customStyle="1" w:styleId="txtinfogris1">
    <w:name w:val="txt_info_gris1"/>
    <w:basedOn w:val="Fuentedeprrafopredeter"/>
    <w:rsid w:val="007F154A"/>
    <w:rPr>
      <w:rFonts w:ascii="FrutigerLTStd-LightCn" w:hAnsi="FrutigerLTStd-LightCn" w:hint="default"/>
      <w:b w:val="0"/>
      <w:bCs w:val="0"/>
      <w:color w:val="7C7C7C"/>
      <w:sz w:val="23"/>
      <w:szCs w:val="23"/>
    </w:rPr>
  </w:style>
  <w:style w:type="numbering" w:customStyle="1" w:styleId="Sinlista1">
    <w:name w:val="Sin lista1"/>
    <w:next w:val="Sinlista"/>
    <w:uiPriority w:val="99"/>
    <w:semiHidden/>
    <w:unhideWhenUsed/>
    <w:rsid w:val="00CA7229"/>
  </w:style>
  <w:style w:type="table" w:customStyle="1" w:styleId="Tablaconcuadrcula1">
    <w:name w:val="Tabla con cuadrícula1"/>
    <w:basedOn w:val="Tablanormal"/>
    <w:next w:val="Tablaconcuadrcula"/>
    <w:uiPriority w:val="39"/>
    <w:rsid w:val="00CA7229"/>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basedOn w:val="Fuentedeprrafopredeter"/>
    <w:uiPriority w:val="99"/>
    <w:semiHidden/>
    <w:unhideWhenUsed/>
    <w:rsid w:val="00CA7229"/>
    <w:rPr>
      <w:sz w:val="16"/>
      <w:szCs w:val="16"/>
    </w:rPr>
  </w:style>
  <w:style w:type="paragraph" w:styleId="Textocomentario">
    <w:name w:val="annotation text"/>
    <w:basedOn w:val="Normal"/>
    <w:link w:val="TextocomentarioCar"/>
    <w:uiPriority w:val="99"/>
    <w:semiHidden/>
    <w:unhideWhenUsed/>
    <w:rsid w:val="00CA7229"/>
  </w:style>
  <w:style w:type="character" w:customStyle="1" w:styleId="TextocomentarioCar">
    <w:name w:val="Texto comentario Car"/>
    <w:basedOn w:val="Fuentedeprrafopredeter"/>
    <w:link w:val="Textocomentario"/>
    <w:uiPriority w:val="99"/>
    <w:semiHidden/>
    <w:rsid w:val="00CA7229"/>
    <w:rPr>
      <w:rFonts w:ascii="Verdana" w:eastAsiaTheme="minorEastAsia" w:hAnsi="Verdana"/>
      <w:sz w:val="20"/>
      <w:szCs w:val="20"/>
      <w:lang w:val="es-CL" w:eastAsia="es-CL"/>
    </w:rPr>
  </w:style>
  <w:style w:type="paragraph" w:styleId="Revisin">
    <w:name w:val="Revision"/>
    <w:hidden/>
    <w:uiPriority w:val="99"/>
    <w:semiHidden/>
    <w:rsid w:val="00CA7229"/>
    <w:pPr>
      <w:spacing w:after="0" w:line="240" w:lineRule="auto"/>
    </w:pPr>
    <w:rPr>
      <w:rFonts w:ascii="Verdana" w:eastAsiaTheme="minorEastAsia" w:hAnsi="Verdana"/>
      <w:sz w:val="20"/>
      <w:szCs w:val="20"/>
      <w:lang w:val="es-CL" w:eastAsia="es-CL"/>
    </w:rPr>
  </w:style>
  <w:style w:type="paragraph" w:customStyle="1" w:styleId="descripcion">
    <w:name w:val="descripcion"/>
    <w:basedOn w:val="Normal"/>
    <w:rsid w:val="00B01621"/>
    <w:pPr>
      <w:spacing w:before="100" w:beforeAutospacing="1" w:after="100" w:afterAutospacing="1"/>
      <w:jc w:val="left"/>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qFormat/>
    <w:rsid w:val="005919CA"/>
    <w:pPr>
      <w:tabs>
        <w:tab w:val="right" w:pos="9111"/>
      </w:tabs>
      <w:spacing w:after="0"/>
      <w:jc w:val="left"/>
    </w:pPr>
    <w:rPr>
      <w:szCs w:val="22"/>
      <w:lang w:eastAsia="es-ES"/>
    </w:rPr>
  </w:style>
  <w:style w:type="paragraph" w:styleId="TDC5">
    <w:name w:val="toc 5"/>
    <w:basedOn w:val="Normal"/>
    <w:next w:val="Normal"/>
    <w:autoRedefine/>
    <w:uiPriority w:val="39"/>
    <w:unhideWhenUsed/>
    <w:rsid w:val="00A54847"/>
    <w:pPr>
      <w:spacing w:after="100"/>
      <w:ind w:left="880"/>
      <w:jc w:val="left"/>
    </w:pPr>
    <w:rPr>
      <w:rFonts w:asciiTheme="minorHAnsi" w:hAnsiTheme="minorHAnsi"/>
      <w:sz w:val="22"/>
      <w:szCs w:val="22"/>
      <w:lang w:eastAsia="es-ES"/>
    </w:rPr>
  </w:style>
  <w:style w:type="paragraph" w:styleId="TDC6">
    <w:name w:val="toc 6"/>
    <w:basedOn w:val="Normal"/>
    <w:next w:val="Normal"/>
    <w:autoRedefine/>
    <w:uiPriority w:val="39"/>
    <w:unhideWhenUsed/>
    <w:rsid w:val="00A54847"/>
    <w:pPr>
      <w:spacing w:after="100"/>
      <w:ind w:left="1100"/>
      <w:jc w:val="left"/>
    </w:pPr>
    <w:rPr>
      <w:rFonts w:asciiTheme="minorHAnsi" w:hAnsiTheme="minorHAnsi"/>
      <w:sz w:val="22"/>
      <w:szCs w:val="22"/>
      <w:lang w:eastAsia="es-ES"/>
    </w:rPr>
  </w:style>
  <w:style w:type="paragraph" w:styleId="TDC7">
    <w:name w:val="toc 7"/>
    <w:basedOn w:val="Normal"/>
    <w:next w:val="Normal"/>
    <w:autoRedefine/>
    <w:uiPriority w:val="39"/>
    <w:unhideWhenUsed/>
    <w:rsid w:val="00A54847"/>
    <w:pPr>
      <w:spacing w:after="100"/>
      <w:ind w:left="1320"/>
      <w:jc w:val="left"/>
    </w:pPr>
    <w:rPr>
      <w:rFonts w:asciiTheme="minorHAnsi" w:hAnsiTheme="minorHAnsi"/>
      <w:sz w:val="22"/>
      <w:szCs w:val="22"/>
      <w:lang w:eastAsia="es-ES"/>
    </w:rPr>
  </w:style>
  <w:style w:type="paragraph" w:styleId="TDC8">
    <w:name w:val="toc 8"/>
    <w:basedOn w:val="Normal"/>
    <w:next w:val="Normal"/>
    <w:autoRedefine/>
    <w:uiPriority w:val="39"/>
    <w:unhideWhenUsed/>
    <w:rsid w:val="00A54847"/>
    <w:pPr>
      <w:spacing w:after="100"/>
      <w:ind w:left="1540"/>
      <w:jc w:val="left"/>
    </w:pPr>
    <w:rPr>
      <w:rFonts w:asciiTheme="minorHAnsi" w:hAnsiTheme="minorHAnsi"/>
      <w:sz w:val="22"/>
      <w:szCs w:val="22"/>
      <w:lang w:eastAsia="es-ES"/>
    </w:rPr>
  </w:style>
  <w:style w:type="paragraph" w:styleId="TDC9">
    <w:name w:val="toc 9"/>
    <w:basedOn w:val="Normal"/>
    <w:next w:val="Normal"/>
    <w:autoRedefine/>
    <w:uiPriority w:val="39"/>
    <w:unhideWhenUsed/>
    <w:rsid w:val="00A54847"/>
    <w:pPr>
      <w:spacing w:after="100"/>
      <w:ind w:left="1760"/>
      <w:jc w:val="left"/>
    </w:pPr>
    <w:rPr>
      <w:rFonts w:asciiTheme="minorHAnsi" w:hAnsiTheme="minorHAnsi"/>
      <w:sz w:val="22"/>
      <w:szCs w:val="22"/>
      <w:lang w:eastAsia="es-ES"/>
    </w:rPr>
  </w:style>
  <w:style w:type="table" w:customStyle="1" w:styleId="Tablaconcuadrcula2">
    <w:name w:val="Tabla con cuadrícula2"/>
    <w:basedOn w:val="Tablanormal"/>
    <w:next w:val="Tablaconcuadrcula"/>
    <w:uiPriority w:val="59"/>
    <w:rsid w:val="0042020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basedOn w:val="Fuentedeprrafopredeter"/>
    <w:uiPriority w:val="99"/>
    <w:semiHidden/>
    <w:unhideWhenUsed/>
    <w:rsid w:val="003209EB"/>
    <w:rPr>
      <w:color w:val="800080" w:themeColor="followedHyperlink"/>
      <w:u w:val="single"/>
    </w:rPr>
  </w:style>
  <w:style w:type="character" w:customStyle="1" w:styleId="Ttulo4Car1">
    <w:name w:val="Título 4 Car1"/>
    <w:aliases w:val="Título 4amb Car1"/>
    <w:basedOn w:val="Fuentedeprrafopredeter"/>
    <w:semiHidden/>
    <w:rsid w:val="003209EB"/>
    <w:rPr>
      <w:rFonts w:asciiTheme="majorHAnsi" w:eastAsiaTheme="majorEastAsia" w:hAnsiTheme="majorHAnsi" w:cstheme="majorBidi"/>
      <w:b/>
      <w:bCs/>
      <w:i/>
      <w:iCs/>
      <w:color w:val="4F81BD" w:themeColor="accent1"/>
      <w:lang w:val="es-CL" w:eastAsia="es-CL"/>
    </w:rPr>
  </w:style>
  <w:style w:type="character" w:customStyle="1" w:styleId="il">
    <w:name w:val="il"/>
    <w:basedOn w:val="Fuentedeprrafopredeter"/>
    <w:rsid w:val="003209EB"/>
  </w:style>
  <w:style w:type="table" w:customStyle="1" w:styleId="Tablaconcuadrcula11">
    <w:name w:val="Tabla con cuadrícula11"/>
    <w:basedOn w:val="Tablanormal"/>
    <w:rsid w:val="003209EB"/>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4-nfasis11">
    <w:name w:val="Tabla de cuadrícula 4 - Énfasis 11"/>
    <w:basedOn w:val="Tablanormal"/>
    <w:uiPriority w:val="49"/>
    <w:rsid w:val="003209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
    <w:name w:val="Tabla con cuadrícula12"/>
    <w:basedOn w:val="Tablanormal"/>
    <w:uiPriority w:val="39"/>
    <w:rsid w:val="003209EB"/>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
    <w:name w:val="Tabla de cuadrícula 6 con colores - Énfasis 51"/>
    <w:basedOn w:val="Tablanormal"/>
    <w:uiPriority w:val="51"/>
    <w:rsid w:val="003209EB"/>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
    <w:name w:val="Tabla con cuadrícula21"/>
    <w:basedOn w:val="Tablanormal"/>
    <w:uiPriority w:val="59"/>
    <w:rsid w:val="00972DE5"/>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uiPriority w:val="59"/>
    <w:rsid w:val="0072718B"/>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2">
    <w:name w:val="Sin lista2"/>
    <w:next w:val="Sinlista"/>
    <w:uiPriority w:val="99"/>
    <w:semiHidden/>
    <w:unhideWhenUsed/>
    <w:rsid w:val="002C3FCC"/>
  </w:style>
  <w:style w:type="table" w:customStyle="1" w:styleId="Tablaconcuadrcula4">
    <w:name w:val="Tabla con cuadrícula4"/>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11">
    <w:name w:val="Sin lista11"/>
    <w:next w:val="Sinlista"/>
    <w:uiPriority w:val="99"/>
    <w:semiHidden/>
    <w:unhideWhenUsed/>
    <w:rsid w:val="002C3FCC"/>
  </w:style>
  <w:style w:type="table" w:customStyle="1" w:styleId="Tablaconcuadrcula13">
    <w:name w:val="Tabla con cuadrícula13"/>
    <w:basedOn w:val="Tablanormal"/>
    <w:next w:val="Tablaconcuadrcula"/>
    <w:uiPriority w:val="3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2">
    <w:name w:val="Tabla con cuadrícula22"/>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11">
    <w:name w:val="Tabla con cuadrícula111"/>
    <w:basedOn w:val="Tablanormal"/>
    <w:rsid w:val="002C3FCC"/>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Accent 5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Accent 1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Accent 11"/>
    <w:basedOn w:val="Tablanormal"/>
    <w:uiPriority w:val="49"/>
    <w:rsid w:val="002C3F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1">
    <w:name w:val="Tabla con cuadrícula121"/>
    <w:basedOn w:val="Tablanormal"/>
    <w:uiPriority w:val="39"/>
    <w:rsid w:val="002C3FCC"/>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1">
    <w:name w:val="Tabla de cuadrícula 6 con colores - Énfasis 511"/>
    <w:basedOn w:val="Tablanormal"/>
    <w:uiPriority w:val="51"/>
    <w:rsid w:val="002C3FCC"/>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1">
    <w:name w:val="Tabla con cuadrícula211"/>
    <w:basedOn w:val="Tablanormal"/>
    <w:uiPriority w:val="59"/>
    <w:rsid w:val="002C3FCC"/>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
    <w:name w:val="Body"/>
    <w:basedOn w:val="Normal"/>
    <w:uiPriority w:val="1"/>
    <w:qFormat/>
    <w:rsid w:val="002C3FCC"/>
    <w:pPr>
      <w:widowControl w:val="0"/>
      <w:autoSpaceDE w:val="0"/>
      <w:autoSpaceDN w:val="0"/>
      <w:adjustRightInd w:val="0"/>
      <w:spacing w:after="0"/>
      <w:jc w:val="left"/>
    </w:pPr>
    <w:rPr>
      <w:rFonts w:ascii="Arial" w:eastAsia="Times New Roman" w:hAnsi="Arial" w:cs="Arial"/>
      <w:sz w:val="16"/>
      <w:szCs w:val="16"/>
    </w:rPr>
  </w:style>
  <w:style w:type="paragraph" w:customStyle="1" w:styleId="TableParagraph">
    <w:name w:val="Table Paragraph"/>
    <w:basedOn w:val="Normal"/>
    <w:uiPriority w:val="1"/>
    <w:qFormat/>
    <w:rsid w:val="002C3FCC"/>
    <w:pPr>
      <w:widowControl w:val="0"/>
      <w:autoSpaceDE w:val="0"/>
      <w:autoSpaceDN w:val="0"/>
      <w:adjustRightInd w:val="0"/>
      <w:spacing w:after="0"/>
      <w:jc w:val="left"/>
    </w:pPr>
    <w:rPr>
      <w:rFonts w:ascii="Times New Roman" w:eastAsia="Times New Roman" w:hAnsi="Times New Roman" w:cs="Times New Roman"/>
      <w:sz w:val="24"/>
      <w:szCs w:val="24"/>
    </w:rPr>
  </w:style>
  <w:style w:type="paragraph" w:styleId="Sangradetextonormal">
    <w:name w:val="Body Text Indent"/>
    <w:basedOn w:val="Normal"/>
    <w:link w:val="SangradetextonormalCar"/>
    <w:rsid w:val="002C3FCC"/>
    <w:pPr>
      <w:spacing w:after="0"/>
      <w:ind w:left="426"/>
    </w:pPr>
    <w:rPr>
      <w:rFonts w:ascii="Arial" w:eastAsia="Times New Roman" w:hAnsi="Arial" w:cs="Times New Roman"/>
      <w:sz w:val="22"/>
      <w:lang w:val="es-ES_tradnl" w:eastAsia="es-ES"/>
    </w:rPr>
  </w:style>
  <w:style w:type="character" w:customStyle="1" w:styleId="SangradetextonormalCar">
    <w:name w:val="Sangría de texto normal Car"/>
    <w:basedOn w:val="Fuentedeprrafopredeter"/>
    <w:link w:val="Sangradetextonormal"/>
    <w:rsid w:val="002C3FCC"/>
    <w:rPr>
      <w:rFonts w:ascii="Arial" w:eastAsia="Times New Roman" w:hAnsi="Arial" w:cs="Times New Roman"/>
      <w:szCs w:val="20"/>
      <w:lang w:val="es-ES_tradnl" w:eastAsia="es-ES"/>
    </w:rPr>
  </w:style>
  <w:style w:type="paragraph" w:customStyle="1" w:styleId="Prrafodelista1">
    <w:name w:val="Párrafo de lista1"/>
    <w:basedOn w:val="Normal"/>
    <w:qFormat/>
    <w:rsid w:val="002C3FCC"/>
    <w:pPr>
      <w:spacing w:after="0"/>
      <w:ind w:left="720"/>
      <w:jc w:val="left"/>
    </w:pPr>
    <w:rPr>
      <w:rFonts w:ascii="Calibri" w:eastAsia="Calibri" w:hAnsi="Calibri" w:cs="Calibri"/>
      <w:sz w:val="22"/>
      <w:szCs w:val="22"/>
      <w:lang w:eastAsia="en-US"/>
    </w:rPr>
  </w:style>
  <w:style w:type="paragraph" w:customStyle="1" w:styleId="Revisin1">
    <w:name w:val="Revisión1"/>
    <w:hidden/>
    <w:semiHidden/>
    <w:rsid w:val="002C3FCC"/>
    <w:pPr>
      <w:spacing w:after="0" w:line="240" w:lineRule="auto"/>
    </w:pPr>
    <w:rPr>
      <w:rFonts w:ascii="Times New Roman" w:eastAsia="Calibri" w:hAnsi="Times New Roman" w:cs="Times New Roman"/>
      <w:sz w:val="24"/>
      <w:szCs w:val="24"/>
      <w:lang w:eastAsia="es-ES"/>
    </w:rPr>
  </w:style>
  <w:style w:type="paragraph" w:customStyle="1" w:styleId="Textodenotaalpie">
    <w:name w:val="Texto de nota al pie"/>
    <w:basedOn w:val="Normal"/>
    <w:next w:val="Normal"/>
    <w:qFormat/>
    <w:rsid w:val="00372A8B"/>
    <w:pPr>
      <w:spacing w:after="0" w:line="240" w:lineRule="auto"/>
      <w:ind w:left="142" w:hanging="142"/>
    </w:pPr>
    <w:rPr>
      <w:rFonts w:eastAsia="Times New Roman" w:cs="Univers"/>
      <w:sz w:val="18"/>
      <w:szCs w:val="18"/>
      <w:lang w:val="es-ES_tradnl" w:eastAsia="es-ES"/>
    </w:rPr>
  </w:style>
  <w:style w:type="table" w:customStyle="1" w:styleId="Tablaconcuadrcula5">
    <w:name w:val="Tabla con cuadrícula5"/>
    <w:basedOn w:val="Tablanormal"/>
    <w:next w:val="Tablaconcuadrcula"/>
    <w:uiPriority w:val="59"/>
    <w:rsid w:val="00A71BA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FE3FA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A73C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59"/>
    <w:rsid w:val="00E203FA"/>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0C61B1"/>
    <w:pPr>
      <w:numPr>
        <w:numId w:val="4"/>
      </w:numPr>
      <w:tabs>
        <w:tab w:val="left" w:pos="1234"/>
      </w:tabs>
      <w:spacing w:after="0"/>
      <w:ind w:right="61" w:firstLine="0"/>
    </w:pPr>
    <w:rPr>
      <w:rFonts w:ascii="Times New Roman" w:eastAsia="Arial" w:hAnsi="Times New Roman" w:cs="Arial"/>
      <w:color w:val="000000"/>
      <w:lang w:val="es-MX" w:eastAsia="es-ES"/>
    </w:rPr>
  </w:style>
  <w:style w:type="character" w:customStyle="1" w:styleId="Textoindependiente2Car">
    <w:name w:val="Texto independiente 2 Car"/>
    <w:basedOn w:val="Fuentedeprrafopredeter"/>
    <w:link w:val="Textoindependiente2"/>
    <w:rsid w:val="000C61B1"/>
    <w:rPr>
      <w:rFonts w:ascii="Times New Roman" w:eastAsia="Arial" w:hAnsi="Times New Roman" w:cs="Arial"/>
      <w:color w:val="000000"/>
      <w:sz w:val="20"/>
      <w:szCs w:val="20"/>
      <w:lang w:val="es-MX" w:eastAsia="es-ES"/>
    </w:rPr>
  </w:style>
  <w:style w:type="character" w:styleId="Textoennegrita">
    <w:name w:val="Strong"/>
    <w:basedOn w:val="Fuentedeprrafopredeter"/>
    <w:uiPriority w:val="22"/>
    <w:qFormat/>
    <w:rsid w:val="000C61B1"/>
    <w:rPr>
      <w:b/>
      <w:bCs/>
    </w:rPr>
  </w:style>
  <w:style w:type="paragraph" w:styleId="Asuntodelcomentario">
    <w:name w:val="annotation subject"/>
    <w:basedOn w:val="Textocomentario"/>
    <w:next w:val="Textocomentario"/>
    <w:link w:val="AsuntodelcomentarioCar"/>
    <w:uiPriority w:val="99"/>
    <w:semiHidden/>
    <w:unhideWhenUsed/>
    <w:rsid w:val="002F5C3C"/>
    <w:rPr>
      <w:b/>
      <w:bCs/>
    </w:rPr>
  </w:style>
  <w:style w:type="character" w:customStyle="1" w:styleId="AsuntodelcomentarioCar">
    <w:name w:val="Asunto del comentario Car"/>
    <w:basedOn w:val="TextocomentarioCar"/>
    <w:link w:val="Asuntodelcomentario"/>
    <w:uiPriority w:val="99"/>
    <w:semiHidden/>
    <w:rsid w:val="002F5C3C"/>
    <w:rPr>
      <w:rFonts w:ascii="Verdana" w:eastAsiaTheme="minorEastAsia" w:hAnsi="Verdana"/>
      <w:b/>
      <w:bCs/>
      <w:sz w:val="20"/>
      <w:szCs w:val="20"/>
      <w:lang w:val="es-CL" w:eastAsia="es-CL"/>
    </w:rPr>
  </w:style>
  <w:style w:type="paragraph" w:styleId="Puesto">
    <w:name w:val="Title"/>
    <w:basedOn w:val="Prrafodelista"/>
    <w:next w:val="Normal"/>
    <w:link w:val="PuestoCar"/>
    <w:uiPriority w:val="99"/>
    <w:qFormat/>
    <w:rsid w:val="002F5C3C"/>
    <w:pPr>
      <w:numPr>
        <w:numId w:val="5"/>
      </w:numPr>
      <w:spacing w:after="200"/>
    </w:pPr>
    <w:rPr>
      <w:rFonts w:asciiTheme="minorHAnsi" w:eastAsiaTheme="minorHAnsi" w:hAnsiTheme="minorHAnsi"/>
      <w:sz w:val="22"/>
      <w:szCs w:val="22"/>
      <w:lang w:eastAsia="en-US"/>
    </w:rPr>
  </w:style>
  <w:style w:type="character" w:customStyle="1" w:styleId="PuestoCar">
    <w:name w:val="Puesto Car"/>
    <w:basedOn w:val="Fuentedeprrafopredeter"/>
    <w:link w:val="Puesto"/>
    <w:uiPriority w:val="99"/>
    <w:rsid w:val="002F5C3C"/>
    <w:rPr>
      <w:lang w:val="es-CL"/>
    </w:rPr>
  </w:style>
  <w:style w:type="table" w:customStyle="1" w:styleId="Tablaconcuadrcula9">
    <w:name w:val="Tabla con cuadrícula9"/>
    <w:basedOn w:val="Tablanormal"/>
    <w:next w:val="Tablaconcuadrcula"/>
    <w:uiPriority w:val="59"/>
    <w:rsid w:val="00991357"/>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0">
    <w:name w:val="Tabla con cuadrícula10"/>
    <w:basedOn w:val="Tablanormal"/>
    <w:next w:val="Tablaconcuadrcula"/>
    <w:uiPriority w:val="59"/>
    <w:rsid w:val="00D2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next w:val="Tablaconcuadrcula"/>
    <w:uiPriority w:val="59"/>
    <w:rsid w:val="00EB5A3F"/>
    <w:pPr>
      <w:jc w:val="both"/>
    </w:pPr>
    <w:rPr>
      <w:rFonts w:eastAsia="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7B15D1"/>
    <w:pPr>
      <w:spacing w:before="100" w:beforeAutospacing="1" w:after="100" w:afterAutospacing="1"/>
      <w:jc w:val="left"/>
    </w:pPr>
    <w:rPr>
      <w:rFonts w:ascii="Times New Roman" w:eastAsiaTheme="minorHAnsi" w:hAnsi="Times New Roman" w:cs="Times New Roman"/>
      <w:sz w:val="24"/>
      <w:szCs w:val="24"/>
      <w:lang w:val="es-ES_tradnl" w:eastAsia="es-ES_tradnl"/>
    </w:rPr>
  </w:style>
  <w:style w:type="table" w:customStyle="1" w:styleId="TABLADGA2">
    <w:name w:val="TABLA DGA 2"/>
    <w:basedOn w:val="Tablanormal"/>
    <w:uiPriority w:val="99"/>
    <w:rsid w:val="00183840"/>
    <w:pPr>
      <w:spacing w:after="0" w:line="240" w:lineRule="auto"/>
      <w:jc w:val="center"/>
    </w:pPr>
    <w:rPr>
      <w:rFonts w:ascii="Verdana" w:eastAsia="Times New Roman" w:hAnsi="Verdana" w:cs="Times New Roman"/>
      <w:sz w:val="18"/>
      <w:szCs w:val="20"/>
      <w:lang w:val="en-US"/>
    </w:rPr>
    <w:tblPr>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jc w:val="center"/>
    </w:trPr>
    <w:tcPr>
      <w:shd w:val="clear" w:color="auto" w:fill="FFFFFF" w:themeFill="background1"/>
      <w:vAlign w:val="center"/>
    </w:tcPr>
    <w:tblStylePr w:type="firstRow">
      <w:rPr>
        <w:rFonts w:ascii="Verdana" w:hAnsi="Verdana"/>
        <w:b/>
        <w:color w:val="auto"/>
        <w:sz w:val="18"/>
      </w:rPr>
      <w:tblPr/>
      <w:tcPr>
        <w:shd w:val="clear" w:color="auto" w:fill="D9D9D9" w:themeFill="background1" w:themeFillShade="D9"/>
      </w:tcPr>
    </w:tblStylePr>
    <w:tblStylePr w:type="firstCol">
      <w:pPr>
        <w:wordWrap/>
        <w:jc w:val="center"/>
      </w:pPr>
      <w:rPr>
        <w:b w:val="0"/>
        <w:color w:val="auto"/>
      </w:rPr>
      <w:tblPr/>
      <w:tcPr>
        <w:shd w:val="clear" w:color="auto" w:fill="FFFFFF" w:themeFill="background1"/>
      </w:tcPr>
    </w:tblStylePr>
    <w:tblStylePr w:type="lastCol">
      <w:tblPr/>
      <w:tcPr>
        <w:shd w:val="clear" w:color="auto" w:fill="FFFFFF" w:themeFill="background1"/>
      </w:tcPr>
    </w:tblStylePr>
  </w:style>
  <w:style w:type="table" w:customStyle="1" w:styleId="Tablanormal11">
    <w:name w:val="Tabla normal 11"/>
    <w:basedOn w:val="Tablanormal"/>
    <w:uiPriority w:val="41"/>
    <w:rsid w:val="007B15D1"/>
    <w:pPr>
      <w:spacing w:after="0" w:line="240" w:lineRule="auto"/>
    </w:pPr>
    <w:rPr>
      <w:sz w:val="24"/>
      <w:szCs w:val="24"/>
      <w:lang w:val="es-ES_trad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7B15D1"/>
    <w:pPr>
      <w:spacing w:after="0" w:line="240" w:lineRule="auto"/>
    </w:pPr>
    <w:rPr>
      <w:sz w:val="24"/>
      <w:szCs w:val="24"/>
      <w:lang w:val="es-ES_trad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adrculadetablaclara1">
    <w:name w:val="Cuadrícula de tabla clara1"/>
    <w:basedOn w:val="Tablanormal"/>
    <w:uiPriority w:val="40"/>
    <w:rsid w:val="007B15D1"/>
    <w:pPr>
      <w:spacing w:after="0" w:line="240" w:lineRule="auto"/>
    </w:pPr>
    <w:rPr>
      <w:sz w:val="24"/>
      <w:szCs w:val="24"/>
      <w:lang w:val="es-ES_tradn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independiente">
    <w:name w:val="Body Text"/>
    <w:basedOn w:val="Normal"/>
    <w:link w:val="TextoindependienteCar"/>
    <w:qFormat/>
    <w:rsid w:val="007B15D1"/>
    <w:pPr>
      <w:widowControl w:val="0"/>
      <w:spacing w:after="0"/>
      <w:jc w:val="left"/>
    </w:pPr>
    <w:rPr>
      <w:rFonts w:eastAsia="Verdana" w:cs="Verdana"/>
      <w:sz w:val="19"/>
      <w:szCs w:val="19"/>
      <w:lang w:val="en-US" w:eastAsia="en-US"/>
    </w:rPr>
  </w:style>
  <w:style w:type="character" w:customStyle="1" w:styleId="TextoindependienteCar">
    <w:name w:val="Texto independiente Car"/>
    <w:basedOn w:val="Fuentedeprrafopredeter"/>
    <w:link w:val="Textoindependiente"/>
    <w:rsid w:val="007B15D1"/>
    <w:rPr>
      <w:rFonts w:ascii="Verdana" w:eastAsia="Verdana" w:hAnsi="Verdana" w:cs="Verdana"/>
      <w:sz w:val="19"/>
      <w:szCs w:val="19"/>
      <w:lang w:val="en-US"/>
    </w:rPr>
  </w:style>
  <w:style w:type="paragraph" w:customStyle="1" w:styleId="Sangra2detindependiente1">
    <w:name w:val="Sangría 2 de t. independiente1"/>
    <w:basedOn w:val="Normal"/>
    <w:rsid w:val="007B15D1"/>
    <w:pPr>
      <w:spacing w:line="288" w:lineRule="auto"/>
      <w:ind w:left="709" w:firstLine="1418"/>
    </w:pPr>
    <w:rPr>
      <w:rFonts w:ascii="Calibri" w:eastAsia="Times New Roman" w:hAnsi="Calibri" w:cs="Times New Roman"/>
      <w:snapToGrid w:val="0"/>
      <w:color w:val="000000"/>
      <w:sz w:val="24"/>
      <w:lang w:eastAsia="es-ES"/>
    </w:rPr>
  </w:style>
  <w:style w:type="paragraph" w:styleId="Textoindependiente3">
    <w:name w:val="Body Text 3"/>
    <w:basedOn w:val="Normal"/>
    <w:link w:val="Textoindependiente3Car"/>
    <w:rsid w:val="007B15D1"/>
    <w:pPr>
      <w:spacing w:line="360" w:lineRule="auto"/>
      <w:ind w:firstLine="1418"/>
    </w:pPr>
    <w:rPr>
      <w:rFonts w:ascii="Calibri" w:eastAsia="Times New Roman" w:hAnsi="Calibri" w:cs="Times New Roman"/>
      <w:snapToGrid w:val="0"/>
      <w:color w:val="000000"/>
      <w:sz w:val="24"/>
      <w:lang w:eastAsia="es-ES"/>
    </w:rPr>
  </w:style>
  <w:style w:type="character" w:customStyle="1" w:styleId="Textoindependiente3Car">
    <w:name w:val="Texto independiente 3 Car"/>
    <w:basedOn w:val="Fuentedeprrafopredeter"/>
    <w:link w:val="Textoindependiente3"/>
    <w:rsid w:val="007B15D1"/>
    <w:rPr>
      <w:rFonts w:ascii="Calibri" w:eastAsia="Times New Roman" w:hAnsi="Calibri" w:cs="Times New Roman"/>
      <w:snapToGrid w:val="0"/>
      <w:color w:val="000000"/>
      <w:sz w:val="24"/>
      <w:szCs w:val="20"/>
      <w:lang w:eastAsia="es-ES"/>
    </w:rPr>
  </w:style>
  <w:style w:type="paragraph" w:customStyle="1" w:styleId="p0">
    <w:name w:val="p0"/>
    <w:basedOn w:val="Normal"/>
    <w:rsid w:val="007B15D1"/>
    <w:pPr>
      <w:widowControl w:val="0"/>
      <w:tabs>
        <w:tab w:val="left" w:pos="720"/>
      </w:tabs>
      <w:spacing w:line="240" w:lineRule="atLeast"/>
      <w:ind w:firstLine="1418"/>
    </w:pPr>
    <w:rPr>
      <w:rFonts w:ascii="Calibri" w:eastAsia="Times New Roman" w:hAnsi="Calibri" w:cs="Times New Roman"/>
      <w:snapToGrid w:val="0"/>
      <w:color w:val="000000"/>
      <w:sz w:val="24"/>
      <w:lang w:eastAsia="es-ES"/>
    </w:rPr>
  </w:style>
  <w:style w:type="character" w:customStyle="1" w:styleId="Estiloderedaccinpersonalizado">
    <w:name w:val="Estilo de redacción personalizado"/>
    <w:rsid w:val="007B15D1"/>
    <w:rPr>
      <w:rFonts w:ascii="Arial" w:hAnsi="Arial" w:cs="Arial"/>
      <w:color w:val="auto"/>
      <w:sz w:val="20"/>
    </w:rPr>
  </w:style>
  <w:style w:type="character" w:customStyle="1" w:styleId="Estiloderespuestapersonalizado">
    <w:name w:val="Estilo de respuesta personalizado"/>
    <w:rsid w:val="007B15D1"/>
    <w:rPr>
      <w:rFonts w:ascii="Arial" w:hAnsi="Arial" w:cs="Arial"/>
      <w:color w:val="auto"/>
      <w:sz w:val="20"/>
    </w:rPr>
  </w:style>
  <w:style w:type="paragraph" w:customStyle="1" w:styleId="Normal1">
    <w:name w:val="Normal1"/>
    <w:basedOn w:val="Normal"/>
    <w:rsid w:val="007B15D1"/>
    <w:pPr>
      <w:spacing w:line="288" w:lineRule="auto"/>
    </w:pPr>
    <w:rPr>
      <w:rFonts w:ascii="Calibri" w:eastAsia="Times New Roman" w:hAnsi="Calibri" w:cs="Times New Roman"/>
      <w:snapToGrid w:val="0"/>
      <w:color w:val="000000"/>
      <w:sz w:val="24"/>
      <w:lang w:eastAsia="es-ES"/>
    </w:rPr>
  </w:style>
  <w:style w:type="paragraph" w:customStyle="1" w:styleId="Normal2">
    <w:name w:val="Normal2"/>
    <w:basedOn w:val="Normal1"/>
    <w:rsid w:val="007B15D1"/>
    <w:pPr>
      <w:spacing w:after="0"/>
    </w:pPr>
  </w:style>
  <w:style w:type="paragraph" w:styleId="Sangra2detindependiente">
    <w:name w:val="Body Text Indent 2"/>
    <w:basedOn w:val="Normal"/>
    <w:link w:val="Sangra2detindependienteCar"/>
    <w:rsid w:val="007B15D1"/>
    <w:pPr>
      <w:tabs>
        <w:tab w:val="left" w:pos="426"/>
        <w:tab w:val="left" w:pos="709"/>
      </w:tabs>
      <w:spacing w:line="288" w:lineRule="auto"/>
      <w:ind w:left="709" w:hanging="709"/>
    </w:pPr>
    <w:rPr>
      <w:rFonts w:ascii="Calibri" w:eastAsia="Times New Roman" w:hAnsi="Calibri" w:cs="Times New Roman"/>
      <w:snapToGrid w:val="0"/>
      <w:color w:val="000000"/>
      <w:sz w:val="18"/>
      <w:lang w:eastAsia="es-ES"/>
    </w:rPr>
  </w:style>
  <w:style w:type="character" w:customStyle="1" w:styleId="Sangra2detindependienteCar">
    <w:name w:val="Sangría 2 de t. independiente Car"/>
    <w:basedOn w:val="Fuentedeprrafopredeter"/>
    <w:link w:val="Sangra2detindependiente"/>
    <w:rsid w:val="007B15D1"/>
    <w:rPr>
      <w:rFonts w:ascii="Calibri" w:eastAsia="Times New Roman" w:hAnsi="Calibri" w:cs="Times New Roman"/>
      <w:snapToGrid w:val="0"/>
      <w:color w:val="000000"/>
      <w:sz w:val="18"/>
      <w:szCs w:val="20"/>
      <w:lang w:val="es-CL" w:eastAsia="es-ES"/>
    </w:rPr>
  </w:style>
  <w:style w:type="paragraph" w:styleId="Remitedesobre">
    <w:name w:val="envelope return"/>
    <w:basedOn w:val="Normal"/>
    <w:rsid w:val="007B15D1"/>
    <w:pPr>
      <w:keepLines/>
      <w:framePr w:w="2160" w:h="1202" w:wrap="notBeside" w:vAnchor="page" w:hAnchor="page" w:x="9243" w:y="676" w:anchorLock="1"/>
      <w:spacing w:after="0" w:line="220" w:lineRule="atLeast"/>
      <w:jc w:val="left"/>
    </w:pPr>
    <w:rPr>
      <w:rFonts w:ascii="Times New Roman" w:eastAsia="Times New Roman" w:hAnsi="Times New Roman" w:cs="Times New Roman"/>
      <w:sz w:val="16"/>
      <w:lang w:eastAsia="es-ES"/>
    </w:rPr>
  </w:style>
  <w:style w:type="paragraph" w:styleId="Sangra3detindependiente">
    <w:name w:val="Body Text Indent 3"/>
    <w:basedOn w:val="Normal"/>
    <w:link w:val="Sangra3detindependienteCar"/>
    <w:rsid w:val="007B15D1"/>
    <w:pPr>
      <w:spacing w:after="0"/>
      <w:ind w:left="709"/>
    </w:pPr>
    <w:rPr>
      <w:rFonts w:ascii="Times New Roman" w:eastAsia="Times New Roman" w:hAnsi="Times New Roman" w:cs="Times New Roman"/>
      <w:sz w:val="24"/>
      <w:lang w:eastAsia="es-ES"/>
    </w:rPr>
  </w:style>
  <w:style w:type="character" w:customStyle="1" w:styleId="Sangra3detindependienteCar">
    <w:name w:val="Sangría 3 de t. independiente Car"/>
    <w:basedOn w:val="Fuentedeprrafopredeter"/>
    <w:link w:val="Sangra3detindependiente"/>
    <w:rsid w:val="007B15D1"/>
    <w:rPr>
      <w:rFonts w:ascii="Times New Roman" w:eastAsia="Times New Roman" w:hAnsi="Times New Roman" w:cs="Times New Roman"/>
      <w:sz w:val="24"/>
      <w:szCs w:val="20"/>
      <w:lang w:val="es-CL" w:eastAsia="es-ES"/>
    </w:rPr>
  </w:style>
  <w:style w:type="paragraph" w:customStyle="1" w:styleId="Organizacin">
    <w:name w:val="Organización"/>
    <w:basedOn w:val="Normal"/>
    <w:rsid w:val="007B15D1"/>
    <w:pPr>
      <w:keepNext/>
      <w:keepLines/>
      <w:spacing w:after="0" w:line="220" w:lineRule="atLeast"/>
      <w:ind w:left="1080"/>
      <w:jc w:val="left"/>
    </w:pPr>
    <w:rPr>
      <w:rFonts w:ascii="Times New Roman" w:eastAsia="Times New Roman" w:hAnsi="Times New Roman" w:cs="Times New Roman"/>
      <w:spacing w:val="-30"/>
      <w:kern w:val="28"/>
      <w:sz w:val="60"/>
      <w:lang w:eastAsia="es-ES"/>
    </w:rPr>
  </w:style>
  <w:style w:type="paragraph" w:customStyle="1" w:styleId="Subttulodecubierta">
    <w:name w:val="Subtítulo de cubierta"/>
    <w:basedOn w:val="Normal"/>
    <w:next w:val="Textoindependiente"/>
    <w:rsid w:val="007B15D1"/>
    <w:pPr>
      <w:keepNext/>
      <w:keepLines/>
      <w:spacing w:before="1520" w:after="0" w:line="240" w:lineRule="atLeast"/>
      <w:ind w:left="1080" w:right="1680"/>
      <w:jc w:val="left"/>
    </w:pPr>
    <w:rPr>
      <w:rFonts w:ascii="Times New Roman" w:eastAsia="Times New Roman" w:hAnsi="Times New Roman" w:cs="Times New Roman"/>
      <w:i/>
      <w:spacing w:val="-20"/>
      <w:kern w:val="28"/>
      <w:sz w:val="40"/>
      <w:lang w:eastAsia="es-ES"/>
    </w:rPr>
  </w:style>
  <w:style w:type="paragraph" w:customStyle="1" w:styleId="Textodenotaalfinal">
    <w:name w:val="Texto de nota al final"/>
    <w:basedOn w:val="Normal"/>
    <w:rsid w:val="007B15D1"/>
    <w:pPr>
      <w:widowControl w:val="0"/>
      <w:spacing w:after="0"/>
    </w:pPr>
    <w:rPr>
      <w:rFonts w:ascii="CG Times" w:eastAsia="Times New Roman" w:hAnsi="CG Times" w:cs="Times New Roman"/>
      <w:sz w:val="24"/>
      <w:lang w:eastAsia="es-ES"/>
    </w:rPr>
  </w:style>
  <w:style w:type="paragraph" w:customStyle="1" w:styleId="Ttuloanx">
    <w:name w:val="Título anx"/>
    <w:basedOn w:val="Ttulo1"/>
    <w:rsid w:val="007B15D1"/>
    <w:pPr>
      <w:widowControl w:val="0"/>
      <w:numPr>
        <w:numId w:val="6"/>
      </w:numPr>
      <w:spacing w:line="288" w:lineRule="auto"/>
      <w:jc w:val="center"/>
    </w:pPr>
    <w:rPr>
      <w:rFonts w:ascii="Calibri" w:hAnsi="Calibri" w:cs="Times New Roman"/>
      <w:b w:val="0"/>
      <w:bCs/>
      <w:sz w:val="40"/>
      <w:szCs w:val="20"/>
    </w:rPr>
  </w:style>
  <w:style w:type="character" w:customStyle="1" w:styleId="msoins0">
    <w:name w:val="msoins"/>
    <w:basedOn w:val="Fuentedeprrafopredeter"/>
    <w:rsid w:val="007B15D1"/>
  </w:style>
  <w:style w:type="paragraph" w:styleId="Listaconvietas2">
    <w:name w:val="List Bullet 2"/>
    <w:basedOn w:val="Normal"/>
    <w:autoRedefine/>
    <w:rsid w:val="007B15D1"/>
    <w:pPr>
      <w:numPr>
        <w:numId w:val="7"/>
      </w:numPr>
      <w:tabs>
        <w:tab w:val="clear" w:pos="720"/>
        <w:tab w:val="num" w:pos="643"/>
      </w:tabs>
      <w:spacing w:line="288" w:lineRule="auto"/>
      <w:ind w:left="643"/>
    </w:pPr>
    <w:rPr>
      <w:rFonts w:ascii="Calibri" w:eastAsia="Times New Roman" w:hAnsi="Calibri" w:cs="Times New Roman"/>
      <w:snapToGrid w:val="0"/>
      <w:color w:val="000000"/>
      <w:sz w:val="24"/>
      <w:lang w:eastAsia="es-ES"/>
    </w:rPr>
  </w:style>
  <w:style w:type="paragraph" w:styleId="Listaconvietas3">
    <w:name w:val="List Bullet 3"/>
    <w:basedOn w:val="Normal"/>
    <w:autoRedefine/>
    <w:rsid w:val="007B15D1"/>
    <w:pPr>
      <w:numPr>
        <w:numId w:val="8"/>
      </w:numPr>
      <w:tabs>
        <w:tab w:val="clear" w:pos="1080"/>
        <w:tab w:val="num" w:pos="926"/>
      </w:tabs>
      <w:spacing w:line="288" w:lineRule="auto"/>
      <w:ind w:left="926"/>
    </w:pPr>
    <w:rPr>
      <w:rFonts w:ascii="Calibri" w:eastAsia="Times New Roman" w:hAnsi="Calibri" w:cs="Times New Roman"/>
      <w:snapToGrid w:val="0"/>
      <w:color w:val="000000"/>
      <w:sz w:val="24"/>
      <w:lang w:eastAsia="es-ES"/>
    </w:rPr>
  </w:style>
  <w:style w:type="paragraph" w:customStyle="1" w:styleId="Fuente">
    <w:name w:val="Fuente"/>
    <w:basedOn w:val="Normal"/>
    <w:link w:val="FuenteCar"/>
    <w:qFormat/>
    <w:rsid w:val="003E2A9C"/>
    <w:pPr>
      <w:jc w:val="center"/>
    </w:pPr>
    <w:rPr>
      <w:i/>
      <w:sz w:val="18"/>
      <w:szCs w:val="18"/>
    </w:rPr>
  </w:style>
  <w:style w:type="character" w:customStyle="1" w:styleId="FuenteCar">
    <w:name w:val="Fuente Car"/>
    <w:basedOn w:val="Fuentedeprrafopredeter"/>
    <w:link w:val="Fuente"/>
    <w:rsid w:val="003E2A9C"/>
    <w:rPr>
      <w:rFonts w:ascii="Verdana" w:eastAsiaTheme="minorEastAsia" w:hAnsi="Verdana"/>
      <w:i/>
      <w:sz w:val="18"/>
      <w:szCs w:val="18"/>
      <w:lang w:eastAsia="es-CL"/>
    </w:rPr>
  </w:style>
  <w:style w:type="numbering" w:customStyle="1" w:styleId="Estilo1">
    <w:name w:val="Estilo1"/>
    <w:uiPriority w:val="99"/>
    <w:rsid w:val="00CF759C"/>
    <w:pPr>
      <w:numPr>
        <w:numId w:val="9"/>
      </w:numPr>
    </w:pPr>
  </w:style>
  <w:style w:type="numbering" w:customStyle="1" w:styleId="Estilo2">
    <w:name w:val="Estilo2"/>
    <w:uiPriority w:val="99"/>
    <w:rsid w:val="00CF759C"/>
    <w:pPr>
      <w:numPr>
        <w:numId w:val="10"/>
      </w:numPr>
    </w:pPr>
  </w:style>
  <w:style w:type="numbering" w:customStyle="1" w:styleId="EstiloNumerado">
    <w:name w:val="Estilo Numerado"/>
    <w:rsid w:val="004B5857"/>
    <w:pPr>
      <w:numPr>
        <w:numId w:val="12"/>
      </w:numPr>
    </w:pPr>
  </w:style>
  <w:style w:type="paragraph" w:customStyle="1" w:styleId="Mapa">
    <w:name w:val="Mapa"/>
    <w:basedOn w:val="Normal"/>
    <w:next w:val="Normal"/>
    <w:qFormat/>
    <w:rsid w:val="001C3E1C"/>
    <w:pPr>
      <w:keepNext/>
      <w:spacing w:after="0" w:line="240" w:lineRule="auto"/>
      <w:jc w:val="center"/>
    </w:pPr>
    <w:rPr>
      <w:rFonts w:eastAsia="Times New Roman" w:cs="Times New Roman"/>
      <w:b/>
      <w:i/>
      <w:color w:val="000000" w:themeColor="text1"/>
      <w:szCs w:val="22"/>
      <w:lang w:val="es-ES_tradnl" w:eastAsia="es-ES"/>
    </w:rPr>
  </w:style>
  <w:style w:type="paragraph" w:customStyle="1" w:styleId="Grfico">
    <w:name w:val="Gráfico"/>
    <w:basedOn w:val="Normal"/>
    <w:next w:val="Normal"/>
    <w:link w:val="GrficoCar"/>
    <w:qFormat/>
    <w:rsid w:val="00FF705F"/>
    <w:pPr>
      <w:keepNext/>
      <w:spacing w:after="0"/>
      <w:jc w:val="center"/>
    </w:pPr>
    <w:rPr>
      <w:rFonts w:eastAsia="Times New Roman" w:cs="Univers"/>
      <w:i/>
      <w:szCs w:val="22"/>
      <w:lang w:val="es-ES_tradnl" w:eastAsia="es-ES"/>
    </w:rPr>
  </w:style>
  <w:style w:type="character" w:customStyle="1" w:styleId="GrficoCar">
    <w:name w:val="Gráfico Car"/>
    <w:link w:val="Grfico"/>
    <w:rsid w:val="00FF705F"/>
    <w:rPr>
      <w:rFonts w:ascii="Verdana" w:eastAsia="Times New Roman" w:hAnsi="Verdana" w:cs="Univers"/>
      <w:i/>
      <w:sz w:val="20"/>
      <w:lang w:val="es-ES_tradnl" w:eastAsia="es-ES"/>
    </w:rPr>
  </w:style>
  <w:style w:type="paragraph" w:customStyle="1" w:styleId="Lmina">
    <w:name w:val="Lámina"/>
    <w:basedOn w:val="Normal"/>
    <w:qFormat/>
    <w:rsid w:val="00372A8B"/>
    <w:pPr>
      <w:spacing w:after="0" w:line="300" w:lineRule="auto"/>
      <w:jc w:val="center"/>
    </w:pPr>
    <w:rPr>
      <w:rFonts w:ascii="Univers" w:eastAsia="Times New Roman" w:hAnsi="Univers" w:cs="Univers"/>
      <w:i/>
      <w:szCs w:val="22"/>
      <w:lang w:val="es-ES_tradnl" w:eastAsia="es-ES"/>
    </w:rPr>
  </w:style>
  <w:style w:type="paragraph" w:customStyle="1" w:styleId="Letras">
    <w:name w:val="Letras"/>
    <w:basedOn w:val="Vietas"/>
    <w:qFormat/>
    <w:rsid w:val="008F4BF2"/>
    <w:pPr>
      <w:numPr>
        <w:numId w:val="14"/>
      </w:numPr>
      <w:spacing w:after="0"/>
    </w:pPr>
  </w:style>
  <w:style w:type="paragraph" w:customStyle="1" w:styleId="Vietatabla">
    <w:name w:val="Viñeta tabla"/>
    <w:basedOn w:val="Vietas"/>
    <w:uiPriority w:val="99"/>
    <w:qFormat/>
    <w:rsid w:val="00372A8B"/>
    <w:pPr>
      <w:spacing w:line="240" w:lineRule="auto"/>
      <w:jc w:val="left"/>
    </w:pPr>
    <w:rPr>
      <w:sz w:val="18"/>
      <w:szCs w:val="18"/>
    </w:rPr>
  </w:style>
  <w:style w:type="paragraph" w:customStyle="1" w:styleId="Tabla">
    <w:name w:val="Tabla"/>
    <w:basedOn w:val="Cuadro"/>
    <w:qFormat/>
    <w:rsid w:val="00454210"/>
    <w:pPr>
      <w:keepNext/>
    </w:pPr>
    <w:rPr>
      <w:sz w:val="18"/>
    </w:rPr>
  </w:style>
  <w:style w:type="paragraph" w:customStyle="1" w:styleId="TtuloN1">
    <w:name w:val="Título N1"/>
    <w:basedOn w:val="TituloN"/>
    <w:next w:val="Normal"/>
    <w:qFormat/>
    <w:rsid w:val="002A195B"/>
    <w:pPr>
      <w:spacing w:after="240"/>
    </w:pPr>
    <w:rPr>
      <w:sz w:val="22"/>
      <w:szCs w:val="22"/>
      <w:lang w:val="es-ES"/>
    </w:rPr>
  </w:style>
  <w:style w:type="paragraph" w:customStyle="1" w:styleId="TituloN">
    <w:name w:val="Titulo N"/>
    <w:basedOn w:val="Normal"/>
    <w:next w:val="Normal"/>
    <w:qFormat/>
    <w:rsid w:val="002A195B"/>
    <w:pPr>
      <w:keepNext/>
      <w:autoSpaceDE w:val="0"/>
      <w:autoSpaceDN w:val="0"/>
      <w:adjustRightInd w:val="0"/>
      <w:spacing w:after="0"/>
      <w:jc w:val="center"/>
      <w:outlineLvl w:val="0"/>
    </w:pPr>
    <w:rPr>
      <w:rFonts w:eastAsia="Times New Roman" w:cs="Arial"/>
      <w:b/>
      <w:caps/>
      <w:sz w:val="24"/>
      <w:szCs w:val="24"/>
      <w:lang w:val="es-ES_tradnl" w:eastAsia="es-ES"/>
    </w:rPr>
  </w:style>
  <w:style w:type="paragraph" w:customStyle="1" w:styleId="TituloN2">
    <w:name w:val="Titulo N2"/>
    <w:basedOn w:val="TituloN"/>
    <w:next w:val="Normal"/>
    <w:qFormat/>
    <w:rsid w:val="002A195B"/>
    <w:pPr>
      <w:spacing w:after="240"/>
      <w:jc w:val="both"/>
    </w:pPr>
    <w:rPr>
      <w:iCs/>
      <w:caps w:val="0"/>
      <w:sz w:val="22"/>
      <w:szCs w:val="22"/>
    </w:rPr>
  </w:style>
  <w:style w:type="character" w:styleId="Refdenotaalpie">
    <w:name w:val="footnote reference"/>
    <w:uiPriority w:val="99"/>
    <w:rsid w:val="002A195B"/>
    <w:rPr>
      <w:vertAlign w:val="superscript"/>
    </w:rPr>
  </w:style>
  <w:style w:type="paragraph" w:styleId="Descripcin">
    <w:name w:val="caption"/>
    <w:basedOn w:val="Normal"/>
    <w:next w:val="Normal"/>
    <w:unhideWhenUsed/>
    <w:qFormat/>
    <w:rsid w:val="006B5E60"/>
    <w:pPr>
      <w:keepNext/>
      <w:spacing w:after="200" w:line="240" w:lineRule="auto"/>
      <w:jc w:val="center"/>
    </w:pPr>
    <w:rPr>
      <w:b/>
      <w:iCs/>
      <w:sz w:val="18"/>
      <w:szCs w:val="18"/>
    </w:rPr>
  </w:style>
  <w:style w:type="paragraph" w:customStyle="1" w:styleId="Tabla4-">
    <w:name w:val="Tabla 4-"/>
    <w:basedOn w:val="Tabla"/>
    <w:rsid w:val="00BC31CD"/>
  </w:style>
  <w:style w:type="character" w:customStyle="1" w:styleId="FontStyle50">
    <w:name w:val="Font Style50"/>
    <w:uiPriority w:val="99"/>
    <w:rsid w:val="000B08F3"/>
    <w:rPr>
      <w:rFonts w:ascii="Verdana" w:hAnsi="Verdana" w:cs="Verdana"/>
      <w:b/>
      <w:bCs/>
      <w:sz w:val="18"/>
      <w:szCs w:val="18"/>
    </w:rPr>
  </w:style>
  <w:style w:type="table" w:customStyle="1" w:styleId="Tablaconcuadrcula81">
    <w:name w:val="Tabla con cuadrícula81"/>
    <w:basedOn w:val="Tablanormal"/>
    <w:next w:val="Tablaconcuadrcula"/>
    <w:uiPriority w:val="59"/>
    <w:rsid w:val="009B54A2"/>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72A0"/>
    <w:pPr>
      <w:autoSpaceDE w:val="0"/>
      <w:autoSpaceDN w:val="0"/>
      <w:adjustRightInd w:val="0"/>
      <w:spacing w:after="0" w:line="240" w:lineRule="auto"/>
    </w:pPr>
    <w:rPr>
      <w:rFonts w:ascii="Arial" w:hAnsi="Arial" w:cs="Arial"/>
      <w:color w:val="000000"/>
      <w:sz w:val="24"/>
      <w:szCs w:val="24"/>
      <w:lang w:val="es-CL"/>
    </w:rPr>
  </w:style>
  <w:style w:type="paragraph" w:customStyle="1" w:styleId="brechas">
    <w:name w:val="brechas"/>
    <w:basedOn w:val="Prrafodelista"/>
    <w:link w:val="brechasCar"/>
    <w:qFormat/>
    <w:rsid w:val="00C20DC9"/>
    <w:pPr>
      <w:numPr>
        <w:numId w:val="17"/>
      </w:numPr>
    </w:pPr>
    <w:rPr>
      <w:b/>
      <w:lang w:val="es-ES_tradnl" w:eastAsia="es-ES"/>
    </w:rPr>
  </w:style>
  <w:style w:type="character" w:customStyle="1" w:styleId="brechasCar">
    <w:name w:val="brechas Car"/>
    <w:basedOn w:val="PrrafodelistaCar"/>
    <w:link w:val="brechas"/>
    <w:rsid w:val="00C20DC9"/>
    <w:rPr>
      <w:rFonts w:ascii="Verdana" w:eastAsiaTheme="minorEastAsia" w:hAnsi="Verdana"/>
      <w:b/>
      <w:sz w:val="20"/>
      <w:szCs w:val="20"/>
      <w:lang w:val="es-ES_tradnl" w:eastAsia="es-ES"/>
    </w:rPr>
  </w:style>
  <w:style w:type="paragraph" w:customStyle="1" w:styleId="Objetivo">
    <w:name w:val="Objetivo"/>
    <w:basedOn w:val="Normal"/>
    <w:link w:val="ObjetivoCar"/>
    <w:qFormat/>
    <w:rsid w:val="006E6159"/>
    <w:rPr>
      <w:b/>
      <w:u w:val="single"/>
      <w:lang w:val="es-ES_tradnl"/>
    </w:rPr>
  </w:style>
  <w:style w:type="character" w:customStyle="1" w:styleId="ObjetivoCar">
    <w:name w:val="Objetivo Car"/>
    <w:basedOn w:val="Fuentedeprrafopredeter"/>
    <w:link w:val="Objetivo"/>
    <w:rsid w:val="006E6159"/>
    <w:rPr>
      <w:rFonts w:ascii="Verdana" w:eastAsiaTheme="minorEastAsia" w:hAnsi="Verdana"/>
      <w:b/>
      <w:sz w:val="20"/>
      <w:szCs w:val="20"/>
      <w:u w:val="single"/>
      <w:lang w:val="es-ES_tradn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2381">
      <w:bodyDiv w:val="1"/>
      <w:marLeft w:val="0"/>
      <w:marRight w:val="0"/>
      <w:marTop w:val="0"/>
      <w:marBottom w:val="0"/>
      <w:divBdr>
        <w:top w:val="none" w:sz="0" w:space="0" w:color="auto"/>
        <w:left w:val="none" w:sz="0" w:space="0" w:color="auto"/>
        <w:bottom w:val="none" w:sz="0" w:space="0" w:color="auto"/>
        <w:right w:val="none" w:sz="0" w:space="0" w:color="auto"/>
      </w:divBdr>
    </w:div>
    <w:div w:id="16663002">
      <w:bodyDiv w:val="1"/>
      <w:marLeft w:val="0"/>
      <w:marRight w:val="0"/>
      <w:marTop w:val="0"/>
      <w:marBottom w:val="0"/>
      <w:divBdr>
        <w:top w:val="none" w:sz="0" w:space="0" w:color="auto"/>
        <w:left w:val="none" w:sz="0" w:space="0" w:color="auto"/>
        <w:bottom w:val="none" w:sz="0" w:space="0" w:color="auto"/>
        <w:right w:val="none" w:sz="0" w:space="0" w:color="auto"/>
      </w:divBdr>
    </w:div>
    <w:div w:id="17778764">
      <w:bodyDiv w:val="1"/>
      <w:marLeft w:val="0"/>
      <w:marRight w:val="0"/>
      <w:marTop w:val="0"/>
      <w:marBottom w:val="0"/>
      <w:divBdr>
        <w:top w:val="none" w:sz="0" w:space="0" w:color="auto"/>
        <w:left w:val="none" w:sz="0" w:space="0" w:color="auto"/>
        <w:bottom w:val="none" w:sz="0" w:space="0" w:color="auto"/>
        <w:right w:val="none" w:sz="0" w:space="0" w:color="auto"/>
      </w:divBdr>
    </w:div>
    <w:div w:id="23750736">
      <w:bodyDiv w:val="1"/>
      <w:marLeft w:val="0"/>
      <w:marRight w:val="0"/>
      <w:marTop w:val="0"/>
      <w:marBottom w:val="0"/>
      <w:divBdr>
        <w:top w:val="none" w:sz="0" w:space="0" w:color="auto"/>
        <w:left w:val="none" w:sz="0" w:space="0" w:color="auto"/>
        <w:bottom w:val="none" w:sz="0" w:space="0" w:color="auto"/>
        <w:right w:val="none" w:sz="0" w:space="0" w:color="auto"/>
      </w:divBdr>
      <w:divsChild>
        <w:div w:id="319433357">
          <w:marLeft w:val="0"/>
          <w:marRight w:val="0"/>
          <w:marTop w:val="0"/>
          <w:marBottom w:val="0"/>
          <w:divBdr>
            <w:top w:val="none" w:sz="0" w:space="0" w:color="auto"/>
            <w:left w:val="none" w:sz="0" w:space="0" w:color="auto"/>
            <w:bottom w:val="none" w:sz="0" w:space="0" w:color="auto"/>
            <w:right w:val="none" w:sz="0" w:space="0" w:color="auto"/>
          </w:divBdr>
          <w:divsChild>
            <w:div w:id="1114252915">
              <w:marLeft w:val="0"/>
              <w:marRight w:val="0"/>
              <w:marTop w:val="0"/>
              <w:marBottom w:val="0"/>
              <w:divBdr>
                <w:top w:val="none" w:sz="0" w:space="0" w:color="auto"/>
                <w:left w:val="none" w:sz="0" w:space="0" w:color="auto"/>
                <w:bottom w:val="none" w:sz="0" w:space="0" w:color="auto"/>
                <w:right w:val="none" w:sz="0" w:space="0" w:color="auto"/>
              </w:divBdr>
              <w:divsChild>
                <w:div w:id="1341279222">
                  <w:marLeft w:val="0"/>
                  <w:marRight w:val="0"/>
                  <w:marTop w:val="0"/>
                  <w:marBottom w:val="0"/>
                  <w:divBdr>
                    <w:top w:val="none" w:sz="0" w:space="0" w:color="auto"/>
                    <w:left w:val="none" w:sz="0" w:space="0" w:color="auto"/>
                    <w:bottom w:val="none" w:sz="0" w:space="0" w:color="auto"/>
                    <w:right w:val="none" w:sz="0" w:space="0" w:color="auto"/>
                  </w:divBdr>
                  <w:divsChild>
                    <w:div w:id="992216043">
                      <w:marLeft w:val="0"/>
                      <w:marRight w:val="0"/>
                      <w:marTop w:val="0"/>
                      <w:marBottom w:val="0"/>
                      <w:divBdr>
                        <w:top w:val="none" w:sz="0" w:space="0" w:color="auto"/>
                        <w:left w:val="none" w:sz="0" w:space="0" w:color="auto"/>
                        <w:bottom w:val="none" w:sz="0" w:space="0" w:color="auto"/>
                        <w:right w:val="none" w:sz="0" w:space="0" w:color="auto"/>
                      </w:divBdr>
                      <w:divsChild>
                        <w:div w:id="15814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68946">
      <w:bodyDiv w:val="1"/>
      <w:marLeft w:val="0"/>
      <w:marRight w:val="0"/>
      <w:marTop w:val="0"/>
      <w:marBottom w:val="0"/>
      <w:divBdr>
        <w:top w:val="none" w:sz="0" w:space="0" w:color="auto"/>
        <w:left w:val="none" w:sz="0" w:space="0" w:color="auto"/>
        <w:bottom w:val="none" w:sz="0" w:space="0" w:color="auto"/>
        <w:right w:val="none" w:sz="0" w:space="0" w:color="auto"/>
      </w:divBdr>
    </w:div>
    <w:div w:id="44716512">
      <w:bodyDiv w:val="1"/>
      <w:marLeft w:val="0"/>
      <w:marRight w:val="0"/>
      <w:marTop w:val="0"/>
      <w:marBottom w:val="0"/>
      <w:divBdr>
        <w:top w:val="none" w:sz="0" w:space="0" w:color="auto"/>
        <w:left w:val="none" w:sz="0" w:space="0" w:color="auto"/>
        <w:bottom w:val="none" w:sz="0" w:space="0" w:color="auto"/>
        <w:right w:val="none" w:sz="0" w:space="0" w:color="auto"/>
      </w:divBdr>
    </w:div>
    <w:div w:id="67310159">
      <w:bodyDiv w:val="1"/>
      <w:marLeft w:val="0"/>
      <w:marRight w:val="0"/>
      <w:marTop w:val="0"/>
      <w:marBottom w:val="0"/>
      <w:divBdr>
        <w:top w:val="none" w:sz="0" w:space="0" w:color="auto"/>
        <w:left w:val="none" w:sz="0" w:space="0" w:color="auto"/>
        <w:bottom w:val="none" w:sz="0" w:space="0" w:color="auto"/>
        <w:right w:val="none" w:sz="0" w:space="0" w:color="auto"/>
      </w:divBdr>
    </w:div>
    <w:div w:id="74985615">
      <w:bodyDiv w:val="1"/>
      <w:marLeft w:val="0"/>
      <w:marRight w:val="0"/>
      <w:marTop w:val="0"/>
      <w:marBottom w:val="0"/>
      <w:divBdr>
        <w:top w:val="none" w:sz="0" w:space="0" w:color="auto"/>
        <w:left w:val="none" w:sz="0" w:space="0" w:color="auto"/>
        <w:bottom w:val="none" w:sz="0" w:space="0" w:color="auto"/>
        <w:right w:val="none" w:sz="0" w:space="0" w:color="auto"/>
      </w:divBdr>
    </w:div>
    <w:div w:id="75640124">
      <w:bodyDiv w:val="1"/>
      <w:marLeft w:val="0"/>
      <w:marRight w:val="0"/>
      <w:marTop w:val="0"/>
      <w:marBottom w:val="0"/>
      <w:divBdr>
        <w:top w:val="none" w:sz="0" w:space="0" w:color="auto"/>
        <w:left w:val="none" w:sz="0" w:space="0" w:color="auto"/>
        <w:bottom w:val="none" w:sz="0" w:space="0" w:color="auto"/>
        <w:right w:val="none" w:sz="0" w:space="0" w:color="auto"/>
      </w:divBdr>
    </w:div>
    <w:div w:id="112286985">
      <w:bodyDiv w:val="1"/>
      <w:marLeft w:val="0"/>
      <w:marRight w:val="0"/>
      <w:marTop w:val="0"/>
      <w:marBottom w:val="0"/>
      <w:divBdr>
        <w:top w:val="none" w:sz="0" w:space="0" w:color="auto"/>
        <w:left w:val="none" w:sz="0" w:space="0" w:color="auto"/>
        <w:bottom w:val="none" w:sz="0" w:space="0" w:color="auto"/>
        <w:right w:val="none" w:sz="0" w:space="0" w:color="auto"/>
      </w:divBdr>
    </w:div>
    <w:div w:id="123348716">
      <w:bodyDiv w:val="1"/>
      <w:marLeft w:val="0"/>
      <w:marRight w:val="0"/>
      <w:marTop w:val="0"/>
      <w:marBottom w:val="0"/>
      <w:divBdr>
        <w:top w:val="none" w:sz="0" w:space="0" w:color="auto"/>
        <w:left w:val="none" w:sz="0" w:space="0" w:color="auto"/>
        <w:bottom w:val="none" w:sz="0" w:space="0" w:color="auto"/>
        <w:right w:val="none" w:sz="0" w:space="0" w:color="auto"/>
      </w:divBdr>
    </w:div>
    <w:div w:id="135220944">
      <w:bodyDiv w:val="1"/>
      <w:marLeft w:val="0"/>
      <w:marRight w:val="0"/>
      <w:marTop w:val="0"/>
      <w:marBottom w:val="0"/>
      <w:divBdr>
        <w:top w:val="none" w:sz="0" w:space="0" w:color="auto"/>
        <w:left w:val="none" w:sz="0" w:space="0" w:color="auto"/>
        <w:bottom w:val="none" w:sz="0" w:space="0" w:color="auto"/>
        <w:right w:val="none" w:sz="0" w:space="0" w:color="auto"/>
      </w:divBdr>
    </w:div>
    <w:div w:id="177500870">
      <w:bodyDiv w:val="1"/>
      <w:marLeft w:val="0"/>
      <w:marRight w:val="0"/>
      <w:marTop w:val="0"/>
      <w:marBottom w:val="0"/>
      <w:divBdr>
        <w:top w:val="none" w:sz="0" w:space="0" w:color="auto"/>
        <w:left w:val="none" w:sz="0" w:space="0" w:color="auto"/>
        <w:bottom w:val="none" w:sz="0" w:space="0" w:color="auto"/>
        <w:right w:val="none" w:sz="0" w:space="0" w:color="auto"/>
      </w:divBdr>
    </w:div>
    <w:div w:id="184487728">
      <w:bodyDiv w:val="1"/>
      <w:marLeft w:val="0"/>
      <w:marRight w:val="0"/>
      <w:marTop w:val="0"/>
      <w:marBottom w:val="0"/>
      <w:divBdr>
        <w:top w:val="none" w:sz="0" w:space="0" w:color="auto"/>
        <w:left w:val="none" w:sz="0" w:space="0" w:color="auto"/>
        <w:bottom w:val="none" w:sz="0" w:space="0" w:color="auto"/>
        <w:right w:val="none" w:sz="0" w:space="0" w:color="auto"/>
      </w:divBdr>
    </w:div>
    <w:div w:id="190803993">
      <w:bodyDiv w:val="1"/>
      <w:marLeft w:val="0"/>
      <w:marRight w:val="0"/>
      <w:marTop w:val="0"/>
      <w:marBottom w:val="0"/>
      <w:divBdr>
        <w:top w:val="none" w:sz="0" w:space="0" w:color="auto"/>
        <w:left w:val="none" w:sz="0" w:space="0" w:color="auto"/>
        <w:bottom w:val="none" w:sz="0" w:space="0" w:color="auto"/>
        <w:right w:val="none" w:sz="0" w:space="0" w:color="auto"/>
      </w:divBdr>
    </w:div>
    <w:div w:id="205870171">
      <w:bodyDiv w:val="1"/>
      <w:marLeft w:val="0"/>
      <w:marRight w:val="0"/>
      <w:marTop w:val="0"/>
      <w:marBottom w:val="0"/>
      <w:divBdr>
        <w:top w:val="none" w:sz="0" w:space="0" w:color="auto"/>
        <w:left w:val="none" w:sz="0" w:space="0" w:color="auto"/>
        <w:bottom w:val="none" w:sz="0" w:space="0" w:color="auto"/>
        <w:right w:val="none" w:sz="0" w:space="0" w:color="auto"/>
      </w:divBdr>
    </w:div>
    <w:div w:id="216866832">
      <w:bodyDiv w:val="1"/>
      <w:marLeft w:val="0"/>
      <w:marRight w:val="0"/>
      <w:marTop w:val="0"/>
      <w:marBottom w:val="0"/>
      <w:divBdr>
        <w:top w:val="none" w:sz="0" w:space="0" w:color="auto"/>
        <w:left w:val="none" w:sz="0" w:space="0" w:color="auto"/>
        <w:bottom w:val="none" w:sz="0" w:space="0" w:color="auto"/>
        <w:right w:val="none" w:sz="0" w:space="0" w:color="auto"/>
      </w:divBdr>
    </w:div>
    <w:div w:id="221455054">
      <w:bodyDiv w:val="1"/>
      <w:marLeft w:val="0"/>
      <w:marRight w:val="0"/>
      <w:marTop w:val="0"/>
      <w:marBottom w:val="0"/>
      <w:divBdr>
        <w:top w:val="none" w:sz="0" w:space="0" w:color="auto"/>
        <w:left w:val="none" w:sz="0" w:space="0" w:color="auto"/>
        <w:bottom w:val="none" w:sz="0" w:space="0" w:color="auto"/>
        <w:right w:val="none" w:sz="0" w:space="0" w:color="auto"/>
      </w:divBdr>
    </w:div>
    <w:div w:id="228853675">
      <w:bodyDiv w:val="1"/>
      <w:marLeft w:val="0"/>
      <w:marRight w:val="0"/>
      <w:marTop w:val="150"/>
      <w:marBottom w:val="0"/>
      <w:divBdr>
        <w:top w:val="none" w:sz="0" w:space="0" w:color="auto"/>
        <w:left w:val="none" w:sz="0" w:space="0" w:color="auto"/>
        <w:bottom w:val="none" w:sz="0" w:space="0" w:color="auto"/>
        <w:right w:val="none" w:sz="0" w:space="0" w:color="auto"/>
      </w:divBdr>
      <w:divsChild>
        <w:div w:id="1197230516">
          <w:marLeft w:val="120"/>
          <w:marRight w:val="0"/>
          <w:marTop w:val="0"/>
          <w:marBottom w:val="0"/>
          <w:divBdr>
            <w:top w:val="none" w:sz="0" w:space="0" w:color="auto"/>
            <w:left w:val="none" w:sz="0" w:space="0" w:color="auto"/>
            <w:bottom w:val="none" w:sz="0" w:space="0" w:color="auto"/>
            <w:right w:val="none" w:sz="0" w:space="0" w:color="auto"/>
          </w:divBdr>
          <w:divsChild>
            <w:div w:id="1210725301">
              <w:marLeft w:val="0"/>
              <w:marRight w:val="300"/>
              <w:marTop w:val="0"/>
              <w:marBottom w:val="0"/>
              <w:divBdr>
                <w:top w:val="none" w:sz="0" w:space="0" w:color="auto"/>
                <w:left w:val="none" w:sz="0" w:space="0" w:color="auto"/>
                <w:bottom w:val="none" w:sz="0" w:space="0" w:color="auto"/>
                <w:right w:val="none" w:sz="0" w:space="0" w:color="auto"/>
              </w:divBdr>
              <w:divsChild>
                <w:div w:id="7282618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2299770">
      <w:bodyDiv w:val="1"/>
      <w:marLeft w:val="0"/>
      <w:marRight w:val="0"/>
      <w:marTop w:val="0"/>
      <w:marBottom w:val="0"/>
      <w:divBdr>
        <w:top w:val="none" w:sz="0" w:space="0" w:color="auto"/>
        <w:left w:val="none" w:sz="0" w:space="0" w:color="auto"/>
        <w:bottom w:val="none" w:sz="0" w:space="0" w:color="auto"/>
        <w:right w:val="none" w:sz="0" w:space="0" w:color="auto"/>
      </w:divBdr>
      <w:divsChild>
        <w:div w:id="390035164">
          <w:marLeft w:val="0"/>
          <w:marRight w:val="0"/>
          <w:marTop w:val="0"/>
          <w:marBottom w:val="0"/>
          <w:divBdr>
            <w:top w:val="none" w:sz="0" w:space="0" w:color="auto"/>
            <w:left w:val="none" w:sz="0" w:space="0" w:color="auto"/>
            <w:bottom w:val="none" w:sz="0" w:space="0" w:color="auto"/>
            <w:right w:val="none" w:sz="0" w:space="0" w:color="auto"/>
          </w:divBdr>
          <w:divsChild>
            <w:div w:id="1196237937">
              <w:marLeft w:val="0"/>
              <w:marRight w:val="0"/>
              <w:marTop w:val="0"/>
              <w:marBottom w:val="0"/>
              <w:divBdr>
                <w:top w:val="none" w:sz="0" w:space="0" w:color="auto"/>
                <w:left w:val="none" w:sz="0" w:space="0" w:color="auto"/>
                <w:bottom w:val="none" w:sz="0" w:space="0" w:color="auto"/>
                <w:right w:val="none" w:sz="0" w:space="0" w:color="auto"/>
              </w:divBdr>
              <w:divsChild>
                <w:div w:id="1732535562">
                  <w:marLeft w:val="0"/>
                  <w:marRight w:val="0"/>
                  <w:marTop w:val="100"/>
                  <w:marBottom w:val="100"/>
                  <w:divBdr>
                    <w:top w:val="none" w:sz="0" w:space="0" w:color="auto"/>
                    <w:left w:val="none" w:sz="0" w:space="0" w:color="auto"/>
                    <w:bottom w:val="none" w:sz="0" w:space="0" w:color="auto"/>
                    <w:right w:val="none" w:sz="0" w:space="0" w:color="auto"/>
                  </w:divBdr>
                  <w:divsChild>
                    <w:div w:id="313605434">
                      <w:marLeft w:val="0"/>
                      <w:marRight w:val="0"/>
                      <w:marTop w:val="0"/>
                      <w:marBottom w:val="0"/>
                      <w:divBdr>
                        <w:top w:val="none" w:sz="0" w:space="0" w:color="auto"/>
                        <w:left w:val="none" w:sz="0" w:space="0" w:color="auto"/>
                        <w:bottom w:val="none" w:sz="0" w:space="0" w:color="auto"/>
                        <w:right w:val="none" w:sz="0" w:space="0" w:color="auto"/>
                      </w:divBdr>
                      <w:divsChild>
                        <w:div w:id="5131330">
                          <w:marLeft w:val="0"/>
                          <w:marRight w:val="0"/>
                          <w:marTop w:val="0"/>
                          <w:marBottom w:val="0"/>
                          <w:divBdr>
                            <w:top w:val="single" w:sz="2" w:space="0" w:color="CCCCCC"/>
                            <w:left w:val="single" w:sz="6" w:space="11" w:color="CCCCCC"/>
                            <w:bottom w:val="single" w:sz="2" w:space="0" w:color="CCCCCC"/>
                            <w:right w:val="single" w:sz="6" w:space="11" w:color="CCCCCC"/>
                          </w:divBdr>
                          <w:divsChild>
                            <w:div w:id="1523930214">
                              <w:marLeft w:val="0"/>
                              <w:marRight w:val="0"/>
                              <w:marTop w:val="0"/>
                              <w:marBottom w:val="0"/>
                              <w:divBdr>
                                <w:top w:val="none" w:sz="0" w:space="0" w:color="auto"/>
                                <w:left w:val="none" w:sz="0" w:space="0" w:color="auto"/>
                                <w:bottom w:val="none" w:sz="0" w:space="0" w:color="auto"/>
                                <w:right w:val="none" w:sz="0" w:space="0" w:color="auto"/>
                              </w:divBdr>
                              <w:divsChild>
                                <w:div w:id="553779305">
                                  <w:marLeft w:val="0"/>
                                  <w:marRight w:val="0"/>
                                  <w:marTop w:val="0"/>
                                  <w:marBottom w:val="0"/>
                                  <w:divBdr>
                                    <w:top w:val="none" w:sz="0" w:space="0" w:color="auto"/>
                                    <w:left w:val="none" w:sz="0" w:space="0" w:color="auto"/>
                                    <w:bottom w:val="none" w:sz="0" w:space="0" w:color="auto"/>
                                    <w:right w:val="none" w:sz="0" w:space="0" w:color="auto"/>
                                  </w:divBdr>
                                  <w:divsChild>
                                    <w:div w:id="102114564">
                                      <w:marLeft w:val="0"/>
                                      <w:marRight w:val="0"/>
                                      <w:marTop w:val="0"/>
                                      <w:marBottom w:val="0"/>
                                      <w:divBdr>
                                        <w:top w:val="none" w:sz="0" w:space="0" w:color="auto"/>
                                        <w:left w:val="none" w:sz="0" w:space="0" w:color="auto"/>
                                        <w:bottom w:val="none" w:sz="0" w:space="0" w:color="auto"/>
                                        <w:right w:val="none" w:sz="0" w:space="0" w:color="auto"/>
                                      </w:divBdr>
                                      <w:divsChild>
                                        <w:div w:id="653409638">
                                          <w:marLeft w:val="0"/>
                                          <w:marRight w:val="0"/>
                                          <w:marTop w:val="0"/>
                                          <w:marBottom w:val="0"/>
                                          <w:divBdr>
                                            <w:top w:val="none" w:sz="0" w:space="0" w:color="auto"/>
                                            <w:left w:val="none" w:sz="0" w:space="0" w:color="auto"/>
                                            <w:bottom w:val="none" w:sz="0" w:space="0" w:color="auto"/>
                                            <w:right w:val="none" w:sz="0" w:space="0" w:color="auto"/>
                                          </w:divBdr>
                                          <w:divsChild>
                                            <w:div w:id="247079632">
                                              <w:marLeft w:val="0"/>
                                              <w:marRight w:val="0"/>
                                              <w:marTop w:val="0"/>
                                              <w:marBottom w:val="0"/>
                                              <w:divBdr>
                                                <w:top w:val="none" w:sz="0" w:space="0" w:color="auto"/>
                                                <w:left w:val="none" w:sz="0" w:space="0" w:color="auto"/>
                                                <w:bottom w:val="none" w:sz="0" w:space="0" w:color="auto"/>
                                                <w:right w:val="none" w:sz="0" w:space="0" w:color="auto"/>
                                              </w:divBdr>
                                              <w:divsChild>
                                                <w:div w:id="22948156">
                                                  <w:marLeft w:val="0"/>
                                                  <w:marRight w:val="0"/>
                                                  <w:marTop w:val="0"/>
                                                  <w:marBottom w:val="0"/>
                                                  <w:divBdr>
                                                    <w:top w:val="none" w:sz="0" w:space="0" w:color="auto"/>
                                                    <w:left w:val="none" w:sz="0" w:space="0" w:color="auto"/>
                                                    <w:bottom w:val="none" w:sz="0" w:space="0" w:color="auto"/>
                                                    <w:right w:val="none" w:sz="0" w:space="0" w:color="auto"/>
                                                  </w:divBdr>
                                                </w:div>
                                                <w:div w:id="1843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3002023">
      <w:bodyDiv w:val="1"/>
      <w:marLeft w:val="0"/>
      <w:marRight w:val="0"/>
      <w:marTop w:val="0"/>
      <w:marBottom w:val="0"/>
      <w:divBdr>
        <w:top w:val="none" w:sz="0" w:space="0" w:color="auto"/>
        <w:left w:val="none" w:sz="0" w:space="0" w:color="auto"/>
        <w:bottom w:val="none" w:sz="0" w:space="0" w:color="auto"/>
        <w:right w:val="none" w:sz="0" w:space="0" w:color="auto"/>
      </w:divBdr>
    </w:div>
    <w:div w:id="277299193">
      <w:bodyDiv w:val="1"/>
      <w:marLeft w:val="0"/>
      <w:marRight w:val="0"/>
      <w:marTop w:val="0"/>
      <w:marBottom w:val="0"/>
      <w:divBdr>
        <w:top w:val="none" w:sz="0" w:space="0" w:color="auto"/>
        <w:left w:val="none" w:sz="0" w:space="0" w:color="auto"/>
        <w:bottom w:val="none" w:sz="0" w:space="0" w:color="auto"/>
        <w:right w:val="none" w:sz="0" w:space="0" w:color="auto"/>
      </w:divBdr>
    </w:div>
    <w:div w:id="317418241">
      <w:bodyDiv w:val="1"/>
      <w:marLeft w:val="0"/>
      <w:marRight w:val="0"/>
      <w:marTop w:val="0"/>
      <w:marBottom w:val="0"/>
      <w:divBdr>
        <w:top w:val="none" w:sz="0" w:space="0" w:color="auto"/>
        <w:left w:val="none" w:sz="0" w:space="0" w:color="auto"/>
        <w:bottom w:val="none" w:sz="0" w:space="0" w:color="auto"/>
        <w:right w:val="none" w:sz="0" w:space="0" w:color="auto"/>
      </w:divBdr>
    </w:div>
    <w:div w:id="338510154">
      <w:bodyDiv w:val="1"/>
      <w:marLeft w:val="0"/>
      <w:marRight w:val="0"/>
      <w:marTop w:val="0"/>
      <w:marBottom w:val="0"/>
      <w:divBdr>
        <w:top w:val="none" w:sz="0" w:space="0" w:color="auto"/>
        <w:left w:val="none" w:sz="0" w:space="0" w:color="auto"/>
        <w:bottom w:val="none" w:sz="0" w:space="0" w:color="auto"/>
        <w:right w:val="none" w:sz="0" w:space="0" w:color="auto"/>
      </w:divBdr>
    </w:div>
    <w:div w:id="362099247">
      <w:bodyDiv w:val="1"/>
      <w:marLeft w:val="0"/>
      <w:marRight w:val="0"/>
      <w:marTop w:val="0"/>
      <w:marBottom w:val="0"/>
      <w:divBdr>
        <w:top w:val="none" w:sz="0" w:space="0" w:color="auto"/>
        <w:left w:val="none" w:sz="0" w:space="0" w:color="auto"/>
        <w:bottom w:val="none" w:sz="0" w:space="0" w:color="auto"/>
        <w:right w:val="none" w:sz="0" w:space="0" w:color="auto"/>
      </w:divBdr>
    </w:div>
    <w:div w:id="385376803">
      <w:bodyDiv w:val="1"/>
      <w:marLeft w:val="0"/>
      <w:marRight w:val="0"/>
      <w:marTop w:val="0"/>
      <w:marBottom w:val="0"/>
      <w:divBdr>
        <w:top w:val="none" w:sz="0" w:space="0" w:color="auto"/>
        <w:left w:val="none" w:sz="0" w:space="0" w:color="auto"/>
        <w:bottom w:val="none" w:sz="0" w:space="0" w:color="auto"/>
        <w:right w:val="none" w:sz="0" w:space="0" w:color="auto"/>
      </w:divBdr>
    </w:div>
    <w:div w:id="388965829">
      <w:bodyDiv w:val="1"/>
      <w:marLeft w:val="0"/>
      <w:marRight w:val="0"/>
      <w:marTop w:val="0"/>
      <w:marBottom w:val="0"/>
      <w:divBdr>
        <w:top w:val="none" w:sz="0" w:space="0" w:color="auto"/>
        <w:left w:val="none" w:sz="0" w:space="0" w:color="auto"/>
        <w:bottom w:val="none" w:sz="0" w:space="0" w:color="auto"/>
        <w:right w:val="none" w:sz="0" w:space="0" w:color="auto"/>
      </w:divBdr>
    </w:div>
    <w:div w:id="392699528">
      <w:bodyDiv w:val="1"/>
      <w:marLeft w:val="0"/>
      <w:marRight w:val="0"/>
      <w:marTop w:val="0"/>
      <w:marBottom w:val="0"/>
      <w:divBdr>
        <w:top w:val="none" w:sz="0" w:space="0" w:color="auto"/>
        <w:left w:val="none" w:sz="0" w:space="0" w:color="auto"/>
        <w:bottom w:val="none" w:sz="0" w:space="0" w:color="auto"/>
        <w:right w:val="none" w:sz="0" w:space="0" w:color="auto"/>
      </w:divBdr>
    </w:div>
    <w:div w:id="479615482">
      <w:bodyDiv w:val="1"/>
      <w:marLeft w:val="0"/>
      <w:marRight w:val="0"/>
      <w:marTop w:val="0"/>
      <w:marBottom w:val="0"/>
      <w:divBdr>
        <w:top w:val="none" w:sz="0" w:space="0" w:color="auto"/>
        <w:left w:val="none" w:sz="0" w:space="0" w:color="auto"/>
        <w:bottom w:val="none" w:sz="0" w:space="0" w:color="auto"/>
        <w:right w:val="none" w:sz="0" w:space="0" w:color="auto"/>
      </w:divBdr>
    </w:div>
    <w:div w:id="487940563">
      <w:bodyDiv w:val="1"/>
      <w:marLeft w:val="0"/>
      <w:marRight w:val="0"/>
      <w:marTop w:val="0"/>
      <w:marBottom w:val="0"/>
      <w:divBdr>
        <w:top w:val="none" w:sz="0" w:space="0" w:color="auto"/>
        <w:left w:val="none" w:sz="0" w:space="0" w:color="auto"/>
        <w:bottom w:val="none" w:sz="0" w:space="0" w:color="auto"/>
        <w:right w:val="none" w:sz="0" w:space="0" w:color="auto"/>
      </w:divBdr>
    </w:div>
    <w:div w:id="511721885">
      <w:bodyDiv w:val="1"/>
      <w:marLeft w:val="0"/>
      <w:marRight w:val="0"/>
      <w:marTop w:val="0"/>
      <w:marBottom w:val="0"/>
      <w:divBdr>
        <w:top w:val="none" w:sz="0" w:space="0" w:color="auto"/>
        <w:left w:val="none" w:sz="0" w:space="0" w:color="auto"/>
        <w:bottom w:val="none" w:sz="0" w:space="0" w:color="auto"/>
        <w:right w:val="none" w:sz="0" w:space="0" w:color="auto"/>
      </w:divBdr>
    </w:div>
    <w:div w:id="527184356">
      <w:bodyDiv w:val="1"/>
      <w:marLeft w:val="0"/>
      <w:marRight w:val="0"/>
      <w:marTop w:val="0"/>
      <w:marBottom w:val="0"/>
      <w:divBdr>
        <w:top w:val="none" w:sz="0" w:space="0" w:color="auto"/>
        <w:left w:val="none" w:sz="0" w:space="0" w:color="auto"/>
        <w:bottom w:val="none" w:sz="0" w:space="0" w:color="auto"/>
        <w:right w:val="none" w:sz="0" w:space="0" w:color="auto"/>
      </w:divBdr>
    </w:div>
    <w:div w:id="537789019">
      <w:bodyDiv w:val="1"/>
      <w:marLeft w:val="0"/>
      <w:marRight w:val="0"/>
      <w:marTop w:val="0"/>
      <w:marBottom w:val="0"/>
      <w:divBdr>
        <w:top w:val="none" w:sz="0" w:space="0" w:color="auto"/>
        <w:left w:val="none" w:sz="0" w:space="0" w:color="auto"/>
        <w:bottom w:val="none" w:sz="0" w:space="0" w:color="auto"/>
        <w:right w:val="none" w:sz="0" w:space="0" w:color="auto"/>
      </w:divBdr>
    </w:div>
    <w:div w:id="544761520">
      <w:bodyDiv w:val="1"/>
      <w:marLeft w:val="0"/>
      <w:marRight w:val="0"/>
      <w:marTop w:val="0"/>
      <w:marBottom w:val="0"/>
      <w:divBdr>
        <w:top w:val="none" w:sz="0" w:space="0" w:color="auto"/>
        <w:left w:val="none" w:sz="0" w:space="0" w:color="auto"/>
        <w:bottom w:val="none" w:sz="0" w:space="0" w:color="auto"/>
        <w:right w:val="none" w:sz="0" w:space="0" w:color="auto"/>
      </w:divBdr>
    </w:div>
    <w:div w:id="547452366">
      <w:bodyDiv w:val="1"/>
      <w:marLeft w:val="0"/>
      <w:marRight w:val="0"/>
      <w:marTop w:val="0"/>
      <w:marBottom w:val="0"/>
      <w:divBdr>
        <w:top w:val="none" w:sz="0" w:space="0" w:color="auto"/>
        <w:left w:val="none" w:sz="0" w:space="0" w:color="auto"/>
        <w:bottom w:val="none" w:sz="0" w:space="0" w:color="auto"/>
        <w:right w:val="none" w:sz="0" w:space="0" w:color="auto"/>
      </w:divBdr>
    </w:div>
    <w:div w:id="553466807">
      <w:bodyDiv w:val="1"/>
      <w:marLeft w:val="0"/>
      <w:marRight w:val="0"/>
      <w:marTop w:val="0"/>
      <w:marBottom w:val="0"/>
      <w:divBdr>
        <w:top w:val="none" w:sz="0" w:space="0" w:color="auto"/>
        <w:left w:val="none" w:sz="0" w:space="0" w:color="auto"/>
        <w:bottom w:val="none" w:sz="0" w:space="0" w:color="auto"/>
        <w:right w:val="none" w:sz="0" w:space="0" w:color="auto"/>
      </w:divBdr>
    </w:div>
    <w:div w:id="605424521">
      <w:bodyDiv w:val="1"/>
      <w:marLeft w:val="0"/>
      <w:marRight w:val="0"/>
      <w:marTop w:val="0"/>
      <w:marBottom w:val="0"/>
      <w:divBdr>
        <w:top w:val="none" w:sz="0" w:space="0" w:color="auto"/>
        <w:left w:val="none" w:sz="0" w:space="0" w:color="auto"/>
        <w:bottom w:val="none" w:sz="0" w:space="0" w:color="auto"/>
        <w:right w:val="none" w:sz="0" w:space="0" w:color="auto"/>
      </w:divBdr>
    </w:div>
    <w:div w:id="621810808">
      <w:bodyDiv w:val="1"/>
      <w:marLeft w:val="0"/>
      <w:marRight w:val="0"/>
      <w:marTop w:val="0"/>
      <w:marBottom w:val="0"/>
      <w:divBdr>
        <w:top w:val="none" w:sz="0" w:space="0" w:color="auto"/>
        <w:left w:val="none" w:sz="0" w:space="0" w:color="auto"/>
        <w:bottom w:val="none" w:sz="0" w:space="0" w:color="auto"/>
        <w:right w:val="none" w:sz="0" w:space="0" w:color="auto"/>
      </w:divBdr>
    </w:div>
    <w:div w:id="623580830">
      <w:bodyDiv w:val="1"/>
      <w:marLeft w:val="0"/>
      <w:marRight w:val="0"/>
      <w:marTop w:val="0"/>
      <w:marBottom w:val="0"/>
      <w:divBdr>
        <w:top w:val="none" w:sz="0" w:space="0" w:color="auto"/>
        <w:left w:val="none" w:sz="0" w:space="0" w:color="auto"/>
        <w:bottom w:val="none" w:sz="0" w:space="0" w:color="auto"/>
        <w:right w:val="none" w:sz="0" w:space="0" w:color="auto"/>
      </w:divBdr>
    </w:div>
    <w:div w:id="639575376">
      <w:bodyDiv w:val="1"/>
      <w:marLeft w:val="0"/>
      <w:marRight w:val="0"/>
      <w:marTop w:val="0"/>
      <w:marBottom w:val="0"/>
      <w:divBdr>
        <w:top w:val="none" w:sz="0" w:space="0" w:color="auto"/>
        <w:left w:val="none" w:sz="0" w:space="0" w:color="auto"/>
        <w:bottom w:val="none" w:sz="0" w:space="0" w:color="auto"/>
        <w:right w:val="none" w:sz="0" w:space="0" w:color="auto"/>
      </w:divBdr>
    </w:div>
    <w:div w:id="669791313">
      <w:bodyDiv w:val="1"/>
      <w:marLeft w:val="0"/>
      <w:marRight w:val="0"/>
      <w:marTop w:val="0"/>
      <w:marBottom w:val="0"/>
      <w:divBdr>
        <w:top w:val="none" w:sz="0" w:space="0" w:color="auto"/>
        <w:left w:val="none" w:sz="0" w:space="0" w:color="auto"/>
        <w:bottom w:val="none" w:sz="0" w:space="0" w:color="auto"/>
        <w:right w:val="none" w:sz="0" w:space="0" w:color="auto"/>
      </w:divBdr>
    </w:div>
    <w:div w:id="704988134">
      <w:bodyDiv w:val="1"/>
      <w:marLeft w:val="0"/>
      <w:marRight w:val="0"/>
      <w:marTop w:val="0"/>
      <w:marBottom w:val="0"/>
      <w:divBdr>
        <w:top w:val="none" w:sz="0" w:space="0" w:color="auto"/>
        <w:left w:val="none" w:sz="0" w:space="0" w:color="auto"/>
        <w:bottom w:val="none" w:sz="0" w:space="0" w:color="auto"/>
        <w:right w:val="none" w:sz="0" w:space="0" w:color="auto"/>
      </w:divBdr>
    </w:div>
    <w:div w:id="732700321">
      <w:bodyDiv w:val="1"/>
      <w:marLeft w:val="0"/>
      <w:marRight w:val="0"/>
      <w:marTop w:val="0"/>
      <w:marBottom w:val="0"/>
      <w:divBdr>
        <w:top w:val="none" w:sz="0" w:space="0" w:color="auto"/>
        <w:left w:val="none" w:sz="0" w:space="0" w:color="auto"/>
        <w:bottom w:val="none" w:sz="0" w:space="0" w:color="auto"/>
        <w:right w:val="none" w:sz="0" w:space="0" w:color="auto"/>
      </w:divBdr>
    </w:div>
    <w:div w:id="733507536">
      <w:bodyDiv w:val="1"/>
      <w:marLeft w:val="0"/>
      <w:marRight w:val="0"/>
      <w:marTop w:val="0"/>
      <w:marBottom w:val="0"/>
      <w:divBdr>
        <w:top w:val="none" w:sz="0" w:space="0" w:color="auto"/>
        <w:left w:val="none" w:sz="0" w:space="0" w:color="auto"/>
        <w:bottom w:val="none" w:sz="0" w:space="0" w:color="auto"/>
        <w:right w:val="none" w:sz="0" w:space="0" w:color="auto"/>
      </w:divBdr>
    </w:div>
    <w:div w:id="746802845">
      <w:bodyDiv w:val="1"/>
      <w:marLeft w:val="0"/>
      <w:marRight w:val="0"/>
      <w:marTop w:val="0"/>
      <w:marBottom w:val="0"/>
      <w:divBdr>
        <w:top w:val="none" w:sz="0" w:space="0" w:color="auto"/>
        <w:left w:val="none" w:sz="0" w:space="0" w:color="auto"/>
        <w:bottom w:val="none" w:sz="0" w:space="0" w:color="auto"/>
        <w:right w:val="none" w:sz="0" w:space="0" w:color="auto"/>
      </w:divBdr>
    </w:div>
    <w:div w:id="754517068">
      <w:bodyDiv w:val="1"/>
      <w:marLeft w:val="0"/>
      <w:marRight w:val="0"/>
      <w:marTop w:val="0"/>
      <w:marBottom w:val="0"/>
      <w:divBdr>
        <w:top w:val="none" w:sz="0" w:space="0" w:color="auto"/>
        <w:left w:val="none" w:sz="0" w:space="0" w:color="auto"/>
        <w:bottom w:val="none" w:sz="0" w:space="0" w:color="auto"/>
        <w:right w:val="none" w:sz="0" w:space="0" w:color="auto"/>
      </w:divBdr>
    </w:div>
    <w:div w:id="755980275">
      <w:bodyDiv w:val="1"/>
      <w:marLeft w:val="0"/>
      <w:marRight w:val="0"/>
      <w:marTop w:val="0"/>
      <w:marBottom w:val="0"/>
      <w:divBdr>
        <w:top w:val="none" w:sz="0" w:space="0" w:color="auto"/>
        <w:left w:val="none" w:sz="0" w:space="0" w:color="auto"/>
        <w:bottom w:val="none" w:sz="0" w:space="0" w:color="auto"/>
        <w:right w:val="none" w:sz="0" w:space="0" w:color="auto"/>
      </w:divBdr>
    </w:div>
    <w:div w:id="757748449">
      <w:bodyDiv w:val="1"/>
      <w:marLeft w:val="0"/>
      <w:marRight w:val="0"/>
      <w:marTop w:val="0"/>
      <w:marBottom w:val="0"/>
      <w:divBdr>
        <w:top w:val="none" w:sz="0" w:space="0" w:color="auto"/>
        <w:left w:val="none" w:sz="0" w:space="0" w:color="auto"/>
        <w:bottom w:val="none" w:sz="0" w:space="0" w:color="auto"/>
        <w:right w:val="none" w:sz="0" w:space="0" w:color="auto"/>
      </w:divBdr>
    </w:div>
    <w:div w:id="766268838">
      <w:bodyDiv w:val="1"/>
      <w:marLeft w:val="0"/>
      <w:marRight w:val="0"/>
      <w:marTop w:val="0"/>
      <w:marBottom w:val="0"/>
      <w:divBdr>
        <w:top w:val="none" w:sz="0" w:space="0" w:color="auto"/>
        <w:left w:val="none" w:sz="0" w:space="0" w:color="auto"/>
        <w:bottom w:val="none" w:sz="0" w:space="0" w:color="auto"/>
        <w:right w:val="none" w:sz="0" w:space="0" w:color="auto"/>
      </w:divBdr>
    </w:div>
    <w:div w:id="780687134">
      <w:bodyDiv w:val="1"/>
      <w:marLeft w:val="0"/>
      <w:marRight w:val="0"/>
      <w:marTop w:val="0"/>
      <w:marBottom w:val="0"/>
      <w:divBdr>
        <w:top w:val="none" w:sz="0" w:space="0" w:color="auto"/>
        <w:left w:val="none" w:sz="0" w:space="0" w:color="auto"/>
        <w:bottom w:val="none" w:sz="0" w:space="0" w:color="auto"/>
        <w:right w:val="none" w:sz="0" w:space="0" w:color="auto"/>
      </w:divBdr>
    </w:div>
    <w:div w:id="782505998">
      <w:bodyDiv w:val="1"/>
      <w:marLeft w:val="0"/>
      <w:marRight w:val="0"/>
      <w:marTop w:val="0"/>
      <w:marBottom w:val="0"/>
      <w:divBdr>
        <w:top w:val="none" w:sz="0" w:space="0" w:color="auto"/>
        <w:left w:val="none" w:sz="0" w:space="0" w:color="auto"/>
        <w:bottom w:val="none" w:sz="0" w:space="0" w:color="auto"/>
        <w:right w:val="none" w:sz="0" w:space="0" w:color="auto"/>
      </w:divBdr>
    </w:div>
    <w:div w:id="795561868">
      <w:bodyDiv w:val="1"/>
      <w:marLeft w:val="0"/>
      <w:marRight w:val="0"/>
      <w:marTop w:val="0"/>
      <w:marBottom w:val="0"/>
      <w:divBdr>
        <w:top w:val="none" w:sz="0" w:space="0" w:color="auto"/>
        <w:left w:val="none" w:sz="0" w:space="0" w:color="auto"/>
        <w:bottom w:val="none" w:sz="0" w:space="0" w:color="auto"/>
        <w:right w:val="none" w:sz="0" w:space="0" w:color="auto"/>
      </w:divBdr>
    </w:div>
    <w:div w:id="808936668">
      <w:bodyDiv w:val="1"/>
      <w:marLeft w:val="0"/>
      <w:marRight w:val="0"/>
      <w:marTop w:val="0"/>
      <w:marBottom w:val="0"/>
      <w:divBdr>
        <w:top w:val="none" w:sz="0" w:space="0" w:color="auto"/>
        <w:left w:val="none" w:sz="0" w:space="0" w:color="auto"/>
        <w:bottom w:val="none" w:sz="0" w:space="0" w:color="auto"/>
        <w:right w:val="none" w:sz="0" w:space="0" w:color="auto"/>
      </w:divBdr>
    </w:div>
    <w:div w:id="899246987">
      <w:bodyDiv w:val="1"/>
      <w:marLeft w:val="0"/>
      <w:marRight w:val="0"/>
      <w:marTop w:val="0"/>
      <w:marBottom w:val="0"/>
      <w:divBdr>
        <w:top w:val="none" w:sz="0" w:space="0" w:color="auto"/>
        <w:left w:val="none" w:sz="0" w:space="0" w:color="auto"/>
        <w:bottom w:val="none" w:sz="0" w:space="0" w:color="auto"/>
        <w:right w:val="none" w:sz="0" w:space="0" w:color="auto"/>
      </w:divBdr>
    </w:div>
    <w:div w:id="916012399">
      <w:bodyDiv w:val="1"/>
      <w:marLeft w:val="0"/>
      <w:marRight w:val="0"/>
      <w:marTop w:val="0"/>
      <w:marBottom w:val="0"/>
      <w:divBdr>
        <w:top w:val="none" w:sz="0" w:space="0" w:color="auto"/>
        <w:left w:val="none" w:sz="0" w:space="0" w:color="auto"/>
        <w:bottom w:val="none" w:sz="0" w:space="0" w:color="auto"/>
        <w:right w:val="none" w:sz="0" w:space="0" w:color="auto"/>
      </w:divBdr>
    </w:div>
    <w:div w:id="942804445">
      <w:bodyDiv w:val="1"/>
      <w:marLeft w:val="0"/>
      <w:marRight w:val="0"/>
      <w:marTop w:val="0"/>
      <w:marBottom w:val="0"/>
      <w:divBdr>
        <w:top w:val="none" w:sz="0" w:space="0" w:color="auto"/>
        <w:left w:val="none" w:sz="0" w:space="0" w:color="auto"/>
        <w:bottom w:val="none" w:sz="0" w:space="0" w:color="auto"/>
        <w:right w:val="none" w:sz="0" w:space="0" w:color="auto"/>
      </w:divBdr>
    </w:div>
    <w:div w:id="945311826">
      <w:bodyDiv w:val="1"/>
      <w:marLeft w:val="0"/>
      <w:marRight w:val="0"/>
      <w:marTop w:val="0"/>
      <w:marBottom w:val="0"/>
      <w:divBdr>
        <w:top w:val="none" w:sz="0" w:space="0" w:color="auto"/>
        <w:left w:val="none" w:sz="0" w:space="0" w:color="auto"/>
        <w:bottom w:val="none" w:sz="0" w:space="0" w:color="auto"/>
        <w:right w:val="none" w:sz="0" w:space="0" w:color="auto"/>
      </w:divBdr>
      <w:divsChild>
        <w:div w:id="1712345509">
          <w:marLeft w:val="0"/>
          <w:marRight w:val="0"/>
          <w:marTop w:val="0"/>
          <w:marBottom w:val="0"/>
          <w:divBdr>
            <w:top w:val="none" w:sz="0" w:space="0" w:color="auto"/>
            <w:left w:val="none" w:sz="0" w:space="0" w:color="auto"/>
            <w:bottom w:val="none" w:sz="0" w:space="0" w:color="auto"/>
            <w:right w:val="none" w:sz="0" w:space="0" w:color="auto"/>
          </w:divBdr>
          <w:divsChild>
            <w:div w:id="1471945639">
              <w:marLeft w:val="0"/>
              <w:marRight w:val="0"/>
              <w:marTop w:val="0"/>
              <w:marBottom w:val="0"/>
              <w:divBdr>
                <w:top w:val="none" w:sz="0" w:space="0" w:color="auto"/>
                <w:left w:val="none" w:sz="0" w:space="0" w:color="auto"/>
                <w:bottom w:val="none" w:sz="0" w:space="0" w:color="auto"/>
                <w:right w:val="none" w:sz="0" w:space="0" w:color="auto"/>
              </w:divBdr>
              <w:divsChild>
                <w:div w:id="583147981">
                  <w:marLeft w:val="0"/>
                  <w:marRight w:val="0"/>
                  <w:marTop w:val="0"/>
                  <w:marBottom w:val="0"/>
                  <w:divBdr>
                    <w:top w:val="none" w:sz="0" w:space="0" w:color="auto"/>
                    <w:left w:val="none" w:sz="0" w:space="0" w:color="auto"/>
                    <w:bottom w:val="none" w:sz="0" w:space="0" w:color="auto"/>
                    <w:right w:val="none" w:sz="0" w:space="0" w:color="auto"/>
                  </w:divBdr>
                  <w:divsChild>
                    <w:div w:id="1290477828">
                      <w:marLeft w:val="0"/>
                      <w:marRight w:val="0"/>
                      <w:marTop w:val="0"/>
                      <w:marBottom w:val="0"/>
                      <w:divBdr>
                        <w:top w:val="none" w:sz="0" w:space="0" w:color="auto"/>
                        <w:left w:val="none" w:sz="0" w:space="0" w:color="auto"/>
                        <w:bottom w:val="none" w:sz="0" w:space="0" w:color="auto"/>
                        <w:right w:val="none" w:sz="0" w:space="0" w:color="auto"/>
                      </w:divBdr>
                      <w:divsChild>
                        <w:div w:id="60956579">
                          <w:marLeft w:val="0"/>
                          <w:marRight w:val="0"/>
                          <w:marTop w:val="0"/>
                          <w:marBottom w:val="0"/>
                          <w:divBdr>
                            <w:top w:val="none" w:sz="0" w:space="0" w:color="auto"/>
                            <w:left w:val="none" w:sz="0" w:space="0" w:color="auto"/>
                            <w:bottom w:val="none" w:sz="0" w:space="0" w:color="auto"/>
                            <w:right w:val="none" w:sz="0" w:space="0" w:color="auto"/>
                          </w:divBdr>
                          <w:divsChild>
                            <w:div w:id="173686391">
                              <w:marLeft w:val="0"/>
                              <w:marRight w:val="0"/>
                              <w:marTop w:val="0"/>
                              <w:marBottom w:val="0"/>
                              <w:divBdr>
                                <w:top w:val="none" w:sz="0" w:space="0" w:color="auto"/>
                                <w:left w:val="none" w:sz="0" w:space="0" w:color="auto"/>
                                <w:bottom w:val="none" w:sz="0" w:space="0" w:color="auto"/>
                                <w:right w:val="none" w:sz="0" w:space="0" w:color="auto"/>
                              </w:divBdr>
                              <w:divsChild>
                                <w:div w:id="107117984">
                                  <w:marLeft w:val="0"/>
                                  <w:marRight w:val="0"/>
                                  <w:marTop w:val="0"/>
                                  <w:marBottom w:val="0"/>
                                  <w:divBdr>
                                    <w:top w:val="none" w:sz="0" w:space="0" w:color="auto"/>
                                    <w:left w:val="none" w:sz="0" w:space="0" w:color="auto"/>
                                    <w:bottom w:val="none" w:sz="0" w:space="0" w:color="auto"/>
                                    <w:right w:val="none" w:sz="0" w:space="0" w:color="auto"/>
                                  </w:divBdr>
                                  <w:divsChild>
                                    <w:div w:id="1187981789">
                                      <w:marLeft w:val="0"/>
                                      <w:marRight w:val="0"/>
                                      <w:marTop w:val="0"/>
                                      <w:marBottom w:val="0"/>
                                      <w:divBdr>
                                        <w:top w:val="none" w:sz="0" w:space="0" w:color="auto"/>
                                        <w:left w:val="none" w:sz="0" w:space="0" w:color="auto"/>
                                        <w:bottom w:val="none" w:sz="0" w:space="0" w:color="auto"/>
                                        <w:right w:val="none" w:sz="0" w:space="0" w:color="auto"/>
                                      </w:divBdr>
                                      <w:divsChild>
                                        <w:div w:id="377514010">
                                          <w:marLeft w:val="0"/>
                                          <w:marRight w:val="0"/>
                                          <w:marTop w:val="0"/>
                                          <w:marBottom w:val="0"/>
                                          <w:divBdr>
                                            <w:top w:val="none" w:sz="0" w:space="0" w:color="auto"/>
                                            <w:left w:val="none" w:sz="0" w:space="0" w:color="auto"/>
                                            <w:bottom w:val="none" w:sz="0" w:space="0" w:color="auto"/>
                                            <w:right w:val="none" w:sz="0" w:space="0" w:color="auto"/>
                                          </w:divBdr>
                                          <w:divsChild>
                                            <w:div w:id="656762130">
                                              <w:marLeft w:val="0"/>
                                              <w:marRight w:val="0"/>
                                              <w:marTop w:val="0"/>
                                              <w:marBottom w:val="0"/>
                                              <w:divBdr>
                                                <w:top w:val="single" w:sz="12" w:space="2" w:color="FFFFCC"/>
                                                <w:left w:val="single" w:sz="12" w:space="2" w:color="FFFFCC"/>
                                                <w:bottom w:val="single" w:sz="12" w:space="2" w:color="FFFFCC"/>
                                                <w:right w:val="single" w:sz="12" w:space="0" w:color="FFFFCC"/>
                                              </w:divBdr>
                                              <w:divsChild>
                                                <w:div w:id="804853752">
                                                  <w:marLeft w:val="0"/>
                                                  <w:marRight w:val="0"/>
                                                  <w:marTop w:val="0"/>
                                                  <w:marBottom w:val="0"/>
                                                  <w:divBdr>
                                                    <w:top w:val="none" w:sz="0" w:space="0" w:color="auto"/>
                                                    <w:left w:val="none" w:sz="0" w:space="0" w:color="auto"/>
                                                    <w:bottom w:val="none" w:sz="0" w:space="0" w:color="auto"/>
                                                    <w:right w:val="none" w:sz="0" w:space="0" w:color="auto"/>
                                                  </w:divBdr>
                                                  <w:divsChild>
                                                    <w:div w:id="867648104">
                                                      <w:marLeft w:val="0"/>
                                                      <w:marRight w:val="0"/>
                                                      <w:marTop w:val="0"/>
                                                      <w:marBottom w:val="0"/>
                                                      <w:divBdr>
                                                        <w:top w:val="none" w:sz="0" w:space="0" w:color="auto"/>
                                                        <w:left w:val="none" w:sz="0" w:space="0" w:color="auto"/>
                                                        <w:bottom w:val="none" w:sz="0" w:space="0" w:color="auto"/>
                                                        <w:right w:val="none" w:sz="0" w:space="0" w:color="auto"/>
                                                      </w:divBdr>
                                                      <w:divsChild>
                                                        <w:div w:id="740638005">
                                                          <w:marLeft w:val="0"/>
                                                          <w:marRight w:val="0"/>
                                                          <w:marTop w:val="0"/>
                                                          <w:marBottom w:val="0"/>
                                                          <w:divBdr>
                                                            <w:top w:val="none" w:sz="0" w:space="0" w:color="auto"/>
                                                            <w:left w:val="none" w:sz="0" w:space="0" w:color="auto"/>
                                                            <w:bottom w:val="none" w:sz="0" w:space="0" w:color="auto"/>
                                                            <w:right w:val="none" w:sz="0" w:space="0" w:color="auto"/>
                                                          </w:divBdr>
                                                          <w:divsChild>
                                                            <w:div w:id="1745177383">
                                                              <w:marLeft w:val="0"/>
                                                              <w:marRight w:val="0"/>
                                                              <w:marTop w:val="0"/>
                                                              <w:marBottom w:val="0"/>
                                                              <w:divBdr>
                                                                <w:top w:val="none" w:sz="0" w:space="0" w:color="auto"/>
                                                                <w:left w:val="none" w:sz="0" w:space="0" w:color="auto"/>
                                                                <w:bottom w:val="none" w:sz="0" w:space="0" w:color="auto"/>
                                                                <w:right w:val="none" w:sz="0" w:space="0" w:color="auto"/>
                                                              </w:divBdr>
                                                              <w:divsChild>
                                                                <w:div w:id="853231207">
                                                                  <w:marLeft w:val="0"/>
                                                                  <w:marRight w:val="0"/>
                                                                  <w:marTop w:val="0"/>
                                                                  <w:marBottom w:val="0"/>
                                                                  <w:divBdr>
                                                                    <w:top w:val="none" w:sz="0" w:space="0" w:color="auto"/>
                                                                    <w:left w:val="none" w:sz="0" w:space="0" w:color="auto"/>
                                                                    <w:bottom w:val="none" w:sz="0" w:space="0" w:color="auto"/>
                                                                    <w:right w:val="none" w:sz="0" w:space="0" w:color="auto"/>
                                                                  </w:divBdr>
                                                                  <w:divsChild>
                                                                    <w:div w:id="392851954">
                                                                      <w:marLeft w:val="0"/>
                                                                      <w:marRight w:val="0"/>
                                                                      <w:marTop w:val="0"/>
                                                                      <w:marBottom w:val="0"/>
                                                                      <w:divBdr>
                                                                        <w:top w:val="none" w:sz="0" w:space="0" w:color="auto"/>
                                                                        <w:left w:val="none" w:sz="0" w:space="0" w:color="auto"/>
                                                                        <w:bottom w:val="none" w:sz="0" w:space="0" w:color="auto"/>
                                                                        <w:right w:val="none" w:sz="0" w:space="0" w:color="auto"/>
                                                                      </w:divBdr>
                                                                      <w:divsChild>
                                                                        <w:div w:id="1930239229">
                                                                          <w:marLeft w:val="0"/>
                                                                          <w:marRight w:val="0"/>
                                                                          <w:marTop w:val="0"/>
                                                                          <w:marBottom w:val="0"/>
                                                                          <w:divBdr>
                                                                            <w:top w:val="none" w:sz="0" w:space="0" w:color="auto"/>
                                                                            <w:left w:val="none" w:sz="0" w:space="0" w:color="auto"/>
                                                                            <w:bottom w:val="none" w:sz="0" w:space="0" w:color="auto"/>
                                                                            <w:right w:val="none" w:sz="0" w:space="0" w:color="auto"/>
                                                                          </w:divBdr>
                                                                          <w:divsChild>
                                                                            <w:div w:id="544803013">
                                                                              <w:marLeft w:val="0"/>
                                                                              <w:marRight w:val="0"/>
                                                                              <w:marTop w:val="0"/>
                                                                              <w:marBottom w:val="0"/>
                                                                              <w:divBdr>
                                                                                <w:top w:val="none" w:sz="0" w:space="0" w:color="auto"/>
                                                                                <w:left w:val="none" w:sz="0" w:space="0" w:color="auto"/>
                                                                                <w:bottom w:val="none" w:sz="0" w:space="0" w:color="auto"/>
                                                                                <w:right w:val="none" w:sz="0" w:space="0" w:color="auto"/>
                                                                              </w:divBdr>
                                                                              <w:divsChild>
                                                                                <w:div w:id="425613929">
                                                                                  <w:marLeft w:val="0"/>
                                                                                  <w:marRight w:val="0"/>
                                                                                  <w:marTop w:val="0"/>
                                                                                  <w:marBottom w:val="0"/>
                                                                                  <w:divBdr>
                                                                                    <w:top w:val="none" w:sz="0" w:space="0" w:color="auto"/>
                                                                                    <w:left w:val="none" w:sz="0" w:space="0" w:color="auto"/>
                                                                                    <w:bottom w:val="none" w:sz="0" w:space="0" w:color="auto"/>
                                                                                    <w:right w:val="none" w:sz="0" w:space="0" w:color="auto"/>
                                                                                  </w:divBdr>
                                                                                  <w:divsChild>
                                                                                    <w:div w:id="51202968">
                                                                                      <w:marLeft w:val="0"/>
                                                                                      <w:marRight w:val="0"/>
                                                                                      <w:marTop w:val="0"/>
                                                                                      <w:marBottom w:val="0"/>
                                                                                      <w:divBdr>
                                                                                        <w:top w:val="none" w:sz="0" w:space="0" w:color="auto"/>
                                                                                        <w:left w:val="none" w:sz="0" w:space="0" w:color="auto"/>
                                                                                        <w:bottom w:val="none" w:sz="0" w:space="0" w:color="auto"/>
                                                                                        <w:right w:val="none" w:sz="0" w:space="0" w:color="auto"/>
                                                                                      </w:divBdr>
                                                                                      <w:divsChild>
                                                                                        <w:div w:id="989019117">
                                                                                          <w:marLeft w:val="0"/>
                                                                                          <w:marRight w:val="120"/>
                                                                                          <w:marTop w:val="0"/>
                                                                                          <w:marBottom w:val="150"/>
                                                                                          <w:divBdr>
                                                                                            <w:top w:val="single" w:sz="2" w:space="0" w:color="EFEFEF"/>
                                                                                            <w:left w:val="single" w:sz="6" w:space="0" w:color="EFEFEF"/>
                                                                                            <w:bottom w:val="single" w:sz="6" w:space="0" w:color="E2E2E2"/>
                                                                                            <w:right w:val="single" w:sz="6" w:space="0" w:color="EFEFEF"/>
                                                                                          </w:divBdr>
                                                                                          <w:divsChild>
                                                                                            <w:div w:id="478115643">
                                                                                              <w:marLeft w:val="0"/>
                                                                                              <w:marRight w:val="0"/>
                                                                                              <w:marTop w:val="0"/>
                                                                                              <w:marBottom w:val="0"/>
                                                                                              <w:divBdr>
                                                                                                <w:top w:val="none" w:sz="0" w:space="0" w:color="auto"/>
                                                                                                <w:left w:val="none" w:sz="0" w:space="0" w:color="auto"/>
                                                                                                <w:bottom w:val="none" w:sz="0" w:space="0" w:color="auto"/>
                                                                                                <w:right w:val="none" w:sz="0" w:space="0" w:color="auto"/>
                                                                                              </w:divBdr>
                                                                                              <w:divsChild>
                                                                                                <w:div w:id="2108572347">
                                                                                                  <w:marLeft w:val="0"/>
                                                                                                  <w:marRight w:val="0"/>
                                                                                                  <w:marTop w:val="0"/>
                                                                                                  <w:marBottom w:val="0"/>
                                                                                                  <w:divBdr>
                                                                                                    <w:top w:val="none" w:sz="0" w:space="0" w:color="auto"/>
                                                                                                    <w:left w:val="none" w:sz="0" w:space="0" w:color="auto"/>
                                                                                                    <w:bottom w:val="none" w:sz="0" w:space="0" w:color="auto"/>
                                                                                                    <w:right w:val="none" w:sz="0" w:space="0" w:color="auto"/>
                                                                                                  </w:divBdr>
                                                                                                  <w:divsChild>
                                                                                                    <w:div w:id="1871255687">
                                                                                                      <w:marLeft w:val="0"/>
                                                                                                      <w:marRight w:val="0"/>
                                                                                                      <w:marTop w:val="0"/>
                                                                                                      <w:marBottom w:val="0"/>
                                                                                                      <w:divBdr>
                                                                                                        <w:top w:val="none" w:sz="0" w:space="0" w:color="auto"/>
                                                                                                        <w:left w:val="none" w:sz="0" w:space="0" w:color="auto"/>
                                                                                                        <w:bottom w:val="none" w:sz="0" w:space="0" w:color="auto"/>
                                                                                                        <w:right w:val="none" w:sz="0" w:space="0" w:color="auto"/>
                                                                                                      </w:divBdr>
                                                                                                      <w:divsChild>
                                                                                                        <w:div w:id="180437793">
                                                                                                          <w:marLeft w:val="0"/>
                                                                                                          <w:marRight w:val="0"/>
                                                                                                          <w:marTop w:val="0"/>
                                                                                                          <w:marBottom w:val="0"/>
                                                                                                          <w:divBdr>
                                                                                                            <w:top w:val="none" w:sz="0" w:space="0" w:color="auto"/>
                                                                                                            <w:left w:val="none" w:sz="0" w:space="0" w:color="auto"/>
                                                                                                            <w:bottom w:val="none" w:sz="0" w:space="0" w:color="auto"/>
                                                                                                            <w:right w:val="none" w:sz="0" w:space="0" w:color="auto"/>
                                                                                                          </w:divBdr>
                                                                                                          <w:divsChild>
                                                                                                            <w:div w:id="710573889">
                                                                                                              <w:marLeft w:val="0"/>
                                                                                                              <w:marRight w:val="0"/>
                                                                                                              <w:marTop w:val="0"/>
                                                                                                              <w:marBottom w:val="0"/>
                                                                                                              <w:divBdr>
                                                                                                                <w:top w:val="single" w:sz="2" w:space="4" w:color="D8D8D8"/>
                                                                                                                <w:left w:val="single" w:sz="2" w:space="0" w:color="D8D8D8"/>
                                                                                                                <w:bottom w:val="single" w:sz="2" w:space="4" w:color="D8D8D8"/>
                                                                                                                <w:right w:val="single" w:sz="2" w:space="0" w:color="D8D8D8"/>
                                                                                                              </w:divBdr>
                                                                                                              <w:divsChild>
                                                                                                                <w:div w:id="540169963">
                                                                                                                  <w:marLeft w:val="225"/>
                                                                                                                  <w:marRight w:val="225"/>
                                                                                                                  <w:marTop w:val="75"/>
                                                                                                                  <w:marBottom w:val="75"/>
                                                                                                                  <w:divBdr>
                                                                                                                    <w:top w:val="none" w:sz="0" w:space="0" w:color="auto"/>
                                                                                                                    <w:left w:val="none" w:sz="0" w:space="0" w:color="auto"/>
                                                                                                                    <w:bottom w:val="none" w:sz="0" w:space="0" w:color="auto"/>
                                                                                                                    <w:right w:val="none" w:sz="0" w:space="0" w:color="auto"/>
                                                                                                                  </w:divBdr>
                                                                                                                  <w:divsChild>
                                                                                                                    <w:div w:id="1601837379">
                                                                                                                      <w:marLeft w:val="0"/>
                                                                                                                      <w:marRight w:val="0"/>
                                                                                                                      <w:marTop w:val="0"/>
                                                                                                                      <w:marBottom w:val="0"/>
                                                                                                                      <w:divBdr>
                                                                                                                        <w:top w:val="single" w:sz="6" w:space="0" w:color="auto"/>
                                                                                                                        <w:left w:val="single" w:sz="6" w:space="0" w:color="auto"/>
                                                                                                                        <w:bottom w:val="single" w:sz="6" w:space="0" w:color="auto"/>
                                                                                                                        <w:right w:val="single" w:sz="6" w:space="0" w:color="auto"/>
                                                                                                                      </w:divBdr>
                                                                                                                      <w:divsChild>
                                                                                                                        <w:div w:id="825823612">
                                                                                                                          <w:marLeft w:val="0"/>
                                                                                                                          <w:marRight w:val="0"/>
                                                                                                                          <w:marTop w:val="0"/>
                                                                                                                          <w:marBottom w:val="0"/>
                                                                                                                          <w:divBdr>
                                                                                                                            <w:top w:val="none" w:sz="0" w:space="0" w:color="auto"/>
                                                                                                                            <w:left w:val="none" w:sz="0" w:space="0" w:color="auto"/>
                                                                                                                            <w:bottom w:val="none" w:sz="0" w:space="0" w:color="auto"/>
                                                                                                                            <w:right w:val="none" w:sz="0" w:space="0" w:color="auto"/>
                                                                                                                          </w:divBdr>
                                                                                                                          <w:divsChild>
                                                                                                                            <w:div w:id="3930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294838">
      <w:bodyDiv w:val="1"/>
      <w:marLeft w:val="0"/>
      <w:marRight w:val="0"/>
      <w:marTop w:val="0"/>
      <w:marBottom w:val="0"/>
      <w:divBdr>
        <w:top w:val="none" w:sz="0" w:space="0" w:color="auto"/>
        <w:left w:val="none" w:sz="0" w:space="0" w:color="auto"/>
        <w:bottom w:val="none" w:sz="0" w:space="0" w:color="auto"/>
        <w:right w:val="none" w:sz="0" w:space="0" w:color="auto"/>
      </w:divBdr>
    </w:div>
    <w:div w:id="1024937900">
      <w:bodyDiv w:val="1"/>
      <w:marLeft w:val="0"/>
      <w:marRight w:val="0"/>
      <w:marTop w:val="0"/>
      <w:marBottom w:val="0"/>
      <w:divBdr>
        <w:top w:val="none" w:sz="0" w:space="0" w:color="auto"/>
        <w:left w:val="none" w:sz="0" w:space="0" w:color="auto"/>
        <w:bottom w:val="none" w:sz="0" w:space="0" w:color="auto"/>
        <w:right w:val="none" w:sz="0" w:space="0" w:color="auto"/>
      </w:divBdr>
    </w:div>
    <w:div w:id="1031034908">
      <w:bodyDiv w:val="1"/>
      <w:marLeft w:val="0"/>
      <w:marRight w:val="0"/>
      <w:marTop w:val="0"/>
      <w:marBottom w:val="0"/>
      <w:divBdr>
        <w:top w:val="none" w:sz="0" w:space="0" w:color="auto"/>
        <w:left w:val="none" w:sz="0" w:space="0" w:color="auto"/>
        <w:bottom w:val="none" w:sz="0" w:space="0" w:color="auto"/>
        <w:right w:val="none" w:sz="0" w:space="0" w:color="auto"/>
      </w:divBdr>
    </w:div>
    <w:div w:id="1035697024">
      <w:bodyDiv w:val="1"/>
      <w:marLeft w:val="0"/>
      <w:marRight w:val="0"/>
      <w:marTop w:val="0"/>
      <w:marBottom w:val="0"/>
      <w:divBdr>
        <w:top w:val="none" w:sz="0" w:space="0" w:color="auto"/>
        <w:left w:val="none" w:sz="0" w:space="0" w:color="auto"/>
        <w:bottom w:val="none" w:sz="0" w:space="0" w:color="auto"/>
        <w:right w:val="none" w:sz="0" w:space="0" w:color="auto"/>
      </w:divBdr>
    </w:div>
    <w:div w:id="1047951403">
      <w:bodyDiv w:val="1"/>
      <w:marLeft w:val="0"/>
      <w:marRight w:val="0"/>
      <w:marTop w:val="0"/>
      <w:marBottom w:val="0"/>
      <w:divBdr>
        <w:top w:val="none" w:sz="0" w:space="0" w:color="auto"/>
        <w:left w:val="none" w:sz="0" w:space="0" w:color="auto"/>
        <w:bottom w:val="none" w:sz="0" w:space="0" w:color="auto"/>
        <w:right w:val="none" w:sz="0" w:space="0" w:color="auto"/>
      </w:divBdr>
    </w:div>
    <w:div w:id="1060134050">
      <w:bodyDiv w:val="1"/>
      <w:marLeft w:val="0"/>
      <w:marRight w:val="0"/>
      <w:marTop w:val="0"/>
      <w:marBottom w:val="0"/>
      <w:divBdr>
        <w:top w:val="none" w:sz="0" w:space="0" w:color="auto"/>
        <w:left w:val="none" w:sz="0" w:space="0" w:color="auto"/>
        <w:bottom w:val="none" w:sz="0" w:space="0" w:color="auto"/>
        <w:right w:val="none" w:sz="0" w:space="0" w:color="auto"/>
      </w:divBdr>
    </w:div>
    <w:div w:id="1078669258">
      <w:bodyDiv w:val="1"/>
      <w:marLeft w:val="0"/>
      <w:marRight w:val="0"/>
      <w:marTop w:val="0"/>
      <w:marBottom w:val="0"/>
      <w:divBdr>
        <w:top w:val="none" w:sz="0" w:space="0" w:color="auto"/>
        <w:left w:val="none" w:sz="0" w:space="0" w:color="auto"/>
        <w:bottom w:val="none" w:sz="0" w:space="0" w:color="auto"/>
        <w:right w:val="none" w:sz="0" w:space="0" w:color="auto"/>
      </w:divBdr>
    </w:div>
    <w:div w:id="1158037993">
      <w:bodyDiv w:val="1"/>
      <w:marLeft w:val="0"/>
      <w:marRight w:val="0"/>
      <w:marTop w:val="0"/>
      <w:marBottom w:val="0"/>
      <w:divBdr>
        <w:top w:val="none" w:sz="0" w:space="0" w:color="auto"/>
        <w:left w:val="none" w:sz="0" w:space="0" w:color="auto"/>
        <w:bottom w:val="none" w:sz="0" w:space="0" w:color="auto"/>
        <w:right w:val="none" w:sz="0" w:space="0" w:color="auto"/>
      </w:divBdr>
    </w:div>
    <w:div w:id="1240866710">
      <w:bodyDiv w:val="1"/>
      <w:marLeft w:val="0"/>
      <w:marRight w:val="0"/>
      <w:marTop w:val="0"/>
      <w:marBottom w:val="0"/>
      <w:divBdr>
        <w:top w:val="none" w:sz="0" w:space="0" w:color="auto"/>
        <w:left w:val="none" w:sz="0" w:space="0" w:color="auto"/>
        <w:bottom w:val="none" w:sz="0" w:space="0" w:color="auto"/>
        <w:right w:val="none" w:sz="0" w:space="0" w:color="auto"/>
      </w:divBdr>
    </w:div>
    <w:div w:id="1245602015">
      <w:bodyDiv w:val="1"/>
      <w:marLeft w:val="0"/>
      <w:marRight w:val="0"/>
      <w:marTop w:val="0"/>
      <w:marBottom w:val="0"/>
      <w:divBdr>
        <w:top w:val="none" w:sz="0" w:space="0" w:color="auto"/>
        <w:left w:val="none" w:sz="0" w:space="0" w:color="auto"/>
        <w:bottom w:val="none" w:sz="0" w:space="0" w:color="auto"/>
        <w:right w:val="none" w:sz="0" w:space="0" w:color="auto"/>
      </w:divBdr>
    </w:div>
    <w:div w:id="1249189761">
      <w:bodyDiv w:val="1"/>
      <w:marLeft w:val="0"/>
      <w:marRight w:val="0"/>
      <w:marTop w:val="0"/>
      <w:marBottom w:val="0"/>
      <w:divBdr>
        <w:top w:val="none" w:sz="0" w:space="0" w:color="auto"/>
        <w:left w:val="none" w:sz="0" w:space="0" w:color="auto"/>
        <w:bottom w:val="none" w:sz="0" w:space="0" w:color="auto"/>
        <w:right w:val="none" w:sz="0" w:space="0" w:color="auto"/>
      </w:divBdr>
    </w:div>
    <w:div w:id="1261253065">
      <w:bodyDiv w:val="1"/>
      <w:marLeft w:val="0"/>
      <w:marRight w:val="0"/>
      <w:marTop w:val="0"/>
      <w:marBottom w:val="0"/>
      <w:divBdr>
        <w:top w:val="none" w:sz="0" w:space="0" w:color="auto"/>
        <w:left w:val="none" w:sz="0" w:space="0" w:color="auto"/>
        <w:bottom w:val="none" w:sz="0" w:space="0" w:color="auto"/>
        <w:right w:val="none" w:sz="0" w:space="0" w:color="auto"/>
      </w:divBdr>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91206430">
      <w:bodyDiv w:val="1"/>
      <w:marLeft w:val="0"/>
      <w:marRight w:val="0"/>
      <w:marTop w:val="0"/>
      <w:marBottom w:val="0"/>
      <w:divBdr>
        <w:top w:val="none" w:sz="0" w:space="0" w:color="auto"/>
        <w:left w:val="none" w:sz="0" w:space="0" w:color="auto"/>
        <w:bottom w:val="none" w:sz="0" w:space="0" w:color="auto"/>
        <w:right w:val="none" w:sz="0" w:space="0" w:color="auto"/>
      </w:divBdr>
    </w:div>
    <w:div w:id="1314522583">
      <w:bodyDiv w:val="1"/>
      <w:marLeft w:val="0"/>
      <w:marRight w:val="0"/>
      <w:marTop w:val="0"/>
      <w:marBottom w:val="0"/>
      <w:divBdr>
        <w:top w:val="none" w:sz="0" w:space="0" w:color="auto"/>
        <w:left w:val="none" w:sz="0" w:space="0" w:color="auto"/>
        <w:bottom w:val="none" w:sz="0" w:space="0" w:color="auto"/>
        <w:right w:val="none" w:sz="0" w:space="0" w:color="auto"/>
      </w:divBdr>
    </w:div>
    <w:div w:id="1314531076">
      <w:bodyDiv w:val="1"/>
      <w:marLeft w:val="0"/>
      <w:marRight w:val="0"/>
      <w:marTop w:val="0"/>
      <w:marBottom w:val="0"/>
      <w:divBdr>
        <w:top w:val="none" w:sz="0" w:space="0" w:color="auto"/>
        <w:left w:val="none" w:sz="0" w:space="0" w:color="auto"/>
        <w:bottom w:val="none" w:sz="0" w:space="0" w:color="auto"/>
        <w:right w:val="none" w:sz="0" w:space="0" w:color="auto"/>
      </w:divBdr>
    </w:div>
    <w:div w:id="1324356099">
      <w:bodyDiv w:val="1"/>
      <w:marLeft w:val="0"/>
      <w:marRight w:val="0"/>
      <w:marTop w:val="0"/>
      <w:marBottom w:val="0"/>
      <w:divBdr>
        <w:top w:val="none" w:sz="0" w:space="0" w:color="auto"/>
        <w:left w:val="none" w:sz="0" w:space="0" w:color="auto"/>
        <w:bottom w:val="none" w:sz="0" w:space="0" w:color="auto"/>
        <w:right w:val="none" w:sz="0" w:space="0" w:color="auto"/>
      </w:divBdr>
    </w:div>
    <w:div w:id="1331442061">
      <w:bodyDiv w:val="1"/>
      <w:marLeft w:val="0"/>
      <w:marRight w:val="0"/>
      <w:marTop w:val="0"/>
      <w:marBottom w:val="0"/>
      <w:divBdr>
        <w:top w:val="none" w:sz="0" w:space="0" w:color="auto"/>
        <w:left w:val="none" w:sz="0" w:space="0" w:color="auto"/>
        <w:bottom w:val="none" w:sz="0" w:space="0" w:color="auto"/>
        <w:right w:val="none" w:sz="0" w:space="0" w:color="auto"/>
      </w:divBdr>
    </w:div>
    <w:div w:id="1376806584">
      <w:bodyDiv w:val="1"/>
      <w:marLeft w:val="0"/>
      <w:marRight w:val="0"/>
      <w:marTop w:val="0"/>
      <w:marBottom w:val="0"/>
      <w:divBdr>
        <w:top w:val="none" w:sz="0" w:space="0" w:color="auto"/>
        <w:left w:val="none" w:sz="0" w:space="0" w:color="auto"/>
        <w:bottom w:val="none" w:sz="0" w:space="0" w:color="auto"/>
        <w:right w:val="none" w:sz="0" w:space="0" w:color="auto"/>
      </w:divBdr>
    </w:div>
    <w:div w:id="1402870894">
      <w:bodyDiv w:val="1"/>
      <w:marLeft w:val="0"/>
      <w:marRight w:val="0"/>
      <w:marTop w:val="0"/>
      <w:marBottom w:val="0"/>
      <w:divBdr>
        <w:top w:val="none" w:sz="0" w:space="0" w:color="auto"/>
        <w:left w:val="none" w:sz="0" w:space="0" w:color="auto"/>
        <w:bottom w:val="none" w:sz="0" w:space="0" w:color="auto"/>
        <w:right w:val="none" w:sz="0" w:space="0" w:color="auto"/>
      </w:divBdr>
    </w:div>
    <w:div w:id="1421680028">
      <w:bodyDiv w:val="1"/>
      <w:marLeft w:val="0"/>
      <w:marRight w:val="0"/>
      <w:marTop w:val="0"/>
      <w:marBottom w:val="0"/>
      <w:divBdr>
        <w:top w:val="none" w:sz="0" w:space="0" w:color="auto"/>
        <w:left w:val="none" w:sz="0" w:space="0" w:color="auto"/>
        <w:bottom w:val="none" w:sz="0" w:space="0" w:color="auto"/>
        <w:right w:val="none" w:sz="0" w:space="0" w:color="auto"/>
      </w:divBdr>
    </w:div>
    <w:div w:id="1426850474">
      <w:bodyDiv w:val="1"/>
      <w:marLeft w:val="0"/>
      <w:marRight w:val="0"/>
      <w:marTop w:val="0"/>
      <w:marBottom w:val="0"/>
      <w:divBdr>
        <w:top w:val="none" w:sz="0" w:space="0" w:color="auto"/>
        <w:left w:val="none" w:sz="0" w:space="0" w:color="auto"/>
        <w:bottom w:val="none" w:sz="0" w:space="0" w:color="auto"/>
        <w:right w:val="none" w:sz="0" w:space="0" w:color="auto"/>
      </w:divBdr>
    </w:div>
    <w:div w:id="1429497941">
      <w:bodyDiv w:val="1"/>
      <w:marLeft w:val="0"/>
      <w:marRight w:val="0"/>
      <w:marTop w:val="0"/>
      <w:marBottom w:val="0"/>
      <w:divBdr>
        <w:top w:val="none" w:sz="0" w:space="0" w:color="auto"/>
        <w:left w:val="none" w:sz="0" w:space="0" w:color="auto"/>
        <w:bottom w:val="none" w:sz="0" w:space="0" w:color="auto"/>
        <w:right w:val="none" w:sz="0" w:space="0" w:color="auto"/>
      </w:divBdr>
    </w:div>
    <w:div w:id="1448503251">
      <w:bodyDiv w:val="1"/>
      <w:marLeft w:val="0"/>
      <w:marRight w:val="0"/>
      <w:marTop w:val="0"/>
      <w:marBottom w:val="0"/>
      <w:divBdr>
        <w:top w:val="none" w:sz="0" w:space="0" w:color="auto"/>
        <w:left w:val="none" w:sz="0" w:space="0" w:color="auto"/>
        <w:bottom w:val="none" w:sz="0" w:space="0" w:color="auto"/>
        <w:right w:val="none" w:sz="0" w:space="0" w:color="auto"/>
      </w:divBdr>
      <w:divsChild>
        <w:div w:id="243342028">
          <w:marLeft w:val="0"/>
          <w:marRight w:val="0"/>
          <w:marTop w:val="0"/>
          <w:marBottom w:val="0"/>
          <w:divBdr>
            <w:top w:val="none" w:sz="0" w:space="0" w:color="auto"/>
            <w:left w:val="none" w:sz="0" w:space="0" w:color="auto"/>
            <w:bottom w:val="none" w:sz="0" w:space="0" w:color="auto"/>
            <w:right w:val="none" w:sz="0" w:space="0" w:color="auto"/>
          </w:divBdr>
        </w:div>
        <w:div w:id="505284893">
          <w:marLeft w:val="0"/>
          <w:marRight w:val="0"/>
          <w:marTop w:val="0"/>
          <w:marBottom w:val="0"/>
          <w:divBdr>
            <w:top w:val="none" w:sz="0" w:space="0" w:color="auto"/>
            <w:left w:val="none" w:sz="0" w:space="0" w:color="auto"/>
            <w:bottom w:val="none" w:sz="0" w:space="0" w:color="auto"/>
            <w:right w:val="none" w:sz="0" w:space="0" w:color="auto"/>
          </w:divBdr>
        </w:div>
        <w:div w:id="573708055">
          <w:marLeft w:val="0"/>
          <w:marRight w:val="0"/>
          <w:marTop w:val="0"/>
          <w:marBottom w:val="0"/>
          <w:divBdr>
            <w:top w:val="none" w:sz="0" w:space="0" w:color="auto"/>
            <w:left w:val="none" w:sz="0" w:space="0" w:color="auto"/>
            <w:bottom w:val="none" w:sz="0" w:space="0" w:color="auto"/>
            <w:right w:val="none" w:sz="0" w:space="0" w:color="auto"/>
          </w:divBdr>
        </w:div>
      </w:divsChild>
    </w:div>
    <w:div w:id="1453280993">
      <w:bodyDiv w:val="1"/>
      <w:marLeft w:val="0"/>
      <w:marRight w:val="0"/>
      <w:marTop w:val="0"/>
      <w:marBottom w:val="0"/>
      <w:divBdr>
        <w:top w:val="none" w:sz="0" w:space="0" w:color="auto"/>
        <w:left w:val="none" w:sz="0" w:space="0" w:color="auto"/>
        <w:bottom w:val="none" w:sz="0" w:space="0" w:color="auto"/>
        <w:right w:val="none" w:sz="0" w:space="0" w:color="auto"/>
      </w:divBdr>
    </w:div>
    <w:div w:id="1497108554">
      <w:bodyDiv w:val="1"/>
      <w:marLeft w:val="0"/>
      <w:marRight w:val="0"/>
      <w:marTop w:val="0"/>
      <w:marBottom w:val="0"/>
      <w:divBdr>
        <w:top w:val="none" w:sz="0" w:space="0" w:color="auto"/>
        <w:left w:val="none" w:sz="0" w:space="0" w:color="auto"/>
        <w:bottom w:val="none" w:sz="0" w:space="0" w:color="auto"/>
        <w:right w:val="none" w:sz="0" w:space="0" w:color="auto"/>
      </w:divBdr>
    </w:div>
    <w:div w:id="1510408593">
      <w:bodyDiv w:val="1"/>
      <w:marLeft w:val="0"/>
      <w:marRight w:val="0"/>
      <w:marTop w:val="0"/>
      <w:marBottom w:val="0"/>
      <w:divBdr>
        <w:top w:val="none" w:sz="0" w:space="0" w:color="auto"/>
        <w:left w:val="none" w:sz="0" w:space="0" w:color="auto"/>
        <w:bottom w:val="none" w:sz="0" w:space="0" w:color="auto"/>
        <w:right w:val="none" w:sz="0" w:space="0" w:color="auto"/>
      </w:divBdr>
    </w:div>
    <w:div w:id="1510874960">
      <w:bodyDiv w:val="1"/>
      <w:marLeft w:val="0"/>
      <w:marRight w:val="0"/>
      <w:marTop w:val="0"/>
      <w:marBottom w:val="0"/>
      <w:divBdr>
        <w:top w:val="none" w:sz="0" w:space="0" w:color="auto"/>
        <w:left w:val="none" w:sz="0" w:space="0" w:color="auto"/>
        <w:bottom w:val="none" w:sz="0" w:space="0" w:color="auto"/>
        <w:right w:val="none" w:sz="0" w:space="0" w:color="auto"/>
      </w:divBdr>
    </w:div>
    <w:div w:id="1516455295">
      <w:bodyDiv w:val="1"/>
      <w:marLeft w:val="0"/>
      <w:marRight w:val="0"/>
      <w:marTop w:val="0"/>
      <w:marBottom w:val="0"/>
      <w:divBdr>
        <w:top w:val="none" w:sz="0" w:space="0" w:color="auto"/>
        <w:left w:val="none" w:sz="0" w:space="0" w:color="auto"/>
        <w:bottom w:val="none" w:sz="0" w:space="0" w:color="auto"/>
        <w:right w:val="none" w:sz="0" w:space="0" w:color="auto"/>
      </w:divBdr>
    </w:div>
    <w:div w:id="1533033443">
      <w:bodyDiv w:val="1"/>
      <w:marLeft w:val="0"/>
      <w:marRight w:val="0"/>
      <w:marTop w:val="0"/>
      <w:marBottom w:val="0"/>
      <w:divBdr>
        <w:top w:val="none" w:sz="0" w:space="0" w:color="auto"/>
        <w:left w:val="none" w:sz="0" w:space="0" w:color="auto"/>
        <w:bottom w:val="none" w:sz="0" w:space="0" w:color="auto"/>
        <w:right w:val="none" w:sz="0" w:space="0" w:color="auto"/>
      </w:divBdr>
    </w:div>
    <w:div w:id="1536429744">
      <w:bodyDiv w:val="1"/>
      <w:marLeft w:val="0"/>
      <w:marRight w:val="0"/>
      <w:marTop w:val="0"/>
      <w:marBottom w:val="0"/>
      <w:divBdr>
        <w:top w:val="none" w:sz="0" w:space="0" w:color="auto"/>
        <w:left w:val="none" w:sz="0" w:space="0" w:color="auto"/>
        <w:bottom w:val="none" w:sz="0" w:space="0" w:color="auto"/>
        <w:right w:val="none" w:sz="0" w:space="0" w:color="auto"/>
      </w:divBdr>
    </w:div>
    <w:div w:id="1579948655">
      <w:bodyDiv w:val="1"/>
      <w:marLeft w:val="0"/>
      <w:marRight w:val="0"/>
      <w:marTop w:val="0"/>
      <w:marBottom w:val="0"/>
      <w:divBdr>
        <w:top w:val="none" w:sz="0" w:space="0" w:color="auto"/>
        <w:left w:val="none" w:sz="0" w:space="0" w:color="auto"/>
        <w:bottom w:val="none" w:sz="0" w:space="0" w:color="auto"/>
        <w:right w:val="none" w:sz="0" w:space="0" w:color="auto"/>
      </w:divBdr>
    </w:div>
    <w:div w:id="1580360846">
      <w:bodyDiv w:val="1"/>
      <w:marLeft w:val="0"/>
      <w:marRight w:val="0"/>
      <w:marTop w:val="0"/>
      <w:marBottom w:val="0"/>
      <w:divBdr>
        <w:top w:val="none" w:sz="0" w:space="0" w:color="auto"/>
        <w:left w:val="none" w:sz="0" w:space="0" w:color="auto"/>
        <w:bottom w:val="none" w:sz="0" w:space="0" w:color="auto"/>
        <w:right w:val="none" w:sz="0" w:space="0" w:color="auto"/>
      </w:divBdr>
    </w:div>
    <w:div w:id="1643728827">
      <w:bodyDiv w:val="1"/>
      <w:marLeft w:val="0"/>
      <w:marRight w:val="0"/>
      <w:marTop w:val="0"/>
      <w:marBottom w:val="0"/>
      <w:divBdr>
        <w:top w:val="none" w:sz="0" w:space="0" w:color="auto"/>
        <w:left w:val="none" w:sz="0" w:space="0" w:color="auto"/>
        <w:bottom w:val="none" w:sz="0" w:space="0" w:color="auto"/>
        <w:right w:val="none" w:sz="0" w:space="0" w:color="auto"/>
      </w:divBdr>
    </w:div>
    <w:div w:id="1652098758">
      <w:bodyDiv w:val="1"/>
      <w:marLeft w:val="0"/>
      <w:marRight w:val="0"/>
      <w:marTop w:val="0"/>
      <w:marBottom w:val="0"/>
      <w:divBdr>
        <w:top w:val="none" w:sz="0" w:space="0" w:color="auto"/>
        <w:left w:val="none" w:sz="0" w:space="0" w:color="auto"/>
        <w:bottom w:val="none" w:sz="0" w:space="0" w:color="auto"/>
        <w:right w:val="none" w:sz="0" w:space="0" w:color="auto"/>
      </w:divBdr>
    </w:div>
    <w:div w:id="1670252622">
      <w:bodyDiv w:val="1"/>
      <w:marLeft w:val="0"/>
      <w:marRight w:val="0"/>
      <w:marTop w:val="0"/>
      <w:marBottom w:val="0"/>
      <w:divBdr>
        <w:top w:val="none" w:sz="0" w:space="0" w:color="auto"/>
        <w:left w:val="none" w:sz="0" w:space="0" w:color="auto"/>
        <w:bottom w:val="none" w:sz="0" w:space="0" w:color="auto"/>
        <w:right w:val="none" w:sz="0" w:space="0" w:color="auto"/>
      </w:divBdr>
    </w:div>
    <w:div w:id="1678728128">
      <w:bodyDiv w:val="1"/>
      <w:marLeft w:val="0"/>
      <w:marRight w:val="0"/>
      <w:marTop w:val="0"/>
      <w:marBottom w:val="0"/>
      <w:divBdr>
        <w:top w:val="none" w:sz="0" w:space="0" w:color="auto"/>
        <w:left w:val="none" w:sz="0" w:space="0" w:color="auto"/>
        <w:bottom w:val="none" w:sz="0" w:space="0" w:color="auto"/>
        <w:right w:val="none" w:sz="0" w:space="0" w:color="auto"/>
      </w:divBdr>
    </w:div>
    <w:div w:id="1720783502">
      <w:bodyDiv w:val="1"/>
      <w:marLeft w:val="0"/>
      <w:marRight w:val="0"/>
      <w:marTop w:val="0"/>
      <w:marBottom w:val="0"/>
      <w:divBdr>
        <w:top w:val="none" w:sz="0" w:space="0" w:color="auto"/>
        <w:left w:val="none" w:sz="0" w:space="0" w:color="auto"/>
        <w:bottom w:val="none" w:sz="0" w:space="0" w:color="auto"/>
        <w:right w:val="none" w:sz="0" w:space="0" w:color="auto"/>
      </w:divBdr>
    </w:div>
    <w:div w:id="1721512687">
      <w:bodyDiv w:val="1"/>
      <w:marLeft w:val="0"/>
      <w:marRight w:val="0"/>
      <w:marTop w:val="0"/>
      <w:marBottom w:val="0"/>
      <w:divBdr>
        <w:top w:val="none" w:sz="0" w:space="0" w:color="auto"/>
        <w:left w:val="none" w:sz="0" w:space="0" w:color="auto"/>
        <w:bottom w:val="none" w:sz="0" w:space="0" w:color="auto"/>
        <w:right w:val="none" w:sz="0" w:space="0" w:color="auto"/>
      </w:divBdr>
    </w:div>
    <w:div w:id="1771003906">
      <w:bodyDiv w:val="1"/>
      <w:marLeft w:val="0"/>
      <w:marRight w:val="0"/>
      <w:marTop w:val="0"/>
      <w:marBottom w:val="0"/>
      <w:divBdr>
        <w:top w:val="none" w:sz="0" w:space="0" w:color="auto"/>
        <w:left w:val="none" w:sz="0" w:space="0" w:color="auto"/>
        <w:bottom w:val="none" w:sz="0" w:space="0" w:color="auto"/>
        <w:right w:val="none" w:sz="0" w:space="0" w:color="auto"/>
      </w:divBdr>
    </w:div>
    <w:div w:id="1774202396">
      <w:bodyDiv w:val="1"/>
      <w:marLeft w:val="0"/>
      <w:marRight w:val="0"/>
      <w:marTop w:val="0"/>
      <w:marBottom w:val="0"/>
      <w:divBdr>
        <w:top w:val="none" w:sz="0" w:space="0" w:color="auto"/>
        <w:left w:val="none" w:sz="0" w:space="0" w:color="auto"/>
        <w:bottom w:val="none" w:sz="0" w:space="0" w:color="auto"/>
        <w:right w:val="none" w:sz="0" w:space="0" w:color="auto"/>
      </w:divBdr>
    </w:div>
    <w:div w:id="1802311070">
      <w:bodyDiv w:val="1"/>
      <w:marLeft w:val="0"/>
      <w:marRight w:val="0"/>
      <w:marTop w:val="0"/>
      <w:marBottom w:val="0"/>
      <w:divBdr>
        <w:top w:val="none" w:sz="0" w:space="0" w:color="auto"/>
        <w:left w:val="none" w:sz="0" w:space="0" w:color="auto"/>
        <w:bottom w:val="none" w:sz="0" w:space="0" w:color="auto"/>
        <w:right w:val="none" w:sz="0" w:space="0" w:color="auto"/>
      </w:divBdr>
    </w:div>
    <w:div w:id="1827435596">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39344206">
      <w:bodyDiv w:val="1"/>
      <w:marLeft w:val="0"/>
      <w:marRight w:val="0"/>
      <w:marTop w:val="0"/>
      <w:marBottom w:val="0"/>
      <w:divBdr>
        <w:top w:val="none" w:sz="0" w:space="0" w:color="auto"/>
        <w:left w:val="none" w:sz="0" w:space="0" w:color="auto"/>
        <w:bottom w:val="none" w:sz="0" w:space="0" w:color="auto"/>
        <w:right w:val="none" w:sz="0" w:space="0" w:color="auto"/>
      </w:divBdr>
    </w:div>
    <w:div w:id="1861356976">
      <w:bodyDiv w:val="1"/>
      <w:marLeft w:val="0"/>
      <w:marRight w:val="0"/>
      <w:marTop w:val="0"/>
      <w:marBottom w:val="0"/>
      <w:divBdr>
        <w:top w:val="none" w:sz="0" w:space="0" w:color="auto"/>
        <w:left w:val="none" w:sz="0" w:space="0" w:color="auto"/>
        <w:bottom w:val="none" w:sz="0" w:space="0" w:color="auto"/>
        <w:right w:val="none" w:sz="0" w:space="0" w:color="auto"/>
      </w:divBdr>
    </w:div>
    <w:div w:id="1919099161">
      <w:bodyDiv w:val="1"/>
      <w:marLeft w:val="0"/>
      <w:marRight w:val="0"/>
      <w:marTop w:val="0"/>
      <w:marBottom w:val="0"/>
      <w:divBdr>
        <w:top w:val="none" w:sz="0" w:space="0" w:color="auto"/>
        <w:left w:val="none" w:sz="0" w:space="0" w:color="auto"/>
        <w:bottom w:val="none" w:sz="0" w:space="0" w:color="auto"/>
        <w:right w:val="none" w:sz="0" w:space="0" w:color="auto"/>
      </w:divBdr>
    </w:div>
    <w:div w:id="1930114017">
      <w:bodyDiv w:val="1"/>
      <w:marLeft w:val="0"/>
      <w:marRight w:val="0"/>
      <w:marTop w:val="0"/>
      <w:marBottom w:val="0"/>
      <w:divBdr>
        <w:top w:val="none" w:sz="0" w:space="0" w:color="auto"/>
        <w:left w:val="none" w:sz="0" w:space="0" w:color="auto"/>
        <w:bottom w:val="none" w:sz="0" w:space="0" w:color="auto"/>
        <w:right w:val="none" w:sz="0" w:space="0" w:color="auto"/>
      </w:divBdr>
    </w:div>
    <w:div w:id="1959603918">
      <w:bodyDiv w:val="1"/>
      <w:marLeft w:val="0"/>
      <w:marRight w:val="0"/>
      <w:marTop w:val="0"/>
      <w:marBottom w:val="0"/>
      <w:divBdr>
        <w:top w:val="none" w:sz="0" w:space="0" w:color="auto"/>
        <w:left w:val="none" w:sz="0" w:space="0" w:color="auto"/>
        <w:bottom w:val="none" w:sz="0" w:space="0" w:color="auto"/>
        <w:right w:val="none" w:sz="0" w:space="0" w:color="auto"/>
      </w:divBdr>
    </w:div>
    <w:div w:id="2002999916">
      <w:bodyDiv w:val="1"/>
      <w:marLeft w:val="0"/>
      <w:marRight w:val="0"/>
      <w:marTop w:val="0"/>
      <w:marBottom w:val="0"/>
      <w:divBdr>
        <w:top w:val="none" w:sz="0" w:space="0" w:color="auto"/>
        <w:left w:val="none" w:sz="0" w:space="0" w:color="auto"/>
        <w:bottom w:val="none" w:sz="0" w:space="0" w:color="auto"/>
        <w:right w:val="none" w:sz="0" w:space="0" w:color="auto"/>
      </w:divBdr>
    </w:div>
    <w:div w:id="2010597758">
      <w:bodyDiv w:val="1"/>
      <w:marLeft w:val="0"/>
      <w:marRight w:val="0"/>
      <w:marTop w:val="0"/>
      <w:marBottom w:val="0"/>
      <w:divBdr>
        <w:top w:val="none" w:sz="0" w:space="0" w:color="auto"/>
        <w:left w:val="none" w:sz="0" w:space="0" w:color="auto"/>
        <w:bottom w:val="none" w:sz="0" w:space="0" w:color="auto"/>
        <w:right w:val="none" w:sz="0" w:space="0" w:color="auto"/>
      </w:divBdr>
    </w:div>
    <w:div w:id="2010979512">
      <w:bodyDiv w:val="1"/>
      <w:marLeft w:val="0"/>
      <w:marRight w:val="0"/>
      <w:marTop w:val="0"/>
      <w:marBottom w:val="0"/>
      <w:divBdr>
        <w:top w:val="none" w:sz="0" w:space="0" w:color="auto"/>
        <w:left w:val="none" w:sz="0" w:space="0" w:color="auto"/>
        <w:bottom w:val="none" w:sz="0" w:space="0" w:color="auto"/>
        <w:right w:val="none" w:sz="0" w:space="0" w:color="auto"/>
      </w:divBdr>
    </w:div>
    <w:div w:id="2018195540">
      <w:bodyDiv w:val="1"/>
      <w:marLeft w:val="0"/>
      <w:marRight w:val="0"/>
      <w:marTop w:val="0"/>
      <w:marBottom w:val="0"/>
      <w:divBdr>
        <w:top w:val="none" w:sz="0" w:space="0" w:color="auto"/>
        <w:left w:val="none" w:sz="0" w:space="0" w:color="auto"/>
        <w:bottom w:val="none" w:sz="0" w:space="0" w:color="auto"/>
        <w:right w:val="none" w:sz="0" w:space="0" w:color="auto"/>
      </w:divBdr>
    </w:div>
    <w:div w:id="2110737250">
      <w:bodyDiv w:val="1"/>
      <w:marLeft w:val="0"/>
      <w:marRight w:val="0"/>
      <w:marTop w:val="0"/>
      <w:marBottom w:val="0"/>
      <w:divBdr>
        <w:top w:val="none" w:sz="0" w:space="0" w:color="auto"/>
        <w:left w:val="none" w:sz="0" w:space="0" w:color="auto"/>
        <w:bottom w:val="none" w:sz="0" w:space="0" w:color="auto"/>
        <w:right w:val="none" w:sz="0" w:space="0" w:color="auto"/>
      </w:divBdr>
    </w:div>
    <w:div w:id="2115245044">
      <w:bodyDiv w:val="1"/>
      <w:marLeft w:val="0"/>
      <w:marRight w:val="0"/>
      <w:marTop w:val="0"/>
      <w:marBottom w:val="0"/>
      <w:divBdr>
        <w:top w:val="none" w:sz="0" w:space="0" w:color="auto"/>
        <w:left w:val="none" w:sz="0" w:space="0" w:color="auto"/>
        <w:bottom w:val="none" w:sz="0" w:space="0" w:color="auto"/>
        <w:right w:val="none" w:sz="0" w:space="0" w:color="auto"/>
      </w:divBdr>
    </w:div>
    <w:div w:id="213748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9E4891-8B54-475B-93D1-842C8856E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15</Pages>
  <Words>3461</Words>
  <Characters>19038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22455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Reyes</dc:creator>
  <cp:keywords/>
  <dc:description/>
  <cp:lastModifiedBy>Claudio Fabian Reyes Hurtado</cp:lastModifiedBy>
  <cp:revision>9</cp:revision>
  <cp:lastPrinted>2017-09-22T12:45:00Z</cp:lastPrinted>
  <dcterms:created xsi:type="dcterms:W3CDTF">2017-11-15T21:33:00Z</dcterms:created>
  <dcterms:modified xsi:type="dcterms:W3CDTF">2018-12-14T20:33:00Z</dcterms:modified>
</cp:coreProperties>
</file>