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5245"/>
        <w:gridCol w:w="1456"/>
      </w:tblGrid>
      <w:tr w:rsidR="008E20C4" w:rsidRPr="0019177F" w:rsidTr="0097671F">
        <w:trPr>
          <w:trHeight w:val="330"/>
          <w:tblHeader/>
        </w:trPr>
        <w:tc>
          <w:tcPr>
            <w:tcW w:w="2387" w:type="dxa"/>
            <w:vMerge w:val="restart"/>
            <w:shd w:val="clear" w:color="auto" w:fill="8DB3E2" w:themeFill="text2" w:themeFillTint="66"/>
            <w:noWrap/>
          </w:tcPr>
          <w:p w:rsidR="008E20C4" w:rsidRDefault="008E20C4" w:rsidP="008E20C4">
            <w:pPr>
              <w:spacing w:after="0" w:line="240" w:lineRule="auto"/>
              <w:jc w:val="left"/>
              <w:rPr>
                <w:rFonts w:eastAsia="Times New Roman" w:cs="Times New Roman"/>
                <w:b/>
                <w:bCs/>
                <w:color w:val="000000"/>
                <w:sz w:val="18"/>
                <w:szCs w:val="18"/>
                <w:lang w:val="es-ES" w:eastAsia="es-ES"/>
              </w:rPr>
            </w:pPr>
          </w:p>
          <w:p w:rsidR="008E20C4" w:rsidRPr="0019177F" w:rsidRDefault="008E20C4" w:rsidP="008E20C4">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USOS DEL AGUA</w:t>
            </w:r>
          </w:p>
        </w:tc>
        <w:tc>
          <w:tcPr>
            <w:tcW w:w="6701" w:type="dxa"/>
            <w:gridSpan w:val="2"/>
            <w:shd w:val="clear" w:color="auto" w:fill="8DB3E2" w:themeFill="text2" w:themeFillTint="66"/>
            <w:vAlign w:val="center"/>
          </w:tcPr>
          <w:p w:rsidR="008E20C4" w:rsidRDefault="008E20C4" w:rsidP="008E20C4">
            <w:pPr>
              <w:spacing w:after="0"/>
              <w:jc w:val="left"/>
              <w:rPr>
                <w:rFonts w:ascii="Calibri" w:eastAsia="Times New Roman" w:hAnsi="Calibri"/>
                <w:color w:val="000000"/>
                <w:sz w:val="16"/>
                <w:szCs w:val="16"/>
              </w:rPr>
            </w:pPr>
            <w:r>
              <w:rPr>
                <w:rFonts w:ascii="Calibri" w:hAnsi="Calibri"/>
                <w:color w:val="000000"/>
                <w:sz w:val="16"/>
                <w:szCs w:val="16"/>
              </w:rPr>
              <w:t>OBJ 06. "Mejorar la coordinación entre los distintos usos del agua y los usos industriales y energéticos".</w:t>
            </w:r>
          </w:p>
        </w:tc>
      </w:tr>
      <w:tr w:rsidR="008E20C4" w:rsidRPr="0019177F" w:rsidTr="0097671F">
        <w:trPr>
          <w:trHeight w:val="330"/>
          <w:tblHeader/>
        </w:trPr>
        <w:tc>
          <w:tcPr>
            <w:tcW w:w="2387" w:type="dxa"/>
            <w:vMerge/>
            <w:shd w:val="clear" w:color="auto" w:fill="8DB3E2" w:themeFill="text2" w:themeFillTint="66"/>
            <w:noWrap/>
          </w:tcPr>
          <w:p w:rsidR="008E20C4" w:rsidRDefault="008E20C4" w:rsidP="008E20C4">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8E20C4" w:rsidRDefault="008E20C4" w:rsidP="008E20C4">
            <w:pPr>
              <w:rPr>
                <w:rFonts w:ascii="Calibri" w:hAnsi="Calibri"/>
                <w:color w:val="000000"/>
                <w:sz w:val="16"/>
                <w:szCs w:val="16"/>
              </w:rPr>
            </w:pPr>
            <w:r>
              <w:rPr>
                <w:rFonts w:ascii="Calibri" w:hAnsi="Calibri"/>
                <w:color w:val="000000"/>
                <w:sz w:val="16"/>
                <w:szCs w:val="16"/>
              </w:rPr>
              <w:t>L13. Controlar el estado de las descargas de residuos líquidos en cursos y cuerpos de agua</w:t>
            </w:r>
          </w:p>
        </w:tc>
      </w:tr>
      <w:tr w:rsidR="008E20C4" w:rsidRPr="0019177F" w:rsidTr="0097671F">
        <w:trPr>
          <w:trHeight w:val="643"/>
          <w:tblHeader/>
        </w:trPr>
        <w:tc>
          <w:tcPr>
            <w:tcW w:w="7632" w:type="dxa"/>
            <w:gridSpan w:val="2"/>
            <w:shd w:val="clear" w:color="auto" w:fill="F2F2F2" w:themeFill="background1" w:themeFillShade="F2"/>
            <w:noWrap/>
          </w:tcPr>
          <w:p w:rsidR="008E20C4" w:rsidRPr="00B726E2" w:rsidRDefault="008E20C4" w:rsidP="008E20C4">
            <w:pPr>
              <w:spacing w:after="0" w:line="240" w:lineRule="auto"/>
              <w:jc w:val="left"/>
              <w:rPr>
                <w:rFonts w:ascii="Calibri" w:eastAsia="Times New Roman" w:hAnsi="Calibri" w:cs="Times New Roman"/>
                <w:b/>
                <w:color w:val="000000"/>
                <w:sz w:val="22"/>
                <w:szCs w:val="18"/>
                <w:lang w:val="es-ES" w:eastAsia="es-ES"/>
              </w:rPr>
            </w:pPr>
            <w:r w:rsidRPr="008E20C4">
              <w:rPr>
                <w:rFonts w:ascii="Calibri" w:eastAsia="Times New Roman" w:hAnsi="Calibri" w:cs="Times New Roman"/>
                <w:b/>
                <w:color w:val="000000"/>
                <w:sz w:val="22"/>
                <w:szCs w:val="18"/>
                <w:lang w:val="es-ES" w:eastAsia="es-ES"/>
              </w:rPr>
              <w:t>Diseño e Implementación de un Sistema Seguimiento continuo descargas de riles</w:t>
            </w:r>
          </w:p>
        </w:tc>
        <w:tc>
          <w:tcPr>
            <w:tcW w:w="1456" w:type="dxa"/>
            <w:shd w:val="clear" w:color="auto" w:fill="F2F2F2" w:themeFill="background1" w:themeFillShade="F2"/>
          </w:tcPr>
          <w:p w:rsidR="008E20C4" w:rsidRPr="00B726E2" w:rsidRDefault="008E20C4" w:rsidP="008E20C4">
            <w:pPr>
              <w:spacing w:after="0" w:line="240" w:lineRule="auto"/>
              <w:jc w:val="center"/>
              <w:rPr>
                <w:rFonts w:ascii="Calibri" w:eastAsia="Times New Roman" w:hAnsi="Calibri" w:cs="Times New Roman"/>
                <w:b/>
                <w:color w:val="000000"/>
                <w:sz w:val="22"/>
                <w:szCs w:val="18"/>
                <w:lang w:val="es-ES" w:eastAsia="es-ES"/>
              </w:rPr>
            </w:pPr>
            <w:r>
              <w:rPr>
                <w:rFonts w:ascii="Calibri" w:eastAsia="Times New Roman" w:hAnsi="Calibri" w:cs="Times New Roman"/>
                <w:b/>
                <w:color w:val="000000"/>
                <w:sz w:val="52"/>
                <w:szCs w:val="18"/>
                <w:lang w:val="es-ES" w:eastAsia="es-ES"/>
              </w:rPr>
              <w:t>SL-26</w:t>
            </w:r>
          </w:p>
        </w:tc>
      </w:tr>
      <w:tr w:rsidR="008E20C4" w:rsidRPr="00501739" w:rsidTr="0097671F">
        <w:trPr>
          <w:trHeight w:val="128"/>
          <w:tblHeader/>
        </w:trPr>
        <w:tc>
          <w:tcPr>
            <w:tcW w:w="9088" w:type="dxa"/>
            <w:gridSpan w:val="3"/>
            <w:shd w:val="clear" w:color="auto" w:fill="auto"/>
            <w:noWrap/>
          </w:tcPr>
          <w:p w:rsidR="008E20C4" w:rsidRPr="00501739" w:rsidRDefault="008E20C4" w:rsidP="008E20C4">
            <w:pPr>
              <w:spacing w:after="0" w:line="240" w:lineRule="auto"/>
              <w:jc w:val="left"/>
              <w:rPr>
                <w:rFonts w:ascii="Calibri" w:eastAsia="Times New Roman" w:hAnsi="Calibri" w:cs="Times New Roman"/>
                <w:b/>
                <w:color w:val="000000"/>
                <w:sz w:val="4"/>
                <w:szCs w:val="4"/>
                <w:lang w:val="es-ES" w:eastAsia="es-ES"/>
              </w:rPr>
            </w:pPr>
          </w:p>
        </w:tc>
      </w:tr>
      <w:tr w:rsidR="008E20C4" w:rsidRPr="0019177F" w:rsidTr="0097671F">
        <w:trPr>
          <w:trHeight w:val="300"/>
        </w:trPr>
        <w:tc>
          <w:tcPr>
            <w:tcW w:w="9088" w:type="dxa"/>
            <w:gridSpan w:val="3"/>
            <w:shd w:val="clear" w:color="auto" w:fill="F2F2F2" w:themeFill="background1" w:themeFillShade="F2"/>
            <w:noWrap/>
            <w:hideMark/>
          </w:tcPr>
          <w:p w:rsidR="008E20C4" w:rsidRPr="0019177F" w:rsidRDefault="008E20C4" w:rsidP="008E20C4">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Antecedentes</w:t>
            </w:r>
            <w:r>
              <w:rPr>
                <w:rFonts w:eastAsia="Times New Roman" w:cs="Times New Roman"/>
                <w:b/>
                <w:bCs/>
                <w:color w:val="000000"/>
                <w:sz w:val="18"/>
                <w:szCs w:val="18"/>
                <w:lang w:val="es-ES" w:eastAsia="es-ES"/>
              </w:rPr>
              <w:t xml:space="preserve"> Generales de la Sub Línea</w:t>
            </w:r>
          </w:p>
        </w:tc>
      </w:tr>
      <w:tr w:rsidR="008E20C4" w:rsidRPr="001340C7" w:rsidTr="0097671F">
        <w:trPr>
          <w:trHeight w:val="1724"/>
        </w:trPr>
        <w:tc>
          <w:tcPr>
            <w:tcW w:w="9088" w:type="dxa"/>
            <w:gridSpan w:val="3"/>
            <w:shd w:val="clear" w:color="auto" w:fill="auto"/>
            <w:noWrap/>
          </w:tcPr>
          <w:p w:rsidR="008E20C4" w:rsidRPr="00184FB3" w:rsidRDefault="008E20C4" w:rsidP="008E20C4">
            <w:pPr>
              <w:rPr>
                <w:rFonts w:eastAsia="Times New Roman"/>
                <w:sz w:val="18"/>
                <w:lang w:val="es-ES_tradnl" w:eastAsia="es-ES"/>
              </w:rPr>
            </w:pPr>
            <w:r>
              <w:rPr>
                <w:rFonts w:eastAsia="Times New Roman"/>
                <w:sz w:val="18"/>
                <w:lang w:val="es-ES" w:eastAsia="es-ES"/>
              </w:rPr>
              <w:t xml:space="preserve"> </w:t>
            </w:r>
            <w:r w:rsidRPr="00184FB3">
              <w:rPr>
                <w:rFonts w:eastAsia="Times New Roman"/>
                <w:sz w:val="18"/>
                <w:lang w:val="es-ES_tradnl" w:eastAsia="es-ES"/>
              </w:rPr>
              <w:t>La calidad de las aguas no responde al cumplimiento de los parámetros monitoreados por la red da calidad de las aguas. Esto es debido a dos situaciones, falta de monitoreo de parámetros biológicos y control incompleto en la red de canales.</w:t>
            </w:r>
          </w:p>
          <w:p w:rsidR="008E20C4" w:rsidRPr="00184FB3" w:rsidRDefault="008E20C4" w:rsidP="008E20C4">
            <w:pPr>
              <w:rPr>
                <w:rFonts w:eastAsia="Times New Roman"/>
                <w:sz w:val="18"/>
                <w:lang w:val="es-ES_tradnl" w:eastAsia="es-ES"/>
              </w:rPr>
            </w:pPr>
            <w:r w:rsidRPr="00184FB3">
              <w:rPr>
                <w:rFonts w:eastAsia="Times New Roman"/>
                <w:sz w:val="18"/>
                <w:lang w:val="es-ES_tradnl" w:eastAsia="es-ES"/>
              </w:rPr>
              <w:t>En complemento a esta situación, se generan contaminación en cuerpos de agua debido a las descargas de asentamiento urbanos no controlados, y canales pasantes por zonas urbanas.</w:t>
            </w:r>
          </w:p>
          <w:p w:rsidR="008E20C4" w:rsidRPr="001340C7" w:rsidRDefault="008E20C4" w:rsidP="008E20C4">
            <w:pPr>
              <w:rPr>
                <w:rFonts w:eastAsia="Times New Roman"/>
                <w:sz w:val="18"/>
                <w:lang w:val="es-ES" w:eastAsia="es-ES"/>
              </w:rPr>
            </w:pPr>
            <w:r w:rsidRPr="00184FB3">
              <w:rPr>
                <w:rFonts w:eastAsia="Times New Roman"/>
                <w:sz w:val="18"/>
                <w:lang w:val="es-ES_tradnl" w:eastAsia="es-ES"/>
              </w:rPr>
              <w:t>Finalmente en la brecha se enmarca la falta de calidad ambiental necesaria para concienciar a la sociedad, y reducir la contaminación ambiental.</w:t>
            </w:r>
          </w:p>
        </w:tc>
      </w:tr>
      <w:tr w:rsidR="008E20C4" w:rsidRPr="0019177F" w:rsidTr="0097671F">
        <w:trPr>
          <w:trHeight w:val="300"/>
        </w:trPr>
        <w:tc>
          <w:tcPr>
            <w:tcW w:w="9088" w:type="dxa"/>
            <w:gridSpan w:val="3"/>
            <w:shd w:val="clear" w:color="auto" w:fill="F2F2F2" w:themeFill="background1" w:themeFillShade="F2"/>
            <w:noWrap/>
            <w:hideMark/>
          </w:tcPr>
          <w:p w:rsidR="008E20C4" w:rsidRPr="0019177F" w:rsidRDefault="008E20C4" w:rsidP="008E20C4">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Objetivo General de las Iniciativas Propuestas</w:t>
            </w:r>
          </w:p>
        </w:tc>
      </w:tr>
      <w:tr w:rsidR="008E20C4" w:rsidRPr="001340C7" w:rsidTr="0097671F">
        <w:trPr>
          <w:trHeight w:val="674"/>
        </w:trPr>
        <w:tc>
          <w:tcPr>
            <w:tcW w:w="9088" w:type="dxa"/>
            <w:gridSpan w:val="3"/>
            <w:shd w:val="clear" w:color="auto" w:fill="auto"/>
            <w:noWrap/>
          </w:tcPr>
          <w:p w:rsidR="008E20C4" w:rsidRPr="000E0791" w:rsidRDefault="008E20C4" w:rsidP="008E20C4">
            <w:pPr>
              <w:rPr>
                <w:rFonts w:eastAsia="Times New Roman"/>
                <w:sz w:val="18"/>
                <w:lang w:eastAsia="es-ES"/>
              </w:rPr>
            </w:pPr>
            <w:r>
              <w:rPr>
                <w:rFonts w:eastAsia="Times New Roman"/>
                <w:sz w:val="18"/>
                <w:lang w:eastAsia="es-ES"/>
              </w:rPr>
              <w:t>Control de descargas contando con una herramienta que permita la posibilidad de disponer datos en espacios cortos de tiempo.</w:t>
            </w:r>
          </w:p>
        </w:tc>
      </w:tr>
      <w:tr w:rsidR="008E20C4" w:rsidRPr="0019177F" w:rsidTr="0097671F">
        <w:trPr>
          <w:trHeight w:val="300"/>
        </w:trPr>
        <w:tc>
          <w:tcPr>
            <w:tcW w:w="9088" w:type="dxa"/>
            <w:gridSpan w:val="3"/>
            <w:shd w:val="clear" w:color="auto" w:fill="F2F2F2" w:themeFill="background1" w:themeFillShade="F2"/>
            <w:noWrap/>
            <w:hideMark/>
          </w:tcPr>
          <w:p w:rsidR="008E20C4" w:rsidRPr="0019177F" w:rsidRDefault="008E20C4" w:rsidP="008E20C4">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Descripción General de las Iniciativas Propuestas</w:t>
            </w:r>
          </w:p>
        </w:tc>
      </w:tr>
      <w:tr w:rsidR="008E20C4" w:rsidRPr="001340C7" w:rsidTr="0097671F">
        <w:trPr>
          <w:trHeight w:val="1724"/>
        </w:trPr>
        <w:tc>
          <w:tcPr>
            <w:tcW w:w="9088" w:type="dxa"/>
            <w:gridSpan w:val="3"/>
            <w:shd w:val="clear" w:color="auto" w:fill="auto"/>
            <w:noWrap/>
          </w:tcPr>
          <w:p w:rsidR="008E20C4" w:rsidRDefault="008E20C4" w:rsidP="008E20C4">
            <w:pPr>
              <w:rPr>
                <w:rFonts w:eastAsia="Times New Roman"/>
                <w:sz w:val="18"/>
                <w:lang w:val="es-ES_tradnl" w:eastAsia="es-ES"/>
              </w:rPr>
            </w:pPr>
            <w:r>
              <w:rPr>
                <w:rFonts w:eastAsia="Times New Roman"/>
                <w:sz w:val="18"/>
                <w:lang w:val="es-ES" w:eastAsia="es-ES"/>
              </w:rPr>
              <w:t xml:space="preserve"> </w:t>
            </w:r>
            <w:r>
              <w:rPr>
                <w:rFonts w:eastAsia="Times New Roman"/>
                <w:sz w:val="18"/>
                <w:lang w:val="es-ES_tradnl" w:eastAsia="es-ES"/>
              </w:rPr>
              <w:t xml:space="preserve">Se propone implementar un sistema de seguimiento de descargas de residuos líquidos autorizados por la SISS en línea, que informe en tiempo real de los caudales descargados, parámetros básicos de la descarga  (pH, conductividad eléctrica, sólidos disueltos, oxígeno disuelto),  además del total de los parámetros monitoreados en el último autocontrol, y cualquier contingencia que ocurra. Así mismo, se deben detallar las medidas a adoptar en caso de una descarga de residuos que se escape de lo autorizado. </w:t>
            </w:r>
          </w:p>
          <w:p w:rsidR="008E20C4" w:rsidRPr="00A23D69" w:rsidRDefault="008E20C4" w:rsidP="008E20C4">
            <w:pPr>
              <w:rPr>
                <w:rFonts w:eastAsia="Times New Roman"/>
                <w:sz w:val="18"/>
                <w:lang w:val="es-ES" w:eastAsia="es-ES"/>
              </w:rPr>
            </w:pPr>
            <w:r>
              <w:rPr>
                <w:rFonts w:eastAsia="Times New Roman"/>
                <w:sz w:val="18"/>
                <w:lang w:val="es-ES_tradnl" w:eastAsia="es-ES"/>
              </w:rPr>
              <w:t xml:space="preserve">Este sistema debiera ser una plataforma centralizada, administrada por la SISS, y la implementación de los sensores y envío de información en línea corresponderá a los titulares de la descarga.  </w:t>
            </w:r>
          </w:p>
        </w:tc>
      </w:tr>
    </w:tbl>
    <w:p w:rsidR="008E20C4" w:rsidRDefault="008E20C4"/>
    <w:p w:rsidR="00870927" w:rsidRDefault="00870927">
      <w:pPr>
        <w:spacing w:after="200"/>
        <w:jc w:val="left"/>
        <w:rPr>
          <w:highlight w:val="cyan"/>
          <w:lang w:val="es-ES_tradnl" w:eastAsia="es-ES"/>
        </w:rPr>
      </w:pPr>
      <w:r>
        <w:rPr>
          <w:highlight w:val="cyan"/>
          <w:lang w:val="es-ES_tradnl" w:eastAsia="es-ES"/>
        </w:rPr>
        <w:br w:type="page"/>
      </w:r>
    </w:p>
    <w:tbl>
      <w:tblPr>
        <w:tblW w:w="909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8"/>
        <w:gridCol w:w="70"/>
        <w:gridCol w:w="2131"/>
        <w:gridCol w:w="103"/>
        <w:gridCol w:w="1692"/>
        <w:gridCol w:w="475"/>
        <w:gridCol w:w="2304"/>
      </w:tblGrid>
      <w:tr w:rsidR="008E20C4" w:rsidRPr="0019177F" w:rsidTr="0097671F">
        <w:trPr>
          <w:trHeight w:val="300"/>
          <w:tblHeader/>
        </w:trPr>
        <w:tc>
          <w:tcPr>
            <w:tcW w:w="6789" w:type="dxa"/>
            <w:gridSpan w:val="6"/>
            <w:shd w:val="clear" w:color="auto" w:fill="D9D9D9" w:themeFill="background1" w:themeFillShade="D9"/>
            <w:noWrap/>
          </w:tcPr>
          <w:p w:rsidR="008E20C4" w:rsidRPr="00384FF3" w:rsidRDefault="00BC0329" w:rsidP="00483E21">
            <w:pPr>
              <w:spacing w:after="0" w:line="240" w:lineRule="auto"/>
              <w:jc w:val="left"/>
              <w:rPr>
                <w:rFonts w:eastAsia="Times New Roman" w:cs="Times New Roman"/>
                <w:b/>
                <w:bCs/>
                <w:color w:val="000000"/>
                <w:sz w:val="18"/>
                <w:szCs w:val="18"/>
                <w:lang w:val="es-ES" w:eastAsia="es-ES"/>
              </w:rPr>
            </w:pPr>
            <w:r w:rsidRPr="008E20C4">
              <w:rPr>
                <w:rFonts w:ascii="Calibri" w:eastAsia="Times New Roman" w:hAnsi="Calibri" w:cs="Times New Roman"/>
                <w:b/>
                <w:color w:val="000000"/>
                <w:sz w:val="22"/>
                <w:szCs w:val="18"/>
                <w:lang w:val="es-ES" w:eastAsia="es-ES"/>
              </w:rPr>
              <w:lastRenderedPageBreak/>
              <w:t>Diseño e Implementación de un Sistema Seguimiento continuo descargas de riles</w:t>
            </w:r>
          </w:p>
        </w:tc>
        <w:tc>
          <w:tcPr>
            <w:tcW w:w="2304" w:type="dxa"/>
            <w:shd w:val="clear" w:color="auto" w:fill="D9D9D9" w:themeFill="background1" w:themeFillShade="D9"/>
          </w:tcPr>
          <w:p w:rsidR="008E20C4" w:rsidRPr="00384FF3" w:rsidRDefault="008E20C4" w:rsidP="00483E21">
            <w:pPr>
              <w:spacing w:after="0" w:line="240" w:lineRule="auto"/>
              <w:jc w:val="right"/>
              <w:rPr>
                <w:rFonts w:eastAsia="Times New Roman" w:cs="Times New Roman"/>
                <w:b/>
                <w:bCs/>
                <w:color w:val="000000"/>
                <w:sz w:val="18"/>
                <w:szCs w:val="18"/>
                <w:lang w:val="es-ES" w:eastAsia="es-ES"/>
              </w:rPr>
            </w:pPr>
            <w:r>
              <w:rPr>
                <w:rFonts w:eastAsia="Times New Roman" w:cs="Times New Roman"/>
                <w:b/>
                <w:bCs/>
                <w:color w:val="000000"/>
                <w:sz w:val="36"/>
                <w:szCs w:val="18"/>
                <w:lang w:val="es-ES" w:eastAsia="es-ES"/>
              </w:rPr>
              <w:t>IN41</w:t>
            </w:r>
          </w:p>
        </w:tc>
      </w:tr>
      <w:tr w:rsidR="008E20C4" w:rsidRPr="0019177F" w:rsidTr="0097671F">
        <w:trPr>
          <w:trHeight w:val="300"/>
        </w:trPr>
        <w:tc>
          <w:tcPr>
            <w:tcW w:w="2388" w:type="dxa"/>
            <w:gridSpan w:val="2"/>
            <w:shd w:val="clear" w:color="auto" w:fill="auto"/>
            <w:noWrap/>
            <w:hideMark/>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 xml:space="preserve">Tipo de iniciativa </w:t>
            </w:r>
          </w:p>
        </w:tc>
        <w:tc>
          <w:tcPr>
            <w:tcW w:w="2234" w:type="dxa"/>
            <w:gridSpan w:val="2"/>
            <w:shd w:val="clear" w:color="auto" w:fill="auto"/>
          </w:tcPr>
          <w:p w:rsidR="008E20C4" w:rsidRPr="00AF5B97"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No Estructural</w:t>
            </w:r>
          </w:p>
        </w:tc>
        <w:tc>
          <w:tcPr>
            <w:tcW w:w="2167" w:type="dxa"/>
            <w:gridSpan w:val="2"/>
            <w:shd w:val="clear" w:color="auto" w:fill="auto"/>
          </w:tcPr>
          <w:p w:rsidR="008E20C4" w:rsidRPr="00AF5B97"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
                <w:bCs/>
                <w:color w:val="000000"/>
                <w:sz w:val="18"/>
                <w:szCs w:val="18"/>
                <w:lang w:val="es-ES" w:eastAsia="es-ES"/>
              </w:rPr>
              <w:t>Tipología de Inversión</w:t>
            </w:r>
          </w:p>
        </w:tc>
        <w:tc>
          <w:tcPr>
            <w:tcW w:w="2304" w:type="dxa"/>
            <w:shd w:val="clear" w:color="auto" w:fill="auto"/>
          </w:tcPr>
          <w:p w:rsidR="008E20C4" w:rsidRPr="00AF5B97"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Programa</w:t>
            </w:r>
          </w:p>
        </w:tc>
      </w:tr>
      <w:tr w:rsidR="008E20C4" w:rsidRPr="0019177F" w:rsidTr="0097671F">
        <w:trPr>
          <w:trHeight w:val="300"/>
        </w:trPr>
        <w:tc>
          <w:tcPr>
            <w:tcW w:w="2388" w:type="dxa"/>
            <w:gridSpan w:val="2"/>
            <w:shd w:val="clear" w:color="auto" w:fill="auto"/>
            <w:noWrap/>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Cartera Sectorial</w:t>
            </w:r>
          </w:p>
        </w:tc>
        <w:tc>
          <w:tcPr>
            <w:tcW w:w="2234" w:type="dxa"/>
            <w:gridSpan w:val="2"/>
            <w:shd w:val="clear" w:color="auto" w:fill="auto"/>
          </w:tcPr>
          <w:p w:rsidR="008E20C4" w:rsidRPr="00AF5B97" w:rsidRDefault="008E20C4" w:rsidP="00483E21">
            <w:pPr>
              <w:spacing w:after="0" w:line="240" w:lineRule="auto"/>
              <w:jc w:val="left"/>
              <w:rPr>
                <w:rFonts w:eastAsia="Times New Roman" w:cs="Times New Roman"/>
                <w:bCs/>
                <w:color w:val="000000"/>
                <w:sz w:val="18"/>
                <w:szCs w:val="18"/>
                <w:lang w:val="es-ES" w:eastAsia="es-ES"/>
              </w:rPr>
            </w:pPr>
            <w:r w:rsidRPr="008E20C4">
              <w:rPr>
                <w:rFonts w:eastAsia="Times New Roman" w:cs="Times New Roman"/>
                <w:bCs/>
                <w:color w:val="000000"/>
                <w:sz w:val="18"/>
                <w:szCs w:val="18"/>
                <w:lang w:val="es-ES" w:eastAsia="es-ES"/>
              </w:rPr>
              <w:t>Recursos Naturales y Medio Ambiente</w:t>
            </w:r>
          </w:p>
        </w:tc>
        <w:tc>
          <w:tcPr>
            <w:tcW w:w="2167" w:type="dxa"/>
            <w:gridSpan w:val="2"/>
            <w:shd w:val="clear" w:color="auto" w:fill="auto"/>
          </w:tcPr>
          <w:p w:rsidR="008E20C4" w:rsidRPr="000E714F" w:rsidRDefault="008E20C4" w:rsidP="00483E21">
            <w:pPr>
              <w:spacing w:after="0" w:line="240" w:lineRule="auto"/>
              <w:jc w:val="left"/>
              <w:rPr>
                <w:rFonts w:eastAsia="Times New Roman" w:cs="Times New Roman"/>
                <w:b/>
                <w:bCs/>
                <w:color w:val="000000"/>
                <w:sz w:val="18"/>
                <w:szCs w:val="18"/>
                <w:lang w:val="es-ES" w:eastAsia="es-ES"/>
              </w:rPr>
            </w:pPr>
            <w:r w:rsidRPr="000E714F">
              <w:rPr>
                <w:rFonts w:eastAsia="Times New Roman" w:cs="Times New Roman"/>
                <w:b/>
                <w:bCs/>
                <w:color w:val="000000"/>
                <w:sz w:val="18"/>
                <w:szCs w:val="18"/>
                <w:lang w:val="es-ES" w:eastAsia="es-ES"/>
              </w:rPr>
              <w:t xml:space="preserve">Entidad Responsable </w:t>
            </w:r>
          </w:p>
        </w:tc>
        <w:tc>
          <w:tcPr>
            <w:tcW w:w="2304" w:type="dxa"/>
            <w:shd w:val="clear" w:color="auto" w:fill="auto"/>
          </w:tcPr>
          <w:p w:rsidR="008E20C4" w:rsidRPr="00AF5B97"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SISS</w:t>
            </w:r>
          </w:p>
        </w:tc>
      </w:tr>
      <w:tr w:rsidR="008E20C4" w:rsidRPr="0019177F" w:rsidTr="0097671F">
        <w:trPr>
          <w:trHeight w:val="300"/>
        </w:trPr>
        <w:tc>
          <w:tcPr>
            <w:tcW w:w="2388" w:type="dxa"/>
            <w:gridSpan w:val="2"/>
            <w:shd w:val="clear" w:color="auto" w:fill="auto"/>
            <w:noWrap/>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Situación</w:t>
            </w:r>
          </w:p>
        </w:tc>
        <w:tc>
          <w:tcPr>
            <w:tcW w:w="2234" w:type="dxa"/>
            <w:gridSpan w:val="2"/>
            <w:shd w:val="clear" w:color="auto" w:fill="auto"/>
          </w:tcPr>
          <w:p w:rsidR="008E20C4"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Idea</w:t>
            </w:r>
          </w:p>
        </w:tc>
        <w:tc>
          <w:tcPr>
            <w:tcW w:w="2167" w:type="dxa"/>
            <w:gridSpan w:val="2"/>
            <w:shd w:val="clear" w:color="auto" w:fill="auto"/>
          </w:tcPr>
          <w:p w:rsidR="008E20C4" w:rsidRPr="000E714F" w:rsidRDefault="008E20C4" w:rsidP="00483E21">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Fuente de Financiamiento</w:t>
            </w:r>
          </w:p>
        </w:tc>
        <w:tc>
          <w:tcPr>
            <w:tcW w:w="2304" w:type="dxa"/>
            <w:shd w:val="clear" w:color="auto" w:fill="auto"/>
          </w:tcPr>
          <w:p w:rsidR="008E20C4"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Sectorial </w:t>
            </w:r>
            <w:r w:rsidR="00BC0329">
              <w:rPr>
                <w:rFonts w:eastAsia="Times New Roman" w:cs="Times New Roman"/>
                <w:bCs/>
                <w:color w:val="000000"/>
                <w:sz w:val="18"/>
                <w:szCs w:val="18"/>
                <w:lang w:val="es-ES" w:eastAsia="es-ES"/>
              </w:rPr>
              <w:t>MOP</w:t>
            </w:r>
          </w:p>
        </w:tc>
      </w:tr>
      <w:tr w:rsidR="008E20C4" w:rsidRPr="0019177F" w:rsidTr="0097671F">
        <w:trPr>
          <w:trHeight w:val="177"/>
        </w:trPr>
        <w:tc>
          <w:tcPr>
            <w:tcW w:w="2388" w:type="dxa"/>
            <w:gridSpan w:val="2"/>
            <w:shd w:val="clear" w:color="auto" w:fill="auto"/>
            <w:noWrap/>
            <w:hideMark/>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Objetivo Iniciativa</w:t>
            </w:r>
          </w:p>
        </w:tc>
        <w:tc>
          <w:tcPr>
            <w:tcW w:w="6705" w:type="dxa"/>
            <w:gridSpan w:val="5"/>
            <w:shd w:val="clear" w:color="auto" w:fill="auto"/>
            <w:noWrap/>
            <w:hideMark/>
          </w:tcPr>
          <w:p w:rsidR="008E20C4" w:rsidRPr="00AF5B97" w:rsidRDefault="00BC0329" w:rsidP="00483E21">
            <w:pPr>
              <w:spacing w:after="0" w:line="240" w:lineRule="auto"/>
              <w:jc w:val="left"/>
              <w:rPr>
                <w:rFonts w:eastAsia="Times New Roman" w:cs="Times New Roman"/>
                <w:bCs/>
                <w:color w:val="000000"/>
                <w:sz w:val="18"/>
                <w:szCs w:val="18"/>
                <w:lang w:val="es-ES" w:eastAsia="es-ES"/>
              </w:rPr>
            </w:pPr>
            <w:r w:rsidRPr="00BC0329">
              <w:rPr>
                <w:rFonts w:eastAsia="Times New Roman" w:cs="Times New Roman"/>
                <w:bCs/>
                <w:color w:val="000000"/>
                <w:sz w:val="18"/>
                <w:szCs w:val="18"/>
                <w:lang w:val="es-ES" w:eastAsia="es-ES"/>
              </w:rPr>
              <w:t>Control de descargas contando con una herramienta que permita la posibilidad de disponer datos en espacios cortos de tiempo.</w:t>
            </w:r>
          </w:p>
        </w:tc>
      </w:tr>
      <w:tr w:rsidR="008E20C4" w:rsidRPr="0019177F" w:rsidTr="0097671F">
        <w:trPr>
          <w:trHeight w:val="300"/>
        </w:trPr>
        <w:tc>
          <w:tcPr>
            <w:tcW w:w="2388" w:type="dxa"/>
            <w:gridSpan w:val="2"/>
            <w:shd w:val="clear" w:color="auto" w:fill="auto"/>
            <w:noWrap/>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 xml:space="preserve">Beneficiarios </w:t>
            </w:r>
          </w:p>
        </w:tc>
        <w:tc>
          <w:tcPr>
            <w:tcW w:w="6705" w:type="dxa"/>
            <w:gridSpan w:val="5"/>
            <w:shd w:val="clear" w:color="auto" w:fill="auto"/>
            <w:noWrap/>
          </w:tcPr>
          <w:p w:rsidR="008E20C4" w:rsidRDefault="00870927"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Todos los usuarios de la región </w:t>
            </w:r>
          </w:p>
        </w:tc>
      </w:tr>
      <w:tr w:rsidR="008E20C4" w:rsidRPr="0019177F" w:rsidTr="0097671F">
        <w:trPr>
          <w:trHeight w:val="300"/>
        </w:trPr>
        <w:tc>
          <w:tcPr>
            <w:tcW w:w="2388" w:type="dxa"/>
            <w:gridSpan w:val="2"/>
            <w:shd w:val="clear" w:color="auto" w:fill="auto"/>
            <w:noWrap/>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Ámbito territorial</w:t>
            </w:r>
          </w:p>
        </w:tc>
        <w:tc>
          <w:tcPr>
            <w:tcW w:w="6705" w:type="dxa"/>
            <w:gridSpan w:val="5"/>
            <w:shd w:val="clear" w:color="auto" w:fill="auto"/>
            <w:noWrap/>
          </w:tcPr>
          <w:p w:rsidR="008E20C4" w:rsidRDefault="00BC0329"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Regional</w:t>
            </w:r>
          </w:p>
        </w:tc>
      </w:tr>
      <w:tr w:rsidR="008E20C4" w:rsidRPr="0019177F" w:rsidTr="0097671F">
        <w:trPr>
          <w:trHeight w:val="300"/>
        </w:trPr>
        <w:tc>
          <w:tcPr>
            <w:tcW w:w="2388" w:type="dxa"/>
            <w:gridSpan w:val="2"/>
            <w:shd w:val="clear" w:color="auto" w:fill="auto"/>
            <w:noWrap/>
          </w:tcPr>
          <w:p w:rsidR="008E20C4" w:rsidRDefault="008E20C4" w:rsidP="00483E21">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Período Ejecución</w:t>
            </w:r>
          </w:p>
        </w:tc>
        <w:tc>
          <w:tcPr>
            <w:tcW w:w="6705" w:type="dxa"/>
            <w:gridSpan w:val="5"/>
            <w:shd w:val="clear" w:color="auto" w:fill="auto"/>
            <w:noWrap/>
          </w:tcPr>
          <w:p w:rsidR="008E20C4" w:rsidRPr="00B31AD5" w:rsidRDefault="00870927" w:rsidP="00483E2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8E20C4" w:rsidRPr="0019177F" w:rsidTr="0097671F">
        <w:trPr>
          <w:trHeight w:val="300"/>
        </w:trPr>
        <w:tc>
          <w:tcPr>
            <w:tcW w:w="2388" w:type="dxa"/>
            <w:gridSpan w:val="2"/>
            <w:shd w:val="clear" w:color="auto" w:fill="auto"/>
            <w:noWrap/>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Monto Total de Inversión</w:t>
            </w:r>
            <w:r>
              <w:rPr>
                <w:rFonts w:eastAsia="Times New Roman" w:cs="Times New Roman"/>
                <w:b/>
                <w:bCs/>
                <w:color w:val="000000"/>
                <w:sz w:val="18"/>
                <w:szCs w:val="18"/>
                <w:lang w:val="es-ES" w:eastAsia="es-ES"/>
              </w:rPr>
              <w:t xml:space="preserve"> </w:t>
            </w:r>
            <w:r w:rsidRPr="00B726E2">
              <w:rPr>
                <w:rFonts w:eastAsia="Times New Roman" w:cs="Times New Roman"/>
                <w:bCs/>
                <w:color w:val="000000"/>
                <w:sz w:val="14"/>
                <w:szCs w:val="18"/>
                <w:lang w:val="es-ES" w:eastAsia="es-ES"/>
              </w:rPr>
              <w:t>Mil</w:t>
            </w:r>
            <w:r>
              <w:rPr>
                <w:rFonts w:eastAsia="Times New Roman" w:cs="Times New Roman"/>
                <w:bCs/>
                <w:color w:val="000000"/>
                <w:sz w:val="14"/>
                <w:szCs w:val="18"/>
                <w:lang w:val="es-ES" w:eastAsia="es-ES"/>
              </w:rPr>
              <w:t>lon</w:t>
            </w:r>
            <w:r w:rsidRPr="00B726E2">
              <w:rPr>
                <w:rFonts w:eastAsia="Times New Roman" w:cs="Times New Roman"/>
                <w:bCs/>
                <w:color w:val="000000"/>
                <w:sz w:val="14"/>
                <w:szCs w:val="18"/>
                <w:lang w:val="es-ES" w:eastAsia="es-ES"/>
              </w:rPr>
              <w:t>es de $</w:t>
            </w:r>
          </w:p>
        </w:tc>
        <w:tc>
          <w:tcPr>
            <w:tcW w:w="6705" w:type="dxa"/>
            <w:gridSpan w:val="5"/>
            <w:shd w:val="clear" w:color="auto" w:fill="auto"/>
            <w:noWrap/>
          </w:tcPr>
          <w:p w:rsidR="008E20C4" w:rsidRPr="00870927" w:rsidRDefault="008E20C4" w:rsidP="00483E21">
            <w:pPr>
              <w:spacing w:after="0" w:line="240" w:lineRule="auto"/>
              <w:jc w:val="left"/>
              <w:rPr>
                <w:rFonts w:eastAsia="Times New Roman" w:cs="Times New Roman"/>
                <w:bCs/>
                <w:color w:val="000000"/>
                <w:sz w:val="18"/>
                <w:szCs w:val="18"/>
                <w:lang w:val="es-ES" w:eastAsia="es-ES"/>
              </w:rPr>
            </w:pPr>
            <w:r w:rsidRPr="00870927">
              <w:rPr>
                <w:rFonts w:eastAsia="Times New Roman" w:cs="Times New Roman"/>
                <w:color w:val="000000"/>
                <w:sz w:val="18"/>
                <w:szCs w:val="18"/>
                <w:lang w:val="es-ES" w:eastAsia="es-ES"/>
              </w:rPr>
              <w:t xml:space="preserve">$ </w:t>
            </w:r>
            <w:r w:rsidR="00BC0329" w:rsidRPr="00870927">
              <w:rPr>
                <w:rFonts w:eastAsia="Times New Roman" w:cs="Times New Roman"/>
                <w:color w:val="000000"/>
                <w:sz w:val="18"/>
                <w:szCs w:val="18"/>
                <w:lang w:val="es-ES" w:eastAsia="es-ES"/>
              </w:rPr>
              <w:t>500</w:t>
            </w:r>
            <w:r w:rsidR="00FB32B3">
              <w:rPr>
                <w:rFonts w:eastAsia="Times New Roman" w:cs="Times New Roman"/>
                <w:color w:val="000000"/>
                <w:sz w:val="18"/>
                <w:szCs w:val="18"/>
                <w:lang w:val="es-ES" w:eastAsia="es-ES"/>
              </w:rPr>
              <w:t>.000.000.- (quinientos</w:t>
            </w:r>
            <w:r w:rsidR="00870927" w:rsidRPr="00870927">
              <w:rPr>
                <w:rFonts w:eastAsia="Times New Roman" w:cs="Times New Roman"/>
                <w:color w:val="000000"/>
                <w:sz w:val="18"/>
                <w:szCs w:val="18"/>
                <w:lang w:val="es-ES" w:eastAsia="es-ES"/>
              </w:rPr>
              <w:t xml:space="preserve"> millones de pesos</w:t>
            </w:r>
            <w:r w:rsidR="00FB32B3">
              <w:rPr>
                <w:rFonts w:eastAsia="Times New Roman" w:cs="Times New Roman"/>
                <w:color w:val="000000"/>
                <w:sz w:val="18"/>
                <w:szCs w:val="18"/>
                <w:lang w:val="es-ES" w:eastAsia="es-ES"/>
              </w:rPr>
              <w:t xml:space="preserve">) </w:t>
            </w:r>
            <w:bookmarkStart w:id="0" w:name="_GoBack"/>
            <w:bookmarkEnd w:id="0"/>
          </w:p>
        </w:tc>
      </w:tr>
      <w:tr w:rsidR="008E20C4" w:rsidRPr="0019177F" w:rsidTr="0097671F">
        <w:trPr>
          <w:trHeight w:val="300"/>
        </w:trPr>
        <w:tc>
          <w:tcPr>
            <w:tcW w:w="9093" w:type="dxa"/>
            <w:gridSpan w:val="7"/>
            <w:shd w:val="clear" w:color="auto" w:fill="auto"/>
            <w:noWrap/>
            <w:vAlign w:val="center"/>
            <w:hideMark/>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Descripción</w:t>
            </w:r>
          </w:p>
        </w:tc>
      </w:tr>
      <w:tr w:rsidR="008E20C4" w:rsidRPr="005859A2" w:rsidTr="0097671F">
        <w:trPr>
          <w:trHeight w:val="586"/>
        </w:trPr>
        <w:tc>
          <w:tcPr>
            <w:tcW w:w="9093" w:type="dxa"/>
            <w:gridSpan w:val="7"/>
            <w:shd w:val="clear" w:color="auto" w:fill="auto"/>
            <w:vAlign w:val="center"/>
          </w:tcPr>
          <w:p w:rsidR="00BC0329" w:rsidRDefault="00BC0329" w:rsidP="00BC0329">
            <w:pPr>
              <w:rPr>
                <w:rFonts w:eastAsia="Times New Roman"/>
                <w:sz w:val="18"/>
                <w:lang w:val="es-ES_tradnl" w:eastAsia="es-ES"/>
              </w:rPr>
            </w:pPr>
            <w:r>
              <w:rPr>
                <w:rFonts w:eastAsia="Times New Roman"/>
                <w:sz w:val="18"/>
                <w:lang w:val="es-ES_tradnl" w:eastAsia="es-ES"/>
              </w:rPr>
              <w:t>Se propone implementar un sistema de seguimiento de descargas de residuos líquidos autorizados por la SISS en línea, que informe en tiempo real de los caudales descargados, parámetros básicos de la descarga  (pH, conductividad eléctrica, sólidos disueltos, oxígeno disuelto),  además del total de los parámetros monitoreados en el último autocontrol, y cualquier contingencia que ocurra. Así mismo, se deben detallar las medidas a adoptar en caso de una descarga de residuos que se escape de lo autorizado.</w:t>
            </w:r>
          </w:p>
          <w:p w:rsidR="008E20C4" w:rsidRDefault="00BC0329" w:rsidP="00BC0329">
            <w:pPr>
              <w:spacing w:after="0" w:line="240" w:lineRule="auto"/>
              <w:rPr>
                <w:rFonts w:eastAsia="Times New Roman"/>
                <w:sz w:val="18"/>
                <w:lang w:val="es-ES_tradnl" w:eastAsia="es-ES"/>
              </w:rPr>
            </w:pPr>
            <w:r>
              <w:rPr>
                <w:rFonts w:eastAsia="Times New Roman"/>
                <w:sz w:val="18"/>
                <w:lang w:val="es-ES_tradnl" w:eastAsia="es-ES"/>
              </w:rPr>
              <w:t xml:space="preserve">Este sistema debiera ser una plataforma centralizada, administrada por la SISS, y la implementación de los sensores y envío de información en línea corresponderá a los titulares de la descarga.  </w:t>
            </w:r>
          </w:p>
          <w:p w:rsidR="00BC0329" w:rsidRDefault="00BC0329" w:rsidP="00BC0329">
            <w:pPr>
              <w:spacing w:after="0" w:line="240" w:lineRule="auto"/>
              <w:rPr>
                <w:rFonts w:eastAsia="Times New Roman"/>
                <w:sz w:val="18"/>
                <w:lang w:val="es-ES_tradnl" w:eastAsia="es-ES"/>
              </w:rPr>
            </w:pPr>
          </w:p>
          <w:p w:rsidR="00BC0329" w:rsidRDefault="00BC0329" w:rsidP="00BC0329">
            <w:pPr>
              <w:spacing w:after="0" w:line="240" w:lineRule="auto"/>
              <w:rPr>
                <w:rFonts w:eastAsia="Times New Roman"/>
                <w:sz w:val="18"/>
                <w:lang w:val="es-ES_tradnl" w:eastAsia="es-ES"/>
              </w:rPr>
            </w:pPr>
            <w:r>
              <w:rPr>
                <w:rFonts w:eastAsia="Times New Roman"/>
                <w:sz w:val="18"/>
                <w:lang w:val="es-ES_tradnl" w:eastAsia="es-ES"/>
              </w:rPr>
              <w:t>Para la implementación de la iniciativa, se propone un alcance menor como en un área piloto, para poder crear un posible proyecto regional en una segunda etapa.</w:t>
            </w:r>
          </w:p>
          <w:p w:rsidR="00BC0329" w:rsidRPr="0019177F" w:rsidRDefault="00BC0329" w:rsidP="00B91BEB">
            <w:pPr>
              <w:spacing w:after="0" w:line="240" w:lineRule="auto"/>
              <w:rPr>
                <w:rFonts w:eastAsia="Times New Roman" w:cs="Times New Roman"/>
                <w:color w:val="000000"/>
                <w:sz w:val="18"/>
                <w:szCs w:val="18"/>
                <w:lang w:val="es-ES" w:eastAsia="es-ES"/>
              </w:rPr>
            </w:pPr>
          </w:p>
        </w:tc>
      </w:tr>
      <w:tr w:rsidR="008E20C4" w:rsidRPr="00236F47" w:rsidTr="0097671F">
        <w:trPr>
          <w:trHeight w:val="586"/>
        </w:trPr>
        <w:tc>
          <w:tcPr>
            <w:tcW w:w="9093" w:type="dxa"/>
            <w:gridSpan w:val="7"/>
            <w:shd w:val="clear" w:color="auto" w:fill="auto"/>
            <w:vAlign w:val="center"/>
          </w:tcPr>
          <w:p w:rsidR="008E20C4" w:rsidRPr="00236F47" w:rsidRDefault="008E20C4" w:rsidP="00483E21">
            <w:pPr>
              <w:spacing w:after="0" w:line="240" w:lineRule="auto"/>
              <w:jc w:val="left"/>
              <w:rPr>
                <w:rFonts w:eastAsia="Times New Roman" w:cs="Times New Roman"/>
                <w:b/>
                <w:color w:val="000000"/>
                <w:sz w:val="18"/>
                <w:szCs w:val="18"/>
                <w:lang w:val="es-ES" w:eastAsia="es-ES"/>
              </w:rPr>
            </w:pPr>
            <w:r w:rsidRPr="00236F47">
              <w:rPr>
                <w:rFonts w:eastAsia="Times New Roman" w:cs="Times New Roman"/>
                <w:b/>
                <w:color w:val="000000"/>
                <w:sz w:val="18"/>
                <w:szCs w:val="18"/>
                <w:lang w:val="es-ES" w:eastAsia="es-ES"/>
              </w:rPr>
              <w:t>Presupuesto</w:t>
            </w:r>
          </w:p>
        </w:tc>
      </w:tr>
      <w:tr w:rsidR="008E20C4" w:rsidRPr="0019177F" w:rsidTr="0097671F">
        <w:trPr>
          <w:trHeight w:val="586"/>
        </w:trPr>
        <w:tc>
          <w:tcPr>
            <w:tcW w:w="9093" w:type="dxa"/>
            <w:gridSpan w:val="7"/>
            <w:shd w:val="clear" w:color="auto" w:fill="auto"/>
            <w:vAlign w:val="center"/>
          </w:tcPr>
          <w:tbl>
            <w:tblPr>
              <w:tblW w:w="643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336"/>
              <w:gridCol w:w="1200"/>
              <w:gridCol w:w="1200"/>
              <w:gridCol w:w="1500"/>
              <w:gridCol w:w="1200"/>
            </w:tblGrid>
            <w:tr w:rsidR="00870927" w:rsidRPr="00870927" w:rsidTr="0097671F">
              <w:trPr>
                <w:trHeight w:val="465"/>
                <w:jc w:val="center"/>
              </w:trPr>
              <w:tc>
                <w:tcPr>
                  <w:tcW w:w="1336" w:type="dxa"/>
                  <w:shd w:val="clear" w:color="auto" w:fill="auto"/>
                  <w:noWrap/>
                  <w:vAlign w:val="center"/>
                  <w:hideMark/>
                </w:tcPr>
                <w:p w:rsidR="00870927" w:rsidRPr="00870927" w:rsidRDefault="00870927" w:rsidP="00870927">
                  <w:pPr>
                    <w:spacing w:after="0" w:line="240" w:lineRule="auto"/>
                    <w:jc w:val="center"/>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Actividades</w:t>
                  </w:r>
                </w:p>
              </w:tc>
              <w:tc>
                <w:tcPr>
                  <w:tcW w:w="1200" w:type="dxa"/>
                  <w:shd w:val="clear" w:color="auto" w:fill="auto"/>
                  <w:vAlign w:val="center"/>
                  <w:hideMark/>
                </w:tcPr>
                <w:p w:rsidR="00870927" w:rsidRPr="00870927" w:rsidRDefault="00870927" w:rsidP="00870927">
                  <w:pPr>
                    <w:spacing w:after="0" w:line="240" w:lineRule="auto"/>
                    <w:jc w:val="center"/>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Unidad</w:t>
                  </w:r>
                </w:p>
              </w:tc>
              <w:tc>
                <w:tcPr>
                  <w:tcW w:w="1200" w:type="dxa"/>
                  <w:shd w:val="clear" w:color="auto" w:fill="auto"/>
                  <w:vAlign w:val="center"/>
                  <w:hideMark/>
                </w:tcPr>
                <w:p w:rsidR="00870927" w:rsidRPr="00870927" w:rsidRDefault="00870927" w:rsidP="00870927">
                  <w:pPr>
                    <w:spacing w:after="0" w:line="240" w:lineRule="auto"/>
                    <w:jc w:val="center"/>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Cantidad</w:t>
                  </w:r>
                </w:p>
              </w:tc>
              <w:tc>
                <w:tcPr>
                  <w:tcW w:w="1500" w:type="dxa"/>
                  <w:shd w:val="clear" w:color="auto" w:fill="auto"/>
                  <w:vAlign w:val="center"/>
                  <w:hideMark/>
                </w:tcPr>
                <w:p w:rsidR="00870927" w:rsidRPr="00870927" w:rsidRDefault="00870927" w:rsidP="00870927">
                  <w:pPr>
                    <w:spacing w:after="0" w:line="240" w:lineRule="auto"/>
                    <w:jc w:val="center"/>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Precio Unitario</w:t>
                  </w:r>
                  <w:r w:rsidRPr="00870927">
                    <w:rPr>
                      <w:rFonts w:ascii="Calibri" w:eastAsia="Times New Roman" w:hAnsi="Calibri" w:cs="Times New Roman"/>
                      <w:color w:val="000000"/>
                      <w:sz w:val="16"/>
                      <w:szCs w:val="16"/>
                    </w:rPr>
                    <w:t xml:space="preserve"> (Millones de $)</w:t>
                  </w:r>
                </w:p>
              </w:tc>
              <w:tc>
                <w:tcPr>
                  <w:tcW w:w="1200" w:type="dxa"/>
                  <w:shd w:val="clear" w:color="auto" w:fill="auto"/>
                  <w:vAlign w:val="center"/>
                  <w:hideMark/>
                </w:tcPr>
                <w:p w:rsidR="00870927" w:rsidRPr="00870927" w:rsidRDefault="00870927" w:rsidP="00870927">
                  <w:pPr>
                    <w:spacing w:after="0" w:line="240" w:lineRule="auto"/>
                    <w:jc w:val="center"/>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Precio Total</w:t>
                  </w:r>
                  <w:r w:rsidRPr="00870927">
                    <w:rPr>
                      <w:rFonts w:ascii="Calibri" w:eastAsia="Times New Roman" w:hAnsi="Calibri" w:cs="Times New Roman"/>
                      <w:color w:val="000000"/>
                      <w:sz w:val="16"/>
                      <w:szCs w:val="16"/>
                    </w:rPr>
                    <w:t xml:space="preserve"> (Millones de $)</w:t>
                  </w:r>
                </w:p>
              </w:tc>
            </w:tr>
            <w:tr w:rsidR="00870927" w:rsidRPr="00870927" w:rsidTr="0097671F">
              <w:trPr>
                <w:trHeight w:val="300"/>
                <w:jc w:val="center"/>
              </w:trPr>
              <w:tc>
                <w:tcPr>
                  <w:tcW w:w="1336"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Diseño</w:t>
                  </w:r>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proofErr w:type="spellStart"/>
                  <w:r w:rsidRPr="00870927">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xml:space="preserve">                      1 </w:t>
                  </w:r>
                </w:p>
              </w:tc>
              <w:tc>
                <w:tcPr>
                  <w:tcW w:w="15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xml:space="preserve">                        100 </w:t>
                  </w:r>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xml:space="preserve">                  100 </w:t>
                  </w:r>
                </w:p>
              </w:tc>
            </w:tr>
            <w:tr w:rsidR="00870927" w:rsidRPr="00870927" w:rsidTr="0097671F">
              <w:trPr>
                <w:trHeight w:val="300"/>
                <w:jc w:val="center"/>
              </w:trPr>
              <w:tc>
                <w:tcPr>
                  <w:tcW w:w="1336"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Desarrollo</w:t>
                  </w:r>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proofErr w:type="spellStart"/>
                  <w:r w:rsidRPr="00870927">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xml:space="preserve">                      1 </w:t>
                  </w:r>
                </w:p>
              </w:tc>
              <w:tc>
                <w:tcPr>
                  <w:tcW w:w="15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xml:space="preserve">                        300 </w:t>
                  </w:r>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xml:space="preserve">                  300 </w:t>
                  </w:r>
                </w:p>
              </w:tc>
            </w:tr>
            <w:tr w:rsidR="00870927" w:rsidRPr="00870927" w:rsidTr="0097671F">
              <w:trPr>
                <w:trHeight w:val="300"/>
                <w:jc w:val="center"/>
              </w:trPr>
              <w:tc>
                <w:tcPr>
                  <w:tcW w:w="1336"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Implementación</w:t>
                  </w:r>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proofErr w:type="spellStart"/>
                  <w:r w:rsidRPr="00870927">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xml:space="preserve">                      1 </w:t>
                  </w:r>
                </w:p>
              </w:tc>
              <w:tc>
                <w:tcPr>
                  <w:tcW w:w="15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xml:space="preserve">                        100 </w:t>
                  </w:r>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xml:space="preserve">                  100 </w:t>
                  </w:r>
                </w:p>
              </w:tc>
            </w:tr>
            <w:tr w:rsidR="00870927" w:rsidRPr="00870927" w:rsidTr="0097671F">
              <w:trPr>
                <w:trHeight w:val="300"/>
                <w:jc w:val="center"/>
              </w:trPr>
              <w:tc>
                <w:tcPr>
                  <w:tcW w:w="1336"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Total</w:t>
                  </w:r>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w:t>
                  </w:r>
                </w:p>
              </w:tc>
              <w:tc>
                <w:tcPr>
                  <w:tcW w:w="12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w:t>
                  </w:r>
                </w:p>
              </w:tc>
              <w:tc>
                <w:tcPr>
                  <w:tcW w:w="1500" w:type="dxa"/>
                  <w:shd w:val="clear" w:color="auto" w:fill="auto"/>
                  <w:noWrap/>
                  <w:vAlign w:val="bottom"/>
                  <w:hideMark/>
                </w:tcPr>
                <w:p w:rsidR="00870927" w:rsidRPr="00870927" w:rsidRDefault="00870927" w:rsidP="00870927">
                  <w:pPr>
                    <w:spacing w:after="0" w:line="240" w:lineRule="auto"/>
                    <w:jc w:val="left"/>
                    <w:rPr>
                      <w:rFonts w:ascii="Calibri" w:eastAsia="Times New Roman" w:hAnsi="Calibri" w:cs="Times New Roman"/>
                      <w:color w:val="000000"/>
                      <w:sz w:val="18"/>
                      <w:szCs w:val="18"/>
                    </w:rPr>
                  </w:pPr>
                  <w:r w:rsidRPr="00870927">
                    <w:rPr>
                      <w:rFonts w:ascii="Calibri" w:eastAsia="Times New Roman" w:hAnsi="Calibri" w:cs="Times New Roman"/>
                      <w:color w:val="000000"/>
                      <w:sz w:val="18"/>
                      <w:szCs w:val="18"/>
                    </w:rPr>
                    <w:t> </w:t>
                  </w:r>
                </w:p>
              </w:tc>
              <w:tc>
                <w:tcPr>
                  <w:tcW w:w="1200" w:type="dxa"/>
                  <w:shd w:val="clear" w:color="000000" w:fill="DDEBF7"/>
                  <w:noWrap/>
                  <w:vAlign w:val="bottom"/>
                  <w:hideMark/>
                </w:tcPr>
                <w:p w:rsidR="00870927" w:rsidRPr="00870927" w:rsidRDefault="00870927" w:rsidP="00870927">
                  <w:pPr>
                    <w:spacing w:after="0" w:line="240" w:lineRule="auto"/>
                    <w:jc w:val="left"/>
                    <w:rPr>
                      <w:rFonts w:ascii="Calibri" w:eastAsia="Times New Roman" w:hAnsi="Calibri" w:cs="Times New Roman"/>
                      <w:b/>
                      <w:bCs/>
                      <w:color w:val="000000"/>
                      <w:sz w:val="18"/>
                      <w:szCs w:val="18"/>
                    </w:rPr>
                  </w:pPr>
                  <w:r w:rsidRPr="00870927">
                    <w:rPr>
                      <w:rFonts w:ascii="Calibri" w:eastAsia="Times New Roman" w:hAnsi="Calibri" w:cs="Times New Roman"/>
                      <w:b/>
                      <w:bCs/>
                      <w:color w:val="000000"/>
                      <w:sz w:val="18"/>
                      <w:szCs w:val="18"/>
                    </w:rPr>
                    <w:t xml:space="preserve">                  500 </w:t>
                  </w:r>
                </w:p>
              </w:tc>
            </w:tr>
          </w:tbl>
          <w:p w:rsidR="008E20C4" w:rsidRDefault="008E20C4" w:rsidP="00483E21">
            <w:pPr>
              <w:spacing w:after="0" w:line="240" w:lineRule="auto"/>
              <w:rPr>
                <w:rFonts w:eastAsia="Times New Roman" w:cs="Times New Roman"/>
                <w:color w:val="000000"/>
                <w:sz w:val="18"/>
                <w:szCs w:val="18"/>
                <w:lang w:val="es-ES" w:eastAsia="es-ES"/>
              </w:rPr>
            </w:pPr>
          </w:p>
          <w:p w:rsidR="00870927" w:rsidRDefault="00870927" w:rsidP="00483E21">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estimado para esta iniciativa es de $500.000.000.-</w:t>
            </w:r>
          </w:p>
          <w:p w:rsidR="00870927" w:rsidRDefault="00870927" w:rsidP="00483E21">
            <w:pPr>
              <w:spacing w:after="0" w:line="240" w:lineRule="auto"/>
              <w:rPr>
                <w:rFonts w:eastAsia="Times New Roman" w:cs="Times New Roman"/>
                <w:color w:val="000000"/>
                <w:sz w:val="18"/>
                <w:szCs w:val="18"/>
                <w:lang w:val="es-ES" w:eastAsia="es-ES"/>
              </w:rPr>
            </w:pPr>
          </w:p>
        </w:tc>
      </w:tr>
      <w:tr w:rsidR="00870927" w:rsidRPr="009F2FC1" w:rsidTr="0097671F">
        <w:trPr>
          <w:trHeight w:val="586"/>
        </w:trPr>
        <w:tc>
          <w:tcPr>
            <w:tcW w:w="2318" w:type="dxa"/>
            <w:shd w:val="clear" w:color="auto" w:fill="auto"/>
            <w:vAlign w:val="center"/>
          </w:tcPr>
          <w:p w:rsidR="00870927" w:rsidRPr="009F2FC1" w:rsidRDefault="0087092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1" w:type="dxa"/>
            <w:gridSpan w:val="2"/>
            <w:shd w:val="clear" w:color="auto" w:fill="auto"/>
            <w:vAlign w:val="center"/>
          </w:tcPr>
          <w:p w:rsidR="00870927" w:rsidRPr="009F2FC1" w:rsidRDefault="0087092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458 millones de pesos </w:t>
            </w:r>
          </w:p>
        </w:tc>
        <w:tc>
          <w:tcPr>
            <w:tcW w:w="1795" w:type="dxa"/>
            <w:gridSpan w:val="2"/>
            <w:shd w:val="clear" w:color="auto" w:fill="auto"/>
            <w:vAlign w:val="center"/>
          </w:tcPr>
          <w:p w:rsidR="00870927" w:rsidRPr="009F2FC1" w:rsidRDefault="0087092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9" w:type="dxa"/>
            <w:gridSpan w:val="2"/>
            <w:shd w:val="clear" w:color="auto" w:fill="auto"/>
            <w:vAlign w:val="center"/>
          </w:tcPr>
          <w:p w:rsidR="00870927" w:rsidRDefault="0087092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870927" w:rsidRPr="009F2FC1" w:rsidRDefault="0087092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8E20C4" w:rsidRPr="00FB2027" w:rsidRDefault="008E20C4" w:rsidP="00FB2027">
      <w:pPr>
        <w:rPr>
          <w:highlight w:val="cyan"/>
          <w:lang w:val="es-ES_tradnl" w:eastAsia="es-ES"/>
        </w:rPr>
      </w:pPr>
    </w:p>
    <w:sectPr w:rsidR="008E20C4" w:rsidRPr="00FB2027"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831" w:rsidRDefault="00CC5831" w:rsidP="00C47A64">
      <w:r>
        <w:separator/>
      </w:r>
    </w:p>
    <w:p w:rsidR="00CC5831" w:rsidRDefault="00CC5831" w:rsidP="00C47A64"/>
  </w:endnote>
  <w:endnote w:type="continuationSeparator" w:id="0">
    <w:p w:rsidR="00CC5831" w:rsidRDefault="00CC5831" w:rsidP="00C47A64">
      <w:r>
        <w:continuationSeparator/>
      </w:r>
    </w:p>
    <w:p w:rsidR="00CC5831" w:rsidRDefault="00CC5831"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077" w:rsidRPr="00BE37F7" w:rsidRDefault="00172077" w:rsidP="000B0CCE">
    <w:pPr>
      <w:pStyle w:val="EncabezadoPie"/>
      <w:pBdr>
        <w:top w:val="single" w:sz="4" w:space="11" w:color="auto"/>
      </w:pBdr>
    </w:pPr>
    <w:r w:rsidRPr="00BE37F7">
      <w:t xml:space="preserve">PLAN MAESTRO DE RECURSOS HÍDRICOS REGIÓN DEL MAULE   </w:t>
    </w:r>
  </w:p>
  <w:p w:rsidR="00172077" w:rsidRPr="00BE37F7" w:rsidRDefault="00172077" w:rsidP="00C47A64">
    <w:pPr>
      <w:pStyle w:val="EncabezadoPie"/>
    </w:pPr>
    <w:r w:rsidRPr="00BE37F7">
      <w:t>Etapa 4. Propuesta del Plan Regional</w:t>
    </w:r>
    <w:r w:rsidRPr="00BE37F7">
      <w:rPr>
        <w:rFonts w:ascii="Arial Narrow" w:hAnsi="Arial Narrow"/>
        <w:sz w:val="18"/>
        <w:szCs w:val="18"/>
      </w:rPr>
      <w:tab/>
    </w:r>
  </w:p>
  <w:p w:rsidR="00172077" w:rsidRPr="00BE37F7" w:rsidRDefault="00172077" w:rsidP="00EF697F">
    <w:pPr>
      <w:pStyle w:val="Piedepgina"/>
      <w:tabs>
        <w:tab w:val="clear" w:pos="8504"/>
        <w:tab w:val="right" w:pos="9121"/>
      </w:tabs>
    </w:pPr>
    <w:r w:rsidRPr="00BE37F7">
      <w:tab/>
    </w:r>
    <w:r w:rsidRPr="00BE37F7">
      <w:tab/>
    </w:r>
  </w:p>
  <w:p w:rsidR="00172077" w:rsidRPr="00BE37F7" w:rsidRDefault="00FB6E7D" w:rsidP="00C47A64">
    <w:pPr>
      <w:pStyle w:val="EncabezadoPie"/>
      <w:tabs>
        <w:tab w:val="right" w:pos="9072"/>
      </w:tabs>
    </w:pPr>
    <w:r>
      <w:t>ANEXO FICHAS</w:t>
    </w:r>
  </w:p>
  <w:p w:rsidR="00172077" w:rsidRPr="00DB2BA2" w:rsidRDefault="00172077" w:rsidP="00C47A64">
    <w:pPr>
      <w:pStyle w:val="EncabezadoPie"/>
      <w:tabs>
        <w:tab w:val="right" w:pos="9072"/>
      </w:tabs>
    </w:pPr>
    <w:r w:rsidRPr="00C47A64">
      <w:rPr>
        <w:lang w:val="pt-BR"/>
      </w:rPr>
      <w:tab/>
    </w:r>
    <w:r>
      <w:rPr>
        <w:lang w:val="pt-BR"/>
      </w:rPr>
      <w:t>Capítulo 2</w:t>
    </w:r>
    <w:r w:rsidRPr="00C47A64">
      <w:rPr>
        <w:lang w:val="pt-BR"/>
      </w:rPr>
      <w:t>/</w:t>
    </w:r>
    <w:r w:rsidRPr="00A70E91">
      <w:fldChar w:fldCharType="begin"/>
    </w:r>
    <w:r w:rsidRPr="00C47A64">
      <w:rPr>
        <w:lang w:val="pt-BR"/>
      </w:rPr>
      <w:instrText xml:space="preserve"> PAGE  \* Arabic  \* MERGEFORMAT </w:instrText>
    </w:r>
    <w:r w:rsidRPr="00A70E91">
      <w:fldChar w:fldCharType="separate"/>
    </w:r>
    <w:r w:rsidR="00FB32B3">
      <w:rPr>
        <w:noProof/>
        <w:lang w:val="pt-BR"/>
      </w:rPr>
      <w:t>2</w:t>
    </w:r>
    <w:r w:rsidRPr="00A70E9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831" w:rsidRDefault="00CC5831" w:rsidP="00C47A64">
      <w:r>
        <w:separator/>
      </w:r>
    </w:p>
    <w:p w:rsidR="00CC5831" w:rsidRDefault="00CC5831" w:rsidP="00C47A64"/>
  </w:footnote>
  <w:footnote w:type="continuationSeparator" w:id="0">
    <w:p w:rsidR="00CC5831" w:rsidRDefault="00CC5831" w:rsidP="00C47A64">
      <w:r>
        <w:continuationSeparator/>
      </w:r>
    </w:p>
    <w:p w:rsidR="00CC5831" w:rsidRDefault="00CC5831"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103"/>
      <w:gridCol w:w="2023"/>
    </w:tblGrid>
    <w:tr w:rsidR="005A7721" w:rsidTr="00A54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5A7721" w:rsidRDefault="005A7721"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6384" r:id="rId2"/>
            </w:object>
          </w:r>
        </w:p>
      </w:tc>
      <w:tc>
        <w:tcPr>
          <w:tcW w:w="5103" w:type="dxa"/>
          <w:shd w:val="clear" w:color="auto" w:fill="auto"/>
        </w:tcPr>
        <w:p w:rsidR="005A7721" w:rsidRPr="00B31517" w:rsidRDefault="005A772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5A7721" w:rsidRPr="00B31517" w:rsidRDefault="005A772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5A7721" w:rsidRDefault="005A772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5A7721" w:rsidRPr="00B31517" w:rsidRDefault="005A7721" w:rsidP="00A54186">
          <w:pPr>
            <w:pStyle w:val="EncabezadoPie"/>
            <w:cnfStyle w:val="100000000000" w:firstRow="1" w:lastRow="0" w:firstColumn="0" w:lastColumn="0" w:oddVBand="0" w:evenVBand="0" w:oddHBand="0" w:evenHBand="0" w:firstRowFirstColumn="0" w:firstRowLastColumn="0" w:lastRowFirstColumn="0" w:lastRowLastColumn="0"/>
          </w:pPr>
        </w:p>
        <w:p w:rsidR="005A7721" w:rsidRPr="00B31517" w:rsidRDefault="005A772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5A7721" w:rsidRDefault="005A7721" w:rsidP="00A54186">
          <w:pPr>
            <w:pStyle w:val="Encabezado"/>
            <w:jc w:val="left"/>
            <w:cnfStyle w:val="100000000000" w:firstRow="1" w:lastRow="0" w:firstColumn="0" w:lastColumn="0" w:oddVBand="0" w:evenVBand="0" w:oddHBand="0" w:evenHBand="0" w:firstRowFirstColumn="0" w:firstRowLastColumn="0" w:lastRowFirstColumn="0" w:lastRowLastColumn="0"/>
          </w:pPr>
        </w:p>
      </w:tc>
      <w:tc>
        <w:tcPr>
          <w:tcW w:w="2023" w:type="dxa"/>
          <w:shd w:val="clear" w:color="auto" w:fill="auto"/>
        </w:tcPr>
        <w:p w:rsidR="005A7721" w:rsidRDefault="005A7721"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1007ECC"/>
    <w:multiLevelType w:val="hybridMultilevel"/>
    <w:tmpl w:val="3492326E"/>
    <w:lvl w:ilvl="0" w:tplc="CA7A673E">
      <w:start w:val="1"/>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6E5327DF"/>
    <w:multiLevelType w:val="hybridMultilevel"/>
    <w:tmpl w:val="C8BEAAA6"/>
    <w:lvl w:ilvl="0" w:tplc="3A5ADEC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5"/>
  </w:num>
  <w:num w:numId="6">
    <w:abstractNumId w:val="22"/>
  </w:num>
  <w:num w:numId="7">
    <w:abstractNumId w:val="1"/>
  </w:num>
  <w:num w:numId="8">
    <w:abstractNumId w:val="0"/>
  </w:num>
  <w:num w:numId="9">
    <w:abstractNumId w:val="11"/>
  </w:num>
  <w:num w:numId="10">
    <w:abstractNumId w:val="18"/>
  </w:num>
  <w:num w:numId="11">
    <w:abstractNumId w:val="6"/>
  </w:num>
  <w:num w:numId="12">
    <w:abstractNumId w:val="16"/>
  </w:num>
  <w:num w:numId="13">
    <w:abstractNumId w:val="27"/>
  </w:num>
  <w:num w:numId="14">
    <w:abstractNumId w:val="12"/>
  </w:num>
  <w:num w:numId="15">
    <w:abstractNumId w:val="8"/>
  </w:num>
  <w:num w:numId="16">
    <w:abstractNumId w:val="29"/>
  </w:num>
  <w:num w:numId="17">
    <w:abstractNumId w:val="5"/>
  </w:num>
  <w:num w:numId="18">
    <w:abstractNumId w:val="30"/>
  </w:num>
  <w:num w:numId="19">
    <w:abstractNumId w:val="20"/>
  </w:num>
  <w:num w:numId="20">
    <w:abstractNumId w:val="26"/>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7"/>
  </w:num>
  <w:num w:numId="36">
    <w:abstractNumId w:val="28"/>
  </w:num>
  <w:num w:numId="37">
    <w:abstractNumId w:val="7"/>
  </w:num>
  <w:num w:numId="38">
    <w:abstractNumId w:val="21"/>
  </w:num>
  <w:num w:numId="39">
    <w:abstractNumId w:val="15"/>
    <w:lvlOverride w:ilvl="0">
      <w:startOverride w:val="1"/>
    </w:lvlOverride>
  </w:num>
  <w:num w:numId="40">
    <w:abstractNumId w:val="8"/>
  </w:num>
  <w:num w:numId="41">
    <w:abstractNumId w:val="19"/>
  </w:num>
  <w:num w:numId="4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4D90"/>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19E"/>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2AE9"/>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4FB3"/>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555"/>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7497"/>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053C"/>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999"/>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130F"/>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A62F7"/>
    <w:rsid w:val="004A74E0"/>
    <w:rsid w:val="004B1BE2"/>
    <w:rsid w:val="004B1C3D"/>
    <w:rsid w:val="004B2F15"/>
    <w:rsid w:val="004B5857"/>
    <w:rsid w:val="004B612A"/>
    <w:rsid w:val="004C0134"/>
    <w:rsid w:val="004C18F4"/>
    <w:rsid w:val="004C1AF2"/>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1394"/>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BFA"/>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E7ED7"/>
    <w:rsid w:val="005F1B16"/>
    <w:rsid w:val="005F277B"/>
    <w:rsid w:val="005F63D2"/>
    <w:rsid w:val="005F6D95"/>
    <w:rsid w:val="005F70DA"/>
    <w:rsid w:val="00600297"/>
    <w:rsid w:val="00601EA6"/>
    <w:rsid w:val="00605F0B"/>
    <w:rsid w:val="00611A87"/>
    <w:rsid w:val="00613F01"/>
    <w:rsid w:val="00614B18"/>
    <w:rsid w:val="00614B1E"/>
    <w:rsid w:val="00614C5D"/>
    <w:rsid w:val="00615463"/>
    <w:rsid w:val="006168E6"/>
    <w:rsid w:val="0061735E"/>
    <w:rsid w:val="00620A95"/>
    <w:rsid w:val="00620FAA"/>
    <w:rsid w:val="0062158D"/>
    <w:rsid w:val="00626318"/>
    <w:rsid w:val="00626E32"/>
    <w:rsid w:val="00630653"/>
    <w:rsid w:val="006308D6"/>
    <w:rsid w:val="00630F44"/>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366"/>
    <w:rsid w:val="006938BA"/>
    <w:rsid w:val="00693CDD"/>
    <w:rsid w:val="00693DCA"/>
    <w:rsid w:val="00695CD7"/>
    <w:rsid w:val="006A002E"/>
    <w:rsid w:val="006A0869"/>
    <w:rsid w:val="006A1ACD"/>
    <w:rsid w:val="006A1DFB"/>
    <w:rsid w:val="006A38C6"/>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7F7"/>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1098"/>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0927"/>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46B"/>
    <w:rsid w:val="00896D3C"/>
    <w:rsid w:val="008A1AED"/>
    <w:rsid w:val="008A1C07"/>
    <w:rsid w:val="008A43CE"/>
    <w:rsid w:val="008A649C"/>
    <w:rsid w:val="008B00DF"/>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1BA9"/>
    <w:rsid w:val="008D3925"/>
    <w:rsid w:val="008D3D77"/>
    <w:rsid w:val="008D5908"/>
    <w:rsid w:val="008D6A89"/>
    <w:rsid w:val="008E1AA1"/>
    <w:rsid w:val="008E1CD8"/>
    <w:rsid w:val="008E20C4"/>
    <w:rsid w:val="008E439A"/>
    <w:rsid w:val="008E4AEF"/>
    <w:rsid w:val="008E4E37"/>
    <w:rsid w:val="008E4F85"/>
    <w:rsid w:val="008E6BDE"/>
    <w:rsid w:val="008E7385"/>
    <w:rsid w:val="008E7EE6"/>
    <w:rsid w:val="008F00B6"/>
    <w:rsid w:val="008F4BF2"/>
    <w:rsid w:val="008F50AE"/>
    <w:rsid w:val="008F594D"/>
    <w:rsid w:val="008F5CB1"/>
    <w:rsid w:val="008F5DA3"/>
    <w:rsid w:val="008F63AA"/>
    <w:rsid w:val="008F68C7"/>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2C8"/>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7671F"/>
    <w:rsid w:val="0098040F"/>
    <w:rsid w:val="00985127"/>
    <w:rsid w:val="00985ED5"/>
    <w:rsid w:val="00986FB1"/>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2E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722"/>
    <w:rsid w:val="00A62ED2"/>
    <w:rsid w:val="00A633CD"/>
    <w:rsid w:val="00A650F5"/>
    <w:rsid w:val="00A66148"/>
    <w:rsid w:val="00A70E91"/>
    <w:rsid w:val="00A71BA1"/>
    <w:rsid w:val="00A7305F"/>
    <w:rsid w:val="00A731B3"/>
    <w:rsid w:val="00A73C73"/>
    <w:rsid w:val="00A74A18"/>
    <w:rsid w:val="00A74F4E"/>
    <w:rsid w:val="00A75003"/>
    <w:rsid w:val="00A75897"/>
    <w:rsid w:val="00A772C7"/>
    <w:rsid w:val="00A80090"/>
    <w:rsid w:val="00A817E7"/>
    <w:rsid w:val="00A82C03"/>
    <w:rsid w:val="00A8351B"/>
    <w:rsid w:val="00A84040"/>
    <w:rsid w:val="00A869F4"/>
    <w:rsid w:val="00A8709C"/>
    <w:rsid w:val="00A90FF2"/>
    <w:rsid w:val="00A95968"/>
    <w:rsid w:val="00A964AC"/>
    <w:rsid w:val="00AA0ACE"/>
    <w:rsid w:val="00AA1A1E"/>
    <w:rsid w:val="00AA2151"/>
    <w:rsid w:val="00AA25AB"/>
    <w:rsid w:val="00AA452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47434"/>
    <w:rsid w:val="00B500A4"/>
    <w:rsid w:val="00B51844"/>
    <w:rsid w:val="00B51E37"/>
    <w:rsid w:val="00B53369"/>
    <w:rsid w:val="00B538CA"/>
    <w:rsid w:val="00B54893"/>
    <w:rsid w:val="00B55C4F"/>
    <w:rsid w:val="00B57112"/>
    <w:rsid w:val="00B57639"/>
    <w:rsid w:val="00B623FC"/>
    <w:rsid w:val="00B62D8B"/>
    <w:rsid w:val="00B62FC1"/>
    <w:rsid w:val="00B640A1"/>
    <w:rsid w:val="00B64B16"/>
    <w:rsid w:val="00B66E23"/>
    <w:rsid w:val="00B679D6"/>
    <w:rsid w:val="00B726E2"/>
    <w:rsid w:val="00B73C01"/>
    <w:rsid w:val="00B75AB6"/>
    <w:rsid w:val="00B774BF"/>
    <w:rsid w:val="00B8033E"/>
    <w:rsid w:val="00B814EF"/>
    <w:rsid w:val="00B81528"/>
    <w:rsid w:val="00B842BD"/>
    <w:rsid w:val="00B85F65"/>
    <w:rsid w:val="00B86C1E"/>
    <w:rsid w:val="00B91016"/>
    <w:rsid w:val="00B91BEB"/>
    <w:rsid w:val="00B93E37"/>
    <w:rsid w:val="00B945C9"/>
    <w:rsid w:val="00BA20BA"/>
    <w:rsid w:val="00BB14E8"/>
    <w:rsid w:val="00BB25DD"/>
    <w:rsid w:val="00BB36A2"/>
    <w:rsid w:val="00BB5F66"/>
    <w:rsid w:val="00BB640E"/>
    <w:rsid w:val="00BB672D"/>
    <w:rsid w:val="00BC0329"/>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595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676"/>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0441"/>
    <w:rsid w:val="00CC3736"/>
    <w:rsid w:val="00CC46B4"/>
    <w:rsid w:val="00CC4D14"/>
    <w:rsid w:val="00CC51E1"/>
    <w:rsid w:val="00CC5436"/>
    <w:rsid w:val="00CC5831"/>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4FB2"/>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D5E"/>
    <w:rsid w:val="00D33F35"/>
    <w:rsid w:val="00D3415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73"/>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6ADC"/>
    <w:rsid w:val="00E87B57"/>
    <w:rsid w:val="00E87E07"/>
    <w:rsid w:val="00E912D9"/>
    <w:rsid w:val="00E91445"/>
    <w:rsid w:val="00E92411"/>
    <w:rsid w:val="00E9280F"/>
    <w:rsid w:val="00E92EC6"/>
    <w:rsid w:val="00E94E80"/>
    <w:rsid w:val="00EA50F1"/>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2E2"/>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6FB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2B3"/>
    <w:rsid w:val="00FB3735"/>
    <w:rsid w:val="00FB5A13"/>
    <w:rsid w:val="00FB5B44"/>
    <w:rsid w:val="00FB6E7D"/>
    <w:rsid w:val="00FC173D"/>
    <w:rsid w:val="00FC1FA0"/>
    <w:rsid w:val="00FC32EC"/>
    <w:rsid w:val="00FC3D16"/>
    <w:rsid w:val="00FC7040"/>
    <w:rsid w:val="00FC7973"/>
    <w:rsid w:val="00FD2B74"/>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30666016">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ADDC4-CE0C-4F77-B9F1-550B7CDC2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605</Words>
  <Characters>3329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2017-11-16T16:18:00Z</dcterms:created>
  <dcterms:modified xsi:type="dcterms:W3CDTF">2018-12-14T21:12:00Z</dcterms:modified>
</cp:coreProperties>
</file>