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4116"/>
        <w:gridCol w:w="2585"/>
      </w:tblGrid>
      <w:tr w:rsidR="00FA178D" w:rsidRPr="00D9569A" w:rsidTr="00B40057">
        <w:trPr>
          <w:trHeight w:val="330"/>
          <w:tblHeader/>
        </w:trPr>
        <w:tc>
          <w:tcPr>
            <w:tcW w:w="2387" w:type="dxa"/>
            <w:vMerge w:val="restart"/>
            <w:shd w:val="clear" w:color="auto" w:fill="8DB3E2" w:themeFill="text2" w:themeFillTint="66"/>
            <w:noWrap/>
          </w:tcPr>
          <w:p w:rsidR="00FA178D" w:rsidRPr="00D9569A" w:rsidRDefault="00D9569A" w:rsidP="00FA178D">
            <w:pPr>
              <w:spacing w:after="0" w:line="240" w:lineRule="auto"/>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Calidad de Aguas y Medio Ambiente</w:t>
            </w:r>
          </w:p>
        </w:tc>
        <w:tc>
          <w:tcPr>
            <w:tcW w:w="6701" w:type="dxa"/>
            <w:gridSpan w:val="2"/>
            <w:shd w:val="clear" w:color="auto" w:fill="8DB3E2" w:themeFill="text2" w:themeFillTint="66"/>
          </w:tcPr>
          <w:p w:rsidR="00FA178D" w:rsidRPr="00D9569A" w:rsidRDefault="00FA178D" w:rsidP="00FA178D">
            <w:pPr>
              <w:spacing w:after="0" w:line="240" w:lineRule="auto"/>
              <w:jc w:val="left"/>
              <w:rPr>
                <w:rFonts w:eastAsia="Times New Roman" w:cs="Times New Roman"/>
                <w:b/>
                <w:color w:val="000000"/>
                <w:sz w:val="28"/>
                <w:szCs w:val="18"/>
                <w:lang w:val="es-ES" w:eastAsia="es-ES"/>
              </w:rPr>
            </w:pPr>
            <w:proofErr w:type="spellStart"/>
            <w:r w:rsidRPr="00D9569A">
              <w:rPr>
                <w:rFonts w:eastAsia="Times New Roman" w:cs="Times New Roman"/>
                <w:color w:val="000000"/>
                <w:sz w:val="18"/>
                <w:szCs w:val="18"/>
                <w:lang w:val="es-ES" w:eastAsia="es-ES"/>
              </w:rPr>
              <w:t>Obj</w:t>
            </w:r>
            <w:proofErr w:type="spellEnd"/>
            <w:r w:rsidRPr="00D9569A">
              <w:rPr>
                <w:rFonts w:eastAsia="Times New Roman" w:cs="Times New Roman"/>
                <w:color w:val="000000"/>
                <w:sz w:val="18"/>
                <w:szCs w:val="18"/>
                <w:lang w:val="es-ES" w:eastAsia="es-ES"/>
              </w:rPr>
              <w:t xml:space="preserve"> 08. “Mejorar la calidad de las aguas en sus fuentes naturales”.</w:t>
            </w:r>
          </w:p>
        </w:tc>
      </w:tr>
      <w:tr w:rsidR="00FA178D" w:rsidRPr="00D9569A" w:rsidTr="00B40057">
        <w:trPr>
          <w:trHeight w:val="330"/>
          <w:tblHeader/>
        </w:trPr>
        <w:tc>
          <w:tcPr>
            <w:tcW w:w="2387" w:type="dxa"/>
            <w:vMerge/>
            <w:shd w:val="clear" w:color="auto" w:fill="8DB3E2" w:themeFill="text2" w:themeFillTint="66"/>
            <w:noWrap/>
          </w:tcPr>
          <w:p w:rsidR="00FA178D" w:rsidRPr="00D9569A" w:rsidRDefault="00FA178D" w:rsidP="00FA178D">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tcPr>
          <w:p w:rsidR="00FA178D" w:rsidRPr="00D9569A" w:rsidRDefault="00FA178D" w:rsidP="00FA178D">
            <w:pPr>
              <w:rPr>
                <w:color w:val="000000"/>
                <w:sz w:val="16"/>
                <w:szCs w:val="16"/>
              </w:rPr>
            </w:pPr>
            <w:r w:rsidRPr="00D9569A">
              <w:rPr>
                <w:rFonts w:eastAsia="Times New Roman" w:cs="Times New Roman"/>
                <w:color w:val="000000"/>
                <w:sz w:val="18"/>
                <w:szCs w:val="18"/>
                <w:lang w:val="es-ES" w:eastAsia="es-ES"/>
              </w:rPr>
              <w:t>L16. Establecer objetivos de calidad de aguas para las cuencas</w:t>
            </w:r>
          </w:p>
        </w:tc>
      </w:tr>
      <w:tr w:rsidR="00FA178D" w:rsidRPr="00D9569A" w:rsidTr="00B40057">
        <w:trPr>
          <w:trHeight w:val="643"/>
          <w:tblHeader/>
        </w:trPr>
        <w:tc>
          <w:tcPr>
            <w:tcW w:w="6503" w:type="dxa"/>
            <w:gridSpan w:val="2"/>
            <w:shd w:val="clear" w:color="auto" w:fill="F2F2F2" w:themeFill="background1" w:themeFillShade="F2"/>
            <w:noWrap/>
          </w:tcPr>
          <w:p w:rsidR="00FA178D" w:rsidRPr="00D9569A" w:rsidRDefault="00FA178D" w:rsidP="00FA178D">
            <w:pPr>
              <w:spacing w:after="0" w:line="240" w:lineRule="auto"/>
              <w:jc w:val="left"/>
              <w:rPr>
                <w:rFonts w:eastAsia="Times New Roman" w:cs="Times New Roman"/>
                <w:b/>
                <w:color w:val="000000"/>
                <w:sz w:val="22"/>
                <w:szCs w:val="18"/>
                <w:lang w:val="es-ES" w:eastAsia="es-ES"/>
              </w:rPr>
            </w:pPr>
            <w:r w:rsidRPr="00B40057">
              <w:rPr>
                <w:rFonts w:eastAsia="Times New Roman" w:cs="Times New Roman"/>
                <w:b/>
                <w:color w:val="000000"/>
                <w:szCs w:val="18"/>
                <w:lang w:val="es-ES" w:eastAsia="es-ES"/>
              </w:rPr>
              <w:t>Establecimiento de Normas Secundarias de Calidad Ambiental</w:t>
            </w:r>
          </w:p>
        </w:tc>
        <w:tc>
          <w:tcPr>
            <w:tcW w:w="2585" w:type="dxa"/>
            <w:shd w:val="clear" w:color="auto" w:fill="F2F2F2" w:themeFill="background1" w:themeFillShade="F2"/>
          </w:tcPr>
          <w:p w:rsidR="00FA178D" w:rsidRPr="00D9569A" w:rsidRDefault="00FA178D" w:rsidP="00FA178D">
            <w:pPr>
              <w:spacing w:after="0" w:line="240" w:lineRule="auto"/>
              <w:jc w:val="center"/>
              <w:rPr>
                <w:rFonts w:eastAsia="Times New Roman" w:cs="Times New Roman"/>
                <w:b/>
                <w:color w:val="000000"/>
                <w:sz w:val="22"/>
                <w:szCs w:val="18"/>
                <w:lang w:val="es-ES" w:eastAsia="es-ES"/>
              </w:rPr>
            </w:pPr>
            <w:r w:rsidRPr="00D9569A">
              <w:rPr>
                <w:rFonts w:eastAsia="Times New Roman" w:cs="Times New Roman"/>
                <w:b/>
                <w:color w:val="000000"/>
                <w:sz w:val="52"/>
                <w:szCs w:val="18"/>
                <w:lang w:val="es-ES" w:eastAsia="es-ES"/>
              </w:rPr>
              <w:t>SL-31</w:t>
            </w:r>
          </w:p>
        </w:tc>
      </w:tr>
      <w:tr w:rsidR="00FA178D" w:rsidRPr="00D9569A" w:rsidTr="00B40057">
        <w:trPr>
          <w:trHeight w:val="128"/>
          <w:tblHeader/>
        </w:trPr>
        <w:tc>
          <w:tcPr>
            <w:tcW w:w="9088" w:type="dxa"/>
            <w:gridSpan w:val="3"/>
            <w:shd w:val="clear" w:color="auto" w:fill="auto"/>
            <w:noWrap/>
          </w:tcPr>
          <w:p w:rsidR="00FA178D" w:rsidRPr="00D9569A" w:rsidRDefault="00FA178D" w:rsidP="00FA178D">
            <w:pPr>
              <w:spacing w:after="0" w:line="240" w:lineRule="auto"/>
              <w:jc w:val="left"/>
              <w:rPr>
                <w:rFonts w:eastAsia="Times New Roman" w:cs="Times New Roman"/>
                <w:b/>
                <w:color w:val="000000"/>
                <w:sz w:val="4"/>
                <w:szCs w:val="4"/>
                <w:lang w:val="es-ES" w:eastAsia="es-ES"/>
              </w:rPr>
            </w:pPr>
          </w:p>
        </w:tc>
      </w:tr>
      <w:tr w:rsidR="00FA178D" w:rsidRPr="00D9569A" w:rsidTr="00B40057">
        <w:trPr>
          <w:trHeight w:val="300"/>
        </w:trPr>
        <w:tc>
          <w:tcPr>
            <w:tcW w:w="9088" w:type="dxa"/>
            <w:gridSpan w:val="3"/>
            <w:shd w:val="clear" w:color="auto" w:fill="F2F2F2" w:themeFill="background1" w:themeFillShade="F2"/>
            <w:noWrap/>
            <w:hideMark/>
          </w:tcPr>
          <w:p w:rsidR="00FA178D" w:rsidRPr="00D9569A" w:rsidRDefault="00FA178D" w:rsidP="00FA178D">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Antecedentes Generales de la Sub Línea</w:t>
            </w:r>
          </w:p>
        </w:tc>
      </w:tr>
      <w:tr w:rsidR="00FA178D" w:rsidRPr="00D9569A" w:rsidTr="00B40057">
        <w:trPr>
          <w:trHeight w:val="1724"/>
        </w:trPr>
        <w:tc>
          <w:tcPr>
            <w:tcW w:w="9088" w:type="dxa"/>
            <w:gridSpan w:val="3"/>
            <w:shd w:val="clear" w:color="auto" w:fill="auto"/>
            <w:noWrap/>
          </w:tcPr>
          <w:p w:rsidR="00FA178D" w:rsidRPr="00D9569A" w:rsidRDefault="006E1925" w:rsidP="006E1925">
            <w:pPr>
              <w:rPr>
                <w:rFonts w:eastAsia="Times New Roman"/>
                <w:sz w:val="18"/>
                <w:lang w:val="es-ES" w:eastAsia="es-ES"/>
              </w:rPr>
            </w:pPr>
            <w:r w:rsidRPr="00D9569A">
              <w:rPr>
                <w:rFonts w:eastAsia="Times New Roman"/>
                <w:sz w:val="18"/>
                <w:lang w:eastAsia="es-ES"/>
              </w:rPr>
              <w:t xml:space="preserve">En base a la ley 19.300 del Bases del Medio Ambiente, </w:t>
            </w:r>
            <w:r w:rsidR="00C70B66" w:rsidRPr="00D9569A">
              <w:rPr>
                <w:rFonts w:eastAsia="Times New Roman"/>
                <w:sz w:val="18"/>
                <w:lang w:val="es-ES" w:eastAsia="es-ES"/>
              </w:rPr>
              <w:t>las</w:t>
            </w:r>
            <w:r w:rsidRPr="00D9569A">
              <w:rPr>
                <w:rFonts w:eastAsia="Times New Roman"/>
                <w:sz w:val="18"/>
                <w:lang w:val="es-ES" w:eastAsia="es-ES"/>
              </w:rPr>
              <w:t xml:space="preserve"> Normas Secundarias de Calidad Ambiental</w:t>
            </w:r>
            <w:r w:rsidR="00C70B66" w:rsidRPr="00D9569A">
              <w:rPr>
                <w:rFonts w:eastAsia="Times New Roman"/>
                <w:sz w:val="18"/>
                <w:lang w:val="es-ES" w:eastAsia="es-ES"/>
              </w:rPr>
              <w:t xml:space="preserve"> establecen los v</w:t>
            </w:r>
            <w:r w:rsidRPr="00D9569A">
              <w:rPr>
                <w:rFonts w:eastAsia="Times New Roman"/>
                <w:sz w:val="18"/>
                <w:lang w:val="es-ES" w:eastAsia="es-ES"/>
              </w:rPr>
              <w:t>alores de las concentraciones y periodos, máximos o mínimos permisibles de sustancia, elementos, energía o combinación de ellos, cuya presencia carencia en el ambiente pueda constituir un riesgo para la protección o conservación del medio ambiente, o la preservación del medio ambiente, o la preservación de la naturaleza.</w:t>
            </w:r>
          </w:p>
          <w:p w:rsidR="006E1925" w:rsidRPr="00D9569A" w:rsidRDefault="006E1925" w:rsidP="006E1925">
            <w:pPr>
              <w:rPr>
                <w:rFonts w:eastAsia="Times New Roman"/>
                <w:sz w:val="18"/>
                <w:lang w:val="es-ES" w:eastAsia="es-ES"/>
              </w:rPr>
            </w:pPr>
            <w:r w:rsidRPr="00D9569A">
              <w:rPr>
                <w:rFonts w:eastAsia="Times New Roman"/>
                <w:sz w:val="18"/>
                <w:lang w:val="es-ES" w:eastAsia="es-ES"/>
              </w:rPr>
              <w:t>En las Normas Secundarias de Calidad Ambiental para la protección de las aguas continentales y marinas (NSCA) que se están desarrollando en el país, se instituye que una vez que entren en vigencia, dichas normas contarán con un programa de vigilancia. En las definiciones del texto de las NSCA se establece que el programa de vigilancia es un “Programa de monitoreo sistemático, destinado a medir y controlar la calidad de las aguas continentales superficiales en las áreas de vigilancia, en un punto geográfico determinado y en un periodo de tiempo específico. “</w:t>
            </w:r>
          </w:p>
          <w:p w:rsidR="006E1925" w:rsidRPr="00D9569A" w:rsidRDefault="006E1925" w:rsidP="006E1925">
            <w:pPr>
              <w:rPr>
                <w:rFonts w:eastAsia="Times New Roman"/>
                <w:sz w:val="18"/>
                <w:lang w:val="es-ES" w:eastAsia="es-ES"/>
              </w:rPr>
            </w:pPr>
            <w:r w:rsidRPr="00D9569A">
              <w:rPr>
                <w:rFonts w:eastAsia="Times New Roman"/>
                <w:sz w:val="18"/>
                <w:lang w:val="es-ES" w:eastAsia="es-ES"/>
              </w:rPr>
              <w:t>En la región están en elaboración las “Normas secundarias de calidad ambiental para la protección de las aguas de la cuenca del río Mataquito”, en situación de anteproyecto.</w:t>
            </w:r>
          </w:p>
        </w:tc>
      </w:tr>
      <w:tr w:rsidR="00FA178D" w:rsidRPr="00D9569A" w:rsidTr="00B40057">
        <w:trPr>
          <w:trHeight w:val="300"/>
        </w:trPr>
        <w:tc>
          <w:tcPr>
            <w:tcW w:w="9088" w:type="dxa"/>
            <w:gridSpan w:val="3"/>
            <w:shd w:val="clear" w:color="auto" w:fill="F2F2F2" w:themeFill="background1" w:themeFillShade="F2"/>
            <w:noWrap/>
            <w:hideMark/>
          </w:tcPr>
          <w:p w:rsidR="00FA178D" w:rsidRPr="00D9569A" w:rsidRDefault="00FA178D" w:rsidP="00FA178D">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Objetivo General de las Iniciativas Propuestas</w:t>
            </w:r>
          </w:p>
        </w:tc>
      </w:tr>
      <w:tr w:rsidR="00FA178D" w:rsidRPr="00D9569A" w:rsidTr="00B40057">
        <w:trPr>
          <w:trHeight w:val="674"/>
        </w:trPr>
        <w:tc>
          <w:tcPr>
            <w:tcW w:w="9088" w:type="dxa"/>
            <w:gridSpan w:val="3"/>
            <w:shd w:val="clear" w:color="auto" w:fill="auto"/>
            <w:noWrap/>
          </w:tcPr>
          <w:p w:rsidR="00FA178D" w:rsidRPr="00D9569A" w:rsidRDefault="00C70B66" w:rsidP="00D14168">
            <w:pPr>
              <w:rPr>
                <w:rFonts w:eastAsia="Times New Roman"/>
                <w:sz w:val="18"/>
                <w:lang w:eastAsia="es-ES"/>
              </w:rPr>
            </w:pPr>
            <w:r w:rsidRPr="00D9569A">
              <w:rPr>
                <w:rFonts w:eastAsia="Times New Roman"/>
                <w:sz w:val="18"/>
                <w:lang w:eastAsia="es-ES"/>
              </w:rPr>
              <w:t xml:space="preserve">Establece los valores de </w:t>
            </w:r>
            <w:r w:rsidR="00D14168" w:rsidRPr="00D9569A">
              <w:rPr>
                <w:rFonts w:eastAsia="Times New Roman"/>
                <w:sz w:val="18"/>
                <w:lang w:eastAsia="es-ES"/>
              </w:rPr>
              <w:t xml:space="preserve">las concentraciones y períodos, </w:t>
            </w:r>
            <w:r w:rsidRPr="00D9569A">
              <w:rPr>
                <w:rFonts w:eastAsia="Times New Roman"/>
                <w:sz w:val="18"/>
                <w:lang w:eastAsia="es-ES"/>
              </w:rPr>
              <w:t>estándares de calidad para un</w:t>
            </w:r>
            <w:r w:rsidR="00D14168" w:rsidRPr="00D9569A">
              <w:rPr>
                <w:rFonts w:eastAsia="Times New Roman"/>
                <w:sz w:val="18"/>
                <w:lang w:eastAsia="es-ES"/>
              </w:rPr>
              <w:t xml:space="preserve"> </w:t>
            </w:r>
            <w:r w:rsidRPr="00D9569A">
              <w:rPr>
                <w:rFonts w:eastAsia="Times New Roman"/>
                <w:sz w:val="18"/>
                <w:lang w:eastAsia="es-ES"/>
              </w:rPr>
              <w:t>cuerpo de agua específico</w:t>
            </w:r>
            <w:r w:rsidR="00D14168" w:rsidRPr="00D9569A">
              <w:rPr>
                <w:rFonts w:eastAsia="Times New Roman"/>
                <w:sz w:val="18"/>
                <w:lang w:eastAsia="es-ES"/>
              </w:rPr>
              <w:t>.</w:t>
            </w:r>
          </w:p>
        </w:tc>
      </w:tr>
      <w:tr w:rsidR="00FA178D" w:rsidRPr="00D9569A" w:rsidTr="00B40057">
        <w:trPr>
          <w:trHeight w:val="300"/>
        </w:trPr>
        <w:tc>
          <w:tcPr>
            <w:tcW w:w="9088" w:type="dxa"/>
            <w:gridSpan w:val="3"/>
            <w:shd w:val="clear" w:color="auto" w:fill="F2F2F2" w:themeFill="background1" w:themeFillShade="F2"/>
            <w:noWrap/>
            <w:hideMark/>
          </w:tcPr>
          <w:p w:rsidR="00FA178D" w:rsidRPr="00D9569A" w:rsidRDefault="00FA178D" w:rsidP="00FA178D">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Descripción General de las Iniciativas Propuestas</w:t>
            </w:r>
          </w:p>
        </w:tc>
      </w:tr>
      <w:tr w:rsidR="00FA178D" w:rsidRPr="00D9569A" w:rsidTr="00B40057">
        <w:trPr>
          <w:trHeight w:val="1724"/>
        </w:trPr>
        <w:tc>
          <w:tcPr>
            <w:tcW w:w="9088" w:type="dxa"/>
            <w:gridSpan w:val="3"/>
            <w:shd w:val="clear" w:color="auto" w:fill="auto"/>
            <w:noWrap/>
          </w:tcPr>
          <w:p w:rsidR="00FA178D" w:rsidRPr="00D9569A" w:rsidRDefault="00D14168" w:rsidP="00D14168">
            <w:pPr>
              <w:rPr>
                <w:rFonts w:eastAsia="Times New Roman"/>
                <w:sz w:val="18"/>
                <w:lang w:val="es-ES" w:eastAsia="es-ES"/>
              </w:rPr>
            </w:pPr>
            <w:r w:rsidRPr="00D9569A">
              <w:rPr>
                <w:rFonts w:eastAsia="Times New Roman"/>
                <w:sz w:val="18"/>
                <w:lang w:val="es-ES" w:eastAsia="es-ES"/>
              </w:rPr>
              <w:t>Las normas de calidad ambiental definen el estado deseado por la sociedad para un recurso ambiental. En el caso de las aguas, las normas de calidad ambiental deberían definir el estado que éstas deben presentar en los cursos y cuerpos de agua y no de acuerdo con los usos finales que se pretende dar a los recursos hídricos tales como riego, agua potable, vida acuática, recreación con contacto, etc.</w:t>
            </w:r>
          </w:p>
          <w:p w:rsidR="00D14168" w:rsidRPr="00D9569A" w:rsidRDefault="00D14168" w:rsidP="00D14168">
            <w:pPr>
              <w:rPr>
                <w:rFonts w:eastAsia="Times New Roman"/>
                <w:sz w:val="18"/>
                <w:lang w:val="es-ES" w:eastAsia="es-ES"/>
              </w:rPr>
            </w:pPr>
            <w:r w:rsidRPr="00D9569A">
              <w:rPr>
                <w:rFonts w:eastAsia="Times New Roman"/>
                <w:sz w:val="18"/>
                <w:lang w:val="es-ES" w:eastAsia="es-ES"/>
              </w:rPr>
              <w:t>El proceso de dictación de Normas que ha quedado establecido en el DS 93/1995 del Ministerio Secretaría General de la Presidencia, y su proceso queda descrito en la Figura.</w:t>
            </w:r>
          </w:p>
          <w:p w:rsidR="00D14168" w:rsidRPr="00D9569A" w:rsidRDefault="00D14168" w:rsidP="00D14168">
            <w:pPr>
              <w:jc w:val="center"/>
              <w:rPr>
                <w:rFonts w:eastAsia="Times New Roman"/>
                <w:sz w:val="18"/>
                <w:lang w:val="es-ES" w:eastAsia="es-ES"/>
              </w:rPr>
            </w:pPr>
            <w:r w:rsidRPr="00D9569A">
              <w:rPr>
                <w:noProof/>
              </w:rPr>
              <w:lastRenderedPageBreak/>
              <w:drawing>
                <wp:inline distT="0" distB="0" distL="0" distR="0" wp14:anchorId="796F36CA" wp14:editId="1D9F3F8F">
                  <wp:extent cx="5086350" cy="5667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5667375"/>
                          </a:xfrm>
                          <a:prstGeom prst="rect">
                            <a:avLst/>
                          </a:prstGeom>
                        </pic:spPr>
                      </pic:pic>
                    </a:graphicData>
                  </a:graphic>
                </wp:inline>
              </w:drawing>
            </w:r>
          </w:p>
        </w:tc>
      </w:tr>
    </w:tbl>
    <w:p w:rsidR="00FA178D" w:rsidRPr="00D9569A" w:rsidRDefault="00FA178D"/>
    <w:p w:rsidR="00FA178D" w:rsidRPr="00D9569A" w:rsidRDefault="00FA178D"/>
    <w:p w:rsidR="00FA178D" w:rsidRPr="00D9569A" w:rsidRDefault="00FA178D"/>
    <w:tbl>
      <w:tblPr>
        <w:tblW w:w="9098" w:type="dxa"/>
        <w:tblInd w:w="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D9569A" w:rsidRPr="00D9569A" w:rsidTr="00B40057">
        <w:trPr>
          <w:gridBefore w:val="1"/>
          <w:wBefore w:w="10" w:type="dxa"/>
          <w:trHeight w:val="300"/>
        </w:trPr>
        <w:tc>
          <w:tcPr>
            <w:tcW w:w="6786" w:type="dxa"/>
            <w:gridSpan w:val="6"/>
            <w:shd w:val="clear" w:color="auto" w:fill="D9D9D9" w:themeFill="background1" w:themeFillShade="D9"/>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bookmarkStart w:id="0" w:name="_GoBack"/>
            <w:bookmarkEnd w:id="0"/>
            <w:r w:rsidRPr="00D9569A">
              <w:rPr>
                <w:rFonts w:eastAsia="Times New Roman" w:cs="Times New Roman"/>
                <w:b/>
                <w:bCs/>
                <w:color w:val="000000"/>
                <w:sz w:val="18"/>
                <w:szCs w:val="18"/>
                <w:lang w:val="es-ES" w:eastAsia="es-ES"/>
              </w:rPr>
              <w:lastRenderedPageBreak/>
              <w:t>Norma Secundaria Calidad de Aguas Río Maule</w:t>
            </w:r>
          </w:p>
        </w:tc>
        <w:tc>
          <w:tcPr>
            <w:tcW w:w="2302" w:type="dxa"/>
            <w:shd w:val="clear" w:color="auto" w:fill="D9D9D9" w:themeFill="background1" w:themeFillShade="D9"/>
          </w:tcPr>
          <w:p w:rsidR="00D9569A" w:rsidRPr="00D9569A" w:rsidRDefault="00D9569A" w:rsidP="00A62558">
            <w:pPr>
              <w:spacing w:after="0" w:line="240" w:lineRule="auto"/>
              <w:jc w:val="right"/>
              <w:rPr>
                <w:rFonts w:eastAsia="Times New Roman" w:cs="Times New Roman"/>
                <w:b/>
                <w:bCs/>
                <w:color w:val="000000"/>
                <w:sz w:val="24"/>
                <w:szCs w:val="18"/>
                <w:lang w:val="es-ES" w:eastAsia="es-ES"/>
              </w:rPr>
            </w:pPr>
            <w:r w:rsidRPr="00D9569A">
              <w:rPr>
                <w:rFonts w:eastAsia="Times New Roman" w:cs="Times New Roman"/>
                <w:b/>
                <w:bCs/>
                <w:color w:val="000000"/>
                <w:sz w:val="36"/>
                <w:szCs w:val="18"/>
                <w:lang w:val="es-ES" w:eastAsia="es-ES"/>
              </w:rPr>
              <w:t>IN46</w:t>
            </w:r>
          </w:p>
        </w:tc>
      </w:tr>
      <w:tr w:rsidR="00D9569A" w:rsidRPr="00D9569A" w:rsidTr="00B40057">
        <w:trPr>
          <w:gridBefore w:val="1"/>
          <w:wBefore w:w="10" w:type="dxa"/>
          <w:trHeight w:val="300"/>
        </w:trPr>
        <w:tc>
          <w:tcPr>
            <w:tcW w:w="2387" w:type="dxa"/>
            <w:gridSpan w:val="2"/>
            <w:shd w:val="clear" w:color="auto" w:fill="auto"/>
            <w:noWrap/>
            <w:hideMark/>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No Estructural</w:t>
            </w:r>
          </w:p>
        </w:tc>
        <w:tc>
          <w:tcPr>
            <w:tcW w:w="2166" w:type="dxa"/>
            <w:gridSpan w:val="2"/>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
                <w:bCs/>
                <w:color w:val="000000"/>
                <w:sz w:val="18"/>
                <w:szCs w:val="18"/>
                <w:lang w:val="es-ES" w:eastAsia="es-ES"/>
              </w:rPr>
              <w:t>Tipología de Inversión</w:t>
            </w:r>
          </w:p>
        </w:tc>
        <w:tc>
          <w:tcPr>
            <w:tcW w:w="2302" w:type="dxa"/>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Estudio Básico</w:t>
            </w:r>
          </w:p>
        </w:tc>
      </w:tr>
      <w:tr w:rsidR="00D9569A" w:rsidRPr="00D9569A" w:rsidTr="00B40057">
        <w:trPr>
          <w:gridBefore w:val="1"/>
          <w:wBefore w:w="10" w:type="dxa"/>
          <w:trHeight w:val="300"/>
        </w:trPr>
        <w:tc>
          <w:tcPr>
            <w:tcW w:w="2387" w:type="dxa"/>
            <w:gridSpan w:val="2"/>
            <w:shd w:val="clear" w:color="auto" w:fill="auto"/>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Cartera Sectorial</w:t>
            </w:r>
          </w:p>
        </w:tc>
        <w:tc>
          <w:tcPr>
            <w:tcW w:w="2233" w:type="dxa"/>
            <w:gridSpan w:val="2"/>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 xml:space="preserve">Entidad Responsable </w:t>
            </w:r>
          </w:p>
        </w:tc>
        <w:tc>
          <w:tcPr>
            <w:tcW w:w="2302" w:type="dxa"/>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MMA</w:t>
            </w:r>
          </w:p>
        </w:tc>
      </w:tr>
      <w:tr w:rsidR="00D9569A" w:rsidRPr="00D9569A" w:rsidTr="00B40057">
        <w:trPr>
          <w:gridBefore w:val="1"/>
          <w:wBefore w:w="10" w:type="dxa"/>
          <w:trHeight w:val="300"/>
        </w:trPr>
        <w:tc>
          <w:tcPr>
            <w:tcW w:w="2387" w:type="dxa"/>
            <w:gridSpan w:val="2"/>
            <w:shd w:val="clear" w:color="auto" w:fill="auto"/>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Situación</w:t>
            </w:r>
          </w:p>
        </w:tc>
        <w:tc>
          <w:tcPr>
            <w:tcW w:w="2233" w:type="dxa"/>
            <w:gridSpan w:val="2"/>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Anteproyecto</w:t>
            </w:r>
          </w:p>
        </w:tc>
        <w:tc>
          <w:tcPr>
            <w:tcW w:w="2166" w:type="dxa"/>
            <w:gridSpan w:val="2"/>
            <w:shd w:val="clear" w:color="auto" w:fill="auto"/>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Sectorial MMA</w:t>
            </w:r>
            <w:r>
              <w:rPr>
                <w:rFonts w:eastAsia="Times New Roman" w:cs="Times New Roman"/>
                <w:bCs/>
                <w:color w:val="000000"/>
                <w:sz w:val="18"/>
                <w:szCs w:val="18"/>
                <w:lang w:val="es-ES" w:eastAsia="es-ES"/>
              </w:rPr>
              <w:t xml:space="preserve"> / FNDR </w:t>
            </w:r>
          </w:p>
        </w:tc>
      </w:tr>
      <w:tr w:rsidR="00D9569A" w:rsidRPr="00D9569A" w:rsidTr="00B40057">
        <w:trPr>
          <w:gridBefore w:val="1"/>
          <w:wBefore w:w="10" w:type="dxa"/>
          <w:trHeight w:val="177"/>
        </w:trPr>
        <w:tc>
          <w:tcPr>
            <w:tcW w:w="2387" w:type="dxa"/>
            <w:gridSpan w:val="2"/>
            <w:shd w:val="clear" w:color="auto" w:fill="auto"/>
            <w:noWrap/>
            <w:hideMark/>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Establece los valores de las concentraciones y períodos, estándares de calidad para un cuerpo de agua específico, Rio Maule y afluentes</w:t>
            </w:r>
          </w:p>
        </w:tc>
      </w:tr>
      <w:tr w:rsidR="00D9569A" w:rsidRPr="00D9569A" w:rsidTr="00B40057">
        <w:trPr>
          <w:gridBefore w:val="1"/>
          <w:wBefore w:w="10" w:type="dxa"/>
          <w:trHeight w:val="300"/>
        </w:trPr>
        <w:tc>
          <w:tcPr>
            <w:tcW w:w="2387" w:type="dxa"/>
            <w:gridSpan w:val="2"/>
            <w:shd w:val="clear" w:color="auto" w:fill="auto"/>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D9569A" w:rsidRPr="00D9569A" w:rsidRDefault="00D9569A"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 agua de la cuenca del Río Maule </w:t>
            </w:r>
          </w:p>
        </w:tc>
      </w:tr>
      <w:tr w:rsidR="00D9569A" w:rsidRPr="00D9569A" w:rsidTr="00B40057">
        <w:trPr>
          <w:gridBefore w:val="1"/>
          <w:wBefore w:w="10" w:type="dxa"/>
          <w:trHeight w:val="300"/>
        </w:trPr>
        <w:tc>
          <w:tcPr>
            <w:tcW w:w="2387" w:type="dxa"/>
            <w:gridSpan w:val="2"/>
            <w:shd w:val="clear" w:color="auto" w:fill="auto"/>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D9569A" w:rsidRPr="00D9569A" w:rsidRDefault="00D9569A" w:rsidP="00D9569A">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 xml:space="preserve">Cuenca Rio </w:t>
            </w:r>
            <w:r>
              <w:rPr>
                <w:rFonts w:eastAsia="Times New Roman" w:cs="Times New Roman"/>
                <w:bCs/>
                <w:color w:val="000000"/>
                <w:sz w:val="18"/>
                <w:szCs w:val="18"/>
                <w:lang w:val="es-ES" w:eastAsia="es-ES"/>
              </w:rPr>
              <w:t>Maule</w:t>
            </w:r>
          </w:p>
        </w:tc>
      </w:tr>
      <w:tr w:rsidR="00D9569A" w:rsidRPr="00D9569A" w:rsidTr="00B40057">
        <w:trPr>
          <w:gridBefore w:val="1"/>
          <w:wBefore w:w="10" w:type="dxa"/>
          <w:trHeight w:val="300"/>
        </w:trPr>
        <w:tc>
          <w:tcPr>
            <w:tcW w:w="2387" w:type="dxa"/>
            <w:gridSpan w:val="2"/>
            <w:shd w:val="clear" w:color="auto" w:fill="auto"/>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D9569A" w:rsidRPr="00D9569A" w:rsidRDefault="00D9569A" w:rsidP="00A62558">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36 meses </w:t>
            </w:r>
          </w:p>
        </w:tc>
      </w:tr>
      <w:tr w:rsidR="00D9569A" w:rsidRPr="00D9569A" w:rsidTr="00B40057">
        <w:trPr>
          <w:gridBefore w:val="1"/>
          <w:wBefore w:w="10" w:type="dxa"/>
          <w:trHeight w:val="300"/>
        </w:trPr>
        <w:tc>
          <w:tcPr>
            <w:tcW w:w="2387" w:type="dxa"/>
            <w:gridSpan w:val="2"/>
            <w:shd w:val="clear" w:color="auto" w:fill="auto"/>
            <w:noWrap/>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 xml:space="preserve">Monto Total de Inversión </w:t>
            </w:r>
            <w:r w:rsidRPr="00D9569A">
              <w:rPr>
                <w:rFonts w:eastAsia="Times New Roman" w:cs="Times New Roman"/>
                <w:bCs/>
                <w:color w:val="000000"/>
                <w:sz w:val="14"/>
                <w:szCs w:val="18"/>
                <w:lang w:val="es-ES" w:eastAsia="es-ES"/>
              </w:rPr>
              <w:t>Millones de $</w:t>
            </w:r>
          </w:p>
        </w:tc>
        <w:tc>
          <w:tcPr>
            <w:tcW w:w="6701" w:type="dxa"/>
            <w:gridSpan w:val="5"/>
            <w:shd w:val="clear" w:color="auto" w:fill="auto"/>
            <w:noWrap/>
          </w:tcPr>
          <w:p w:rsidR="00D9569A" w:rsidRPr="00D9569A" w:rsidRDefault="00D9569A" w:rsidP="00AB0E16">
            <w:pPr>
              <w:spacing w:after="0" w:line="240" w:lineRule="auto"/>
              <w:jc w:val="left"/>
              <w:rPr>
                <w:rFonts w:eastAsia="Times New Roman" w:cs="Times New Roman"/>
                <w:bCs/>
                <w:color w:val="000000"/>
                <w:sz w:val="18"/>
                <w:szCs w:val="18"/>
                <w:lang w:val="es-ES" w:eastAsia="es-ES"/>
              </w:rPr>
            </w:pPr>
            <w:r w:rsidRPr="00D9569A">
              <w:rPr>
                <w:rFonts w:eastAsia="Times New Roman" w:cs="Times New Roman"/>
                <w:bCs/>
                <w:color w:val="000000"/>
                <w:sz w:val="18"/>
                <w:szCs w:val="18"/>
                <w:lang w:val="es-ES" w:eastAsia="es-ES"/>
              </w:rPr>
              <w:t>$ 600</w:t>
            </w:r>
            <w:r w:rsidR="00AB0E16">
              <w:rPr>
                <w:rFonts w:eastAsia="Times New Roman" w:cs="Times New Roman"/>
                <w:bCs/>
                <w:color w:val="000000"/>
                <w:sz w:val="18"/>
                <w:szCs w:val="18"/>
                <w:lang w:val="es-ES" w:eastAsia="es-ES"/>
              </w:rPr>
              <w:t xml:space="preserve">.000.000.- (seiscientos </w:t>
            </w:r>
            <w:r>
              <w:rPr>
                <w:rFonts w:eastAsia="Times New Roman" w:cs="Times New Roman"/>
                <w:bCs/>
                <w:color w:val="000000"/>
                <w:sz w:val="18"/>
                <w:szCs w:val="18"/>
                <w:lang w:val="es-ES" w:eastAsia="es-ES"/>
              </w:rPr>
              <w:t>millones de pesos</w:t>
            </w:r>
            <w:r w:rsidR="00AB0E16">
              <w:rPr>
                <w:rFonts w:eastAsia="Times New Roman" w:cs="Times New Roman"/>
                <w:bCs/>
                <w:color w:val="000000"/>
                <w:sz w:val="18"/>
                <w:szCs w:val="18"/>
                <w:lang w:val="es-ES" w:eastAsia="es-ES"/>
              </w:rPr>
              <w:t xml:space="preserve">) </w:t>
            </w:r>
            <w:r>
              <w:rPr>
                <w:rFonts w:eastAsia="Times New Roman" w:cs="Times New Roman"/>
                <w:bCs/>
                <w:color w:val="000000"/>
                <w:sz w:val="18"/>
                <w:szCs w:val="18"/>
                <w:lang w:val="es-ES" w:eastAsia="es-ES"/>
              </w:rPr>
              <w:t xml:space="preserve"> </w:t>
            </w:r>
          </w:p>
        </w:tc>
      </w:tr>
      <w:tr w:rsidR="00D9569A" w:rsidRPr="00D9569A" w:rsidTr="00B40057">
        <w:trPr>
          <w:gridBefore w:val="1"/>
          <w:wBefore w:w="10" w:type="dxa"/>
          <w:trHeight w:val="300"/>
        </w:trPr>
        <w:tc>
          <w:tcPr>
            <w:tcW w:w="9088" w:type="dxa"/>
            <w:gridSpan w:val="7"/>
            <w:shd w:val="clear" w:color="auto" w:fill="auto"/>
            <w:noWrap/>
            <w:vAlign w:val="center"/>
            <w:hideMark/>
          </w:tcPr>
          <w:p w:rsidR="00D9569A" w:rsidRPr="00D9569A" w:rsidRDefault="00D9569A" w:rsidP="00A62558">
            <w:pPr>
              <w:spacing w:after="0" w:line="240" w:lineRule="auto"/>
              <w:jc w:val="left"/>
              <w:rPr>
                <w:rFonts w:eastAsia="Times New Roman" w:cs="Times New Roman"/>
                <w:b/>
                <w:bCs/>
                <w:color w:val="000000"/>
                <w:sz w:val="18"/>
                <w:szCs w:val="18"/>
                <w:lang w:val="es-ES" w:eastAsia="es-ES"/>
              </w:rPr>
            </w:pPr>
            <w:r w:rsidRPr="00D9569A">
              <w:rPr>
                <w:rFonts w:eastAsia="Times New Roman" w:cs="Times New Roman"/>
                <w:b/>
                <w:bCs/>
                <w:color w:val="000000"/>
                <w:sz w:val="18"/>
                <w:szCs w:val="18"/>
                <w:lang w:val="es-ES" w:eastAsia="es-ES"/>
              </w:rPr>
              <w:t>Descripción</w:t>
            </w:r>
          </w:p>
        </w:tc>
      </w:tr>
      <w:tr w:rsidR="00D9569A" w:rsidRPr="00D9569A" w:rsidTr="00B40057">
        <w:trPr>
          <w:gridBefore w:val="1"/>
          <w:wBefore w:w="10" w:type="dxa"/>
          <w:trHeight w:val="586"/>
        </w:trPr>
        <w:tc>
          <w:tcPr>
            <w:tcW w:w="9088" w:type="dxa"/>
            <w:gridSpan w:val="7"/>
            <w:shd w:val="clear" w:color="auto" w:fill="auto"/>
            <w:vAlign w:val="center"/>
          </w:tcPr>
          <w:p w:rsidR="00D9569A" w:rsidRPr="00D9569A" w:rsidRDefault="00D9569A" w:rsidP="00A62558">
            <w:pPr>
              <w:spacing w:after="0" w:line="240" w:lineRule="auto"/>
              <w:rPr>
                <w:rFonts w:eastAsia="Times New Roman" w:cs="Times New Roman"/>
                <w:color w:val="000000"/>
                <w:sz w:val="18"/>
                <w:szCs w:val="18"/>
                <w:lang w:val="es-ES" w:eastAsia="es-ES"/>
              </w:rPr>
            </w:pPr>
            <w:r w:rsidRPr="00D9569A">
              <w:rPr>
                <w:rFonts w:eastAsia="Times New Roman" w:cs="Times New Roman"/>
                <w:color w:val="000000"/>
                <w:sz w:val="18"/>
                <w:szCs w:val="18"/>
                <w:lang w:val="es-ES" w:eastAsia="es-ES"/>
              </w:rPr>
              <w:t>La iniciativa precisa de diferentes procesos dependientes:</w:t>
            </w:r>
          </w:p>
          <w:p w:rsidR="00D9569A" w:rsidRPr="00D9569A" w:rsidRDefault="00D9569A" w:rsidP="00A62558">
            <w:pPr>
              <w:spacing w:after="0" w:line="240" w:lineRule="auto"/>
              <w:rPr>
                <w:rFonts w:eastAsia="Times New Roman" w:cs="Times New Roman"/>
                <w:color w:val="000000"/>
                <w:sz w:val="18"/>
                <w:szCs w:val="18"/>
                <w:lang w:val="es-ES" w:eastAsia="es-ES"/>
              </w:rPr>
            </w:pPr>
            <w:r w:rsidRPr="00D9569A">
              <w:rPr>
                <w:rFonts w:eastAsia="Times New Roman" w:cs="Times New Roman"/>
                <w:color w:val="000000"/>
                <w:sz w:val="18"/>
                <w:szCs w:val="18"/>
                <w:lang w:val="es-ES" w:eastAsia="es-ES"/>
              </w:rPr>
              <w:t>- Proceso de Elaboración anteproyecto norma</w:t>
            </w:r>
          </w:p>
          <w:p w:rsidR="00D9569A" w:rsidRPr="00D9569A" w:rsidRDefault="00D9569A" w:rsidP="00A62558">
            <w:pPr>
              <w:spacing w:after="0" w:line="240" w:lineRule="auto"/>
              <w:rPr>
                <w:rFonts w:eastAsia="Times New Roman" w:cs="Times New Roman"/>
                <w:color w:val="000000"/>
                <w:sz w:val="18"/>
                <w:szCs w:val="18"/>
                <w:lang w:val="es-ES" w:eastAsia="es-ES"/>
              </w:rPr>
            </w:pPr>
            <w:r w:rsidRPr="00D9569A">
              <w:rPr>
                <w:rFonts w:eastAsia="Times New Roman" w:cs="Times New Roman"/>
                <w:color w:val="000000"/>
                <w:sz w:val="18"/>
                <w:szCs w:val="18"/>
                <w:lang w:val="es-ES" w:eastAsia="es-ES"/>
              </w:rPr>
              <w:t>- Proceso de consulta Elaboración anteproyecto norma</w:t>
            </w:r>
          </w:p>
          <w:p w:rsidR="00D9569A" w:rsidRPr="00D9569A" w:rsidRDefault="00D9569A" w:rsidP="00A62558">
            <w:pPr>
              <w:spacing w:after="0" w:line="240" w:lineRule="auto"/>
              <w:rPr>
                <w:rFonts w:eastAsia="Times New Roman" w:cs="Times New Roman"/>
                <w:color w:val="000000"/>
                <w:sz w:val="18"/>
                <w:szCs w:val="18"/>
                <w:lang w:val="es-ES" w:eastAsia="es-ES"/>
              </w:rPr>
            </w:pPr>
            <w:r w:rsidRPr="00D9569A">
              <w:rPr>
                <w:rFonts w:eastAsia="Times New Roman" w:cs="Times New Roman"/>
                <w:color w:val="000000"/>
                <w:sz w:val="18"/>
                <w:szCs w:val="18"/>
                <w:lang w:val="es-ES" w:eastAsia="es-ES"/>
              </w:rPr>
              <w:t>- Proceso de Elaboración definitivo norma</w:t>
            </w:r>
          </w:p>
          <w:p w:rsidR="00D9569A" w:rsidRPr="00D9569A" w:rsidRDefault="00D9569A" w:rsidP="00A62558">
            <w:pPr>
              <w:spacing w:after="0" w:line="240" w:lineRule="auto"/>
              <w:rPr>
                <w:rFonts w:eastAsia="Times New Roman" w:cs="Times New Roman"/>
                <w:color w:val="000000"/>
                <w:sz w:val="18"/>
                <w:szCs w:val="18"/>
                <w:lang w:val="es-ES" w:eastAsia="es-ES"/>
              </w:rPr>
            </w:pPr>
          </w:p>
        </w:tc>
      </w:tr>
      <w:tr w:rsidR="00D9569A" w:rsidRPr="00D9569A" w:rsidTr="00B40057">
        <w:trPr>
          <w:gridBefore w:val="1"/>
          <w:wBefore w:w="10" w:type="dxa"/>
          <w:trHeight w:val="586"/>
        </w:trPr>
        <w:tc>
          <w:tcPr>
            <w:tcW w:w="9088" w:type="dxa"/>
            <w:gridSpan w:val="7"/>
            <w:shd w:val="clear" w:color="auto" w:fill="auto"/>
            <w:vAlign w:val="center"/>
          </w:tcPr>
          <w:p w:rsidR="00D9569A" w:rsidRPr="00D9569A" w:rsidRDefault="00D9569A" w:rsidP="00A62558">
            <w:pPr>
              <w:spacing w:after="0" w:line="240" w:lineRule="auto"/>
              <w:jc w:val="left"/>
              <w:rPr>
                <w:rFonts w:eastAsia="Times New Roman" w:cs="Times New Roman"/>
                <w:b/>
                <w:color w:val="000000"/>
                <w:sz w:val="18"/>
                <w:szCs w:val="18"/>
                <w:lang w:val="es-ES" w:eastAsia="es-ES"/>
              </w:rPr>
            </w:pPr>
            <w:r w:rsidRPr="00D9569A">
              <w:rPr>
                <w:rFonts w:eastAsia="Times New Roman" w:cs="Times New Roman"/>
                <w:b/>
                <w:color w:val="000000"/>
                <w:sz w:val="18"/>
                <w:szCs w:val="18"/>
                <w:lang w:val="es-ES" w:eastAsia="es-ES"/>
              </w:rPr>
              <w:t>Presupuesto</w:t>
            </w:r>
          </w:p>
        </w:tc>
      </w:tr>
      <w:tr w:rsidR="00D9569A" w:rsidRPr="00D9569A" w:rsidTr="00B40057">
        <w:trPr>
          <w:gridBefore w:val="1"/>
          <w:wBefore w:w="10" w:type="dxa"/>
          <w:trHeight w:val="586"/>
        </w:trPr>
        <w:tc>
          <w:tcPr>
            <w:tcW w:w="9088" w:type="dxa"/>
            <w:gridSpan w:val="7"/>
            <w:shd w:val="clear" w:color="auto" w:fill="auto"/>
            <w:vAlign w:val="center"/>
          </w:tcPr>
          <w:p w:rsidR="00D9569A" w:rsidRDefault="00CB6FC5"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Se estimó el costo total de formulación de la norma en $600 millones de pesos, según el siguiente detalle.</w:t>
            </w:r>
          </w:p>
          <w:p w:rsidR="00CB6FC5" w:rsidRDefault="00CB6FC5" w:rsidP="00A62558">
            <w:pPr>
              <w:spacing w:after="0" w:line="240" w:lineRule="auto"/>
              <w:rPr>
                <w:rFonts w:eastAsia="Times New Roman" w:cs="Times New Roman"/>
                <w:color w:val="000000"/>
                <w:sz w:val="18"/>
                <w:szCs w:val="18"/>
                <w:lang w:val="es-ES" w:eastAsia="es-ES"/>
              </w:rPr>
            </w:pPr>
          </w:p>
          <w:tbl>
            <w:tblPr>
              <w:tblW w:w="8801" w:type="dxa"/>
              <w:tblCellMar>
                <w:left w:w="70" w:type="dxa"/>
                <w:right w:w="70" w:type="dxa"/>
              </w:tblCellMar>
              <w:tblLook w:val="04A0" w:firstRow="1" w:lastRow="0" w:firstColumn="1" w:lastColumn="0" w:noHBand="0" w:noVBand="1"/>
            </w:tblPr>
            <w:tblGrid>
              <w:gridCol w:w="3701"/>
              <w:gridCol w:w="1200"/>
              <w:gridCol w:w="1200"/>
              <w:gridCol w:w="1500"/>
              <w:gridCol w:w="1200"/>
            </w:tblGrid>
            <w:tr w:rsidR="00CB6FC5" w:rsidRPr="00CB6FC5" w:rsidTr="00CB6FC5">
              <w:trPr>
                <w:trHeight w:val="465"/>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6FC5" w:rsidRPr="00CB6FC5" w:rsidRDefault="00CB6FC5" w:rsidP="00CB6FC5">
                  <w:pPr>
                    <w:spacing w:after="0" w:line="240" w:lineRule="auto"/>
                    <w:jc w:val="center"/>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CB6FC5" w:rsidRPr="00CB6FC5" w:rsidRDefault="00CB6FC5" w:rsidP="00CB6FC5">
                  <w:pPr>
                    <w:spacing w:after="0" w:line="240" w:lineRule="auto"/>
                    <w:jc w:val="center"/>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CB6FC5" w:rsidRPr="00CB6FC5" w:rsidRDefault="00CB6FC5" w:rsidP="00CB6FC5">
                  <w:pPr>
                    <w:spacing w:after="0" w:line="240" w:lineRule="auto"/>
                    <w:jc w:val="center"/>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CB6FC5" w:rsidRPr="00CB6FC5" w:rsidRDefault="00CB6FC5" w:rsidP="00CB6FC5">
                  <w:pPr>
                    <w:spacing w:after="0" w:line="240" w:lineRule="auto"/>
                    <w:jc w:val="center"/>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Precio Unitario</w:t>
                  </w:r>
                  <w:r w:rsidRPr="00CB6FC5">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CB6FC5" w:rsidRPr="00CB6FC5" w:rsidRDefault="00CB6FC5" w:rsidP="00CB6FC5">
                  <w:pPr>
                    <w:spacing w:after="0" w:line="240" w:lineRule="auto"/>
                    <w:jc w:val="center"/>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Precio Total</w:t>
                  </w:r>
                  <w:r w:rsidRPr="00CB6FC5">
                    <w:rPr>
                      <w:rFonts w:ascii="Calibri" w:eastAsia="Times New Roman" w:hAnsi="Calibri" w:cs="Times New Roman"/>
                      <w:color w:val="000000"/>
                      <w:sz w:val="16"/>
                      <w:szCs w:val="16"/>
                    </w:rPr>
                    <w:t xml:space="preserve"> (Millones de $)</w:t>
                  </w:r>
                </w:p>
              </w:tc>
            </w:tr>
            <w:tr w:rsidR="00CB6FC5" w:rsidRPr="00CB6FC5" w:rsidTr="00CB6FC5">
              <w:trPr>
                <w:trHeight w:val="205"/>
              </w:trPr>
              <w:tc>
                <w:tcPr>
                  <w:tcW w:w="3701" w:type="dxa"/>
                  <w:tcBorders>
                    <w:top w:val="nil"/>
                    <w:left w:val="single" w:sz="4" w:space="0" w:color="auto"/>
                    <w:bottom w:val="single" w:sz="4" w:space="0" w:color="auto"/>
                    <w:right w:val="single" w:sz="4" w:space="0" w:color="auto"/>
                  </w:tcBorders>
                  <w:shd w:val="clear" w:color="auto" w:fill="auto"/>
                  <w:vAlign w:val="bottom"/>
                  <w:hideMark/>
                </w:tcPr>
                <w:p w:rsidR="00CB6FC5" w:rsidRPr="00CB6FC5" w:rsidRDefault="00CB6FC5" w:rsidP="00CB6FC5">
                  <w:pPr>
                    <w:spacing w:after="0" w:line="240" w:lineRule="auto"/>
                    <w:jc w:val="left"/>
                    <w:rPr>
                      <w:rFonts w:ascii="Calibri" w:eastAsia="Times New Roman" w:hAnsi="Calibri" w:cs="Times New Roman"/>
                      <w:color w:val="000000"/>
                      <w:sz w:val="16"/>
                      <w:szCs w:val="16"/>
                    </w:rPr>
                  </w:pPr>
                  <w:r w:rsidRPr="00CB6FC5">
                    <w:rPr>
                      <w:rFonts w:ascii="Calibri" w:eastAsia="Times New Roman" w:hAnsi="Calibri" w:cs="Times New Roman"/>
                      <w:color w:val="000000"/>
                      <w:sz w:val="16"/>
                      <w:szCs w:val="16"/>
                      <w:lang w:val="es-ES"/>
                    </w:rPr>
                    <w:t>Proceso de Elaboración anteproyecto norma</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GL</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100 </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100 </w:t>
                  </w:r>
                </w:p>
              </w:tc>
            </w:tr>
            <w:tr w:rsidR="00CB6FC5" w:rsidRPr="00CB6FC5" w:rsidTr="00CB6FC5">
              <w:trPr>
                <w:cantSplit/>
                <w:trHeight w:val="407"/>
              </w:trPr>
              <w:tc>
                <w:tcPr>
                  <w:tcW w:w="3701" w:type="dxa"/>
                  <w:tcBorders>
                    <w:top w:val="nil"/>
                    <w:left w:val="single" w:sz="4" w:space="0" w:color="auto"/>
                    <w:bottom w:val="single" w:sz="4" w:space="0" w:color="auto"/>
                    <w:right w:val="single" w:sz="4" w:space="0" w:color="auto"/>
                  </w:tcBorders>
                  <w:shd w:val="clear" w:color="auto" w:fill="auto"/>
                  <w:vAlign w:val="bottom"/>
                  <w:hideMark/>
                </w:tcPr>
                <w:p w:rsidR="00CB6FC5" w:rsidRPr="00CB6FC5" w:rsidRDefault="00CB6FC5" w:rsidP="00CB6FC5">
                  <w:pPr>
                    <w:spacing w:after="0" w:line="240" w:lineRule="auto"/>
                    <w:jc w:val="left"/>
                    <w:rPr>
                      <w:rFonts w:ascii="Calibri" w:eastAsia="Times New Roman" w:hAnsi="Calibri" w:cs="Times New Roman"/>
                      <w:color w:val="000000"/>
                      <w:sz w:val="16"/>
                      <w:szCs w:val="16"/>
                    </w:rPr>
                  </w:pPr>
                  <w:r w:rsidRPr="00CB6FC5">
                    <w:rPr>
                      <w:rFonts w:ascii="Calibri" w:eastAsia="Times New Roman" w:hAnsi="Calibri" w:cs="Times New Roman"/>
                      <w:color w:val="000000"/>
                      <w:sz w:val="16"/>
                      <w:szCs w:val="16"/>
                      <w:lang w:val="es-ES"/>
                    </w:rPr>
                    <w:t>Proceso de consulta Elaboración anteproyecto norma</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GL</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200 </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200 </w:t>
                  </w:r>
                </w:p>
              </w:tc>
            </w:tr>
            <w:tr w:rsidR="00CB6FC5" w:rsidRPr="00CB6FC5" w:rsidTr="00CB6FC5">
              <w:trPr>
                <w:cantSplit/>
                <w:trHeight w:val="272"/>
              </w:trPr>
              <w:tc>
                <w:tcPr>
                  <w:tcW w:w="3701" w:type="dxa"/>
                  <w:tcBorders>
                    <w:top w:val="nil"/>
                    <w:left w:val="single" w:sz="4" w:space="0" w:color="auto"/>
                    <w:bottom w:val="single" w:sz="4" w:space="0" w:color="auto"/>
                    <w:right w:val="single" w:sz="4" w:space="0" w:color="auto"/>
                  </w:tcBorders>
                  <w:shd w:val="clear" w:color="auto" w:fill="auto"/>
                  <w:vAlign w:val="bottom"/>
                  <w:hideMark/>
                </w:tcPr>
                <w:p w:rsidR="00CB6FC5" w:rsidRPr="00CB6FC5" w:rsidRDefault="00CB6FC5" w:rsidP="00CB6FC5">
                  <w:pPr>
                    <w:spacing w:after="0" w:line="240" w:lineRule="auto"/>
                    <w:jc w:val="left"/>
                    <w:rPr>
                      <w:rFonts w:ascii="Calibri" w:eastAsia="Times New Roman" w:hAnsi="Calibri" w:cs="Times New Roman"/>
                      <w:color w:val="000000"/>
                      <w:sz w:val="16"/>
                      <w:szCs w:val="16"/>
                    </w:rPr>
                  </w:pPr>
                  <w:r w:rsidRPr="00CB6FC5">
                    <w:rPr>
                      <w:rFonts w:ascii="Calibri" w:eastAsia="Times New Roman" w:hAnsi="Calibri" w:cs="Times New Roman"/>
                      <w:color w:val="000000"/>
                      <w:sz w:val="16"/>
                      <w:szCs w:val="16"/>
                      <w:lang w:val="es-ES"/>
                    </w:rPr>
                    <w:t>Proceso de Elaboración definitivo norma</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GL</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300 </w:t>
                  </w:r>
                </w:p>
              </w:tc>
              <w:tc>
                <w:tcPr>
                  <w:tcW w:w="1200" w:type="dxa"/>
                  <w:tcBorders>
                    <w:top w:val="nil"/>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xml:space="preserve">                  300 </w:t>
                  </w:r>
                </w:p>
              </w:tc>
            </w:tr>
            <w:tr w:rsidR="00CB6FC5" w:rsidRPr="00CB6FC5" w:rsidTr="00CB6FC5">
              <w:trPr>
                <w:trHeight w:val="300"/>
              </w:trPr>
              <w:tc>
                <w:tcPr>
                  <w:tcW w:w="3701" w:type="dxa"/>
                  <w:tcBorders>
                    <w:top w:val="single" w:sz="4" w:space="0" w:color="auto"/>
                    <w:left w:val="single" w:sz="4" w:space="0" w:color="auto"/>
                    <w:bottom w:val="single" w:sz="4" w:space="0" w:color="auto"/>
                    <w:right w:val="nil"/>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CB6FC5" w:rsidRPr="00CB6FC5" w:rsidRDefault="00CB6FC5" w:rsidP="00CB6FC5">
                  <w:pPr>
                    <w:spacing w:after="0" w:line="240" w:lineRule="auto"/>
                    <w:jc w:val="left"/>
                    <w:rPr>
                      <w:rFonts w:ascii="Calibri" w:eastAsia="Times New Roman" w:hAnsi="Calibri" w:cs="Times New Roman"/>
                      <w:color w:val="000000"/>
                      <w:sz w:val="18"/>
                      <w:szCs w:val="18"/>
                    </w:rPr>
                  </w:pPr>
                  <w:r w:rsidRPr="00CB6FC5">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CB6FC5" w:rsidRPr="00CB6FC5" w:rsidRDefault="00CB6FC5" w:rsidP="00CB6FC5">
                  <w:pPr>
                    <w:spacing w:after="0" w:line="240" w:lineRule="auto"/>
                    <w:jc w:val="left"/>
                    <w:rPr>
                      <w:rFonts w:ascii="Calibri" w:eastAsia="Times New Roman" w:hAnsi="Calibri" w:cs="Times New Roman"/>
                      <w:b/>
                      <w:bCs/>
                      <w:color w:val="000000"/>
                      <w:sz w:val="18"/>
                      <w:szCs w:val="18"/>
                    </w:rPr>
                  </w:pPr>
                  <w:r w:rsidRPr="00CB6FC5">
                    <w:rPr>
                      <w:rFonts w:ascii="Calibri" w:eastAsia="Times New Roman" w:hAnsi="Calibri" w:cs="Times New Roman"/>
                      <w:b/>
                      <w:bCs/>
                      <w:color w:val="000000"/>
                      <w:sz w:val="18"/>
                      <w:szCs w:val="18"/>
                    </w:rPr>
                    <w:t xml:space="preserve">               600,0 </w:t>
                  </w:r>
                </w:p>
              </w:tc>
            </w:tr>
          </w:tbl>
          <w:p w:rsidR="00CB6FC5" w:rsidRDefault="00CB6FC5" w:rsidP="00A62558">
            <w:pPr>
              <w:spacing w:after="0" w:line="240" w:lineRule="auto"/>
              <w:rPr>
                <w:rFonts w:eastAsia="Times New Roman" w:cs="Times New Roman"/>
                <w:color w:val="000000"/>
                <w:sz w:val="18"/>
                <w:szCs w:val="18"/>
                <w:lang w:val="es-ES" w:eastAsia="es-ES"/>
              </w:rPr>
            </w:pPr>
          </w:p>
          <w:p w:rsidR="00CB6FC5" w:rsidRPr="00D9569A" w:rsidRDefault="00CB6FC5" w:rsidP="00A62558">
            <w:pPr>
              <w:spacing w:after="0" w:line="240" w:lineRule="auto"/>
              <w:rPr>
                <w:rFonts w:eastAsia="Times New Roman" w:cs="Times New Roman"/>
                <w:color w:val="000000"/>
                <w:sz w:val="18"/>
                <w:szCs w:val="18"/>
                <w:lang w:val="es-ES" w:eastAsia="es-ES"/>
              </w:rPr>
            </w:pPr>
          </w:p>
        </w:tc>
      </w:tr>
      <w:tr w:rsidR="00CB6FC5" w:rsidRPr="009F2FC1" w:rsidTr="00B40057">
        <w:trPr>
          <w:trHeight w:val="586"/>
        </w:trPr>
        <w:tc>
          <w:tcPr>
            <w:tcW w:w="2317" w:type="dxa"/>
            <w:gridSpan w:val="2"/>
            <w:shd w:val="clear" w:color="auto" w:fill="auto"/>
            <w:vAlign w:val="center"/>
          </w:tcPr>
          <w:p w:rsidR="00CB6FC5" w:rsidRPr="009F2FC1" w:rsidRDefault="00CB6FC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CB6FC5" w:rsidRPr="009F2FC1" w:rsidRDefault="00CB6FC5" w:rsidP="00CB6FC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524 millones de pesos </w:t>
            </w:r>
          </w:p>
        </w:tc>
        <w:tc>
          <w:tcPr>
            <w:tcW w:w="1794" w:type="dxa"/>
            <w:gridSpan w:val="2"/>
            <w:shd w:val="clear" w:color="auto" w:fill="auto"/>
            <w:vAlign w:val="center"/>
          </w:tcPr>
          <w:p w:rsidR="00CB6FC5" w:rsidRPr="009F2FC1" w:rsidRDefault="00CB6FC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CB6FC5" w:rsidRDefault="00CB6FC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CB6FC5" w:rsidRPr="009F2FC1" w:rsidRDefault="00CB6FC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3 AÑOS </w:t>
            </w:r>
          </w:p>
        </w:tc>
      </w:tr>
      <w:tr w:rsidR="00D9569A" w:rsidRPr="00D9569A" w:rsidTr="00B40057">
        <w:trPr>
          <w:trHeight w:val="60"/>
        </w:trPr>
        <w:tc>
          <w:tcPr>
            <w:tcW w:w="2397" w:type="dxa"/>
            <w:gridSpan w:val="3"/>
            <w:shd w:val="clear" w:color="auto" w:fill="auto"/>
            <w:vAlign w:val="bottom"/>
          </w:tcPr>
          <w:p w:rsidR="00D9569A" w:rsidRPr="00D9569A" w:rsidRDefault="00D9569A" w:rsidP="00A62558">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D9569A" w:rsidRPr="00D9569A" w:rsidRDefault="00D9569A" w:rsidP="00A62558">
            <w:pPr>
              <w:spacing w:after="0" w:line="240" w:lineRule="auto"/>
              <w:jc w:val="left"/>
              <w:rPr>
                <w:rFonts w:eastAsia="Times New Roman" w:cs="Times New Roman"/>
                <w:sz w:val="4"/>
                <w:szCs w:val="4"/>
                <w:lang w:val="es-ES" w:eastAsia="es-ES"/>
              </w:rPr>
            </w:pPr>
          </w:p>
        </w:tc>
      </w:tr>
    </w:tbl>
    <w:p w:rsidR="00D9569A" w:rsidRPr="00D9569A" w:rsidRDefault="00D9569A" w:rsidP="00FB2027">
      <w:pPr>
        <w:rPr>
          <w:highlight w:val="cyan"/>
          <w:lang w:val="es-ES_tradnl" w:eastAsia="es-ES"/>
        </w:rPr>
      </w:pPr>
    </w:p>
    <w:sectPr w:rsidR="00D9569A" w:rsidRPr="00D9569A"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0D" w:rsidRDefault="0063620D" w:rsidP="00C47A64">
      <w:r>
        <w:separator/>
      </w:r>
    </w:p>
    <w:p w:rsidR="0063620D" w:rsidRDefault="0063620D" w:rsidP="00C47A64"/>
  </w:endnote>
  <w:endnote w:type="continuationSeparator" w:id="0">
    <w:p w:rsidR="0063620D" w:rsidRDefault="0063620D" w:rsidP="00C47A64">
      <w:r>
        <w:continuationSeparator/>
      </w:r>
    </w:p>
    <w:p w:rsidR="0063620D" w:rsidRDefault="0063620D"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69A" w:rsidRPr="00BE37F7" w:rsidRDefault="00D9569A" w:rsidP="00D9569A">
    <w:pPr>
      <w:pStyle w:val="EncabezadoPie"/>
      <w:pBdr>
        <w:top w:val="single" w:sz="4" w:space="11" w:color="auto"/>
      </w:pBdr>
    </w:pPr>
    <w:r w:rsidRPr="00BE37F7">
      <w:t xml:space="preserve">PLAN MAESTRO DE RECURSOS HÍDRICOS REGIÓN DEL MAULE   </w:t>
    </w:r>
  </w:p>
  <w:p w:rsidR="00D9569A" w:rsidRPr="00BE37F7" w:rsidRDefault="00D9569A" w:rsidP="00D9569A">
    <w:pPr>
      <w:pStyle w:val="EncabezadoPie"/>
    </w:pPr>
    <w:r w:rsidRPr="00BE37F7">
      <w:t>Etapa 4. Propuesta del Plan Regional</w:t>
    </w:r>
    <w:r w:rsidRPr="00BE37F7">
      <w:rPr>
        <w:rFonts w:ascii="Arial Narrow" w:hAnsi="Arial Narrow"/>
        <w:sz w:val="18"/>
        <w:szCs w:val="18"/>
      </w:rPr>
      <w:tab/>
    </w:r>
  </w:p>
  <w:p w:rsidR="00D9569A" w:rsidRDefault="00D9569A" w:rsidP="00D9569A">
    <w:pPr>
      <w:pStyle w:val="EncabezadoPie"/>
      <w:tabs>
        <w:tab w:val="right" w:pos="9072"/>
      </w:tabs>
    </w:pPr>
    <w:r>
      <w:t>FICHAS DE INICIATIVAS</w:t>
    </w:r>
  </w:p>
  <w:p w:rsidR="00172077" w:rsidRPr="00D9569A" w:rsidRDefault="00D9569A" w:rsidP="00D9569A">
    <w:pPr>
      <w:pStyle w:val="EncabezadoPie"/>
      <w:tabs>
        <w:tab w:val="right" w:pos="9072"/>
      </w:tabs>
      <w:jc w:val="right"/>
    </w:pPr>
    <w:r>
      <w:t xml:space="preserve">Página </w:t>
    </w:r>
    <w:r>
      <w:fldChar w:fldCharType="begin"/>
    </w:r>
    <w:r>
      <w:instrText>PAGE   \* MERGEFORMAT</w:instrText>
    </w:r>
    <w:r>
      <w:fldChar w:fldCharType="separate"/>
    </w:r>
    <w:r w:rsidR="00C110F3" w:rsidRPr="00C110F3">
      <w:rPr>
        <w:noProof/>
        <w:lang w:val="es-ES"/>
      </w:rPr>
      <w:t>2</w:t>
    </w:r>
    <w:r>
      <w:fldChar w:fldCharType="end"/>
    </w:r>
    <w:r>
      <w:t>/</w:t>
    </w:r>
    <w:r w:rsidR="0063620D">
      <w:fldChar w:fldCharType="begin"/>
    </w:r>
    <w:r w:rsidR="0063620D">
      <w:instrText xml:space="preserve"> NUMPAGES   \* MERGEFORMAT </w:instrText>
    </w:r>
    <w:r w:rsidR="0063620D">
      <w:fldChar w:fldCharType="separate"/>
    </w:r>
    <w:r w:rsidR="00C110F3">
      <w:rPr>
        <w:noProof/>
      </w:rPr>
      <w:t>3</w:t>
    </w:r>
    <w:r w:rsidR="0063620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0D" w:rsidRDefault="0063620D" w:rsidP="00C47A64">
      <w:r>
        <w:separator/>
      </w:r>
    </w:p>
    <w:p w:rsidR="0063620D" w:rsidRDefault="0063620D" w:rsidP="00C47A64"/>
  </w:footnote>
  <w:footnote w:type="continuationSeparator" w:id="0">
    <w:p w:rsidR="0063620D" w:rsidRDefault="0063620D" w:rsidP="00C47A64">
      <w:r>
        <w:continuationSeparator/>
      </w:r>
    </w:p>
    <w:p w:rsidR="0063620D" w:rsidRDefault="0063620D"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9569A" w:rsidTr="001A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9569A" w:rsidRDefault="00D9569A"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7276" r:id="rId2"/>
            </w:object>
          </w:r>
        </w:p>
      </w:tc>
      <w:tc>
        <w:tcPr>
          <w:tcW w:w="7126" w:type="dxa"/>
          <w:shd w:val="clear" w:color="auto" w:fill="auto"/>
        </w:tcPr>
        <w:p w:rsidR="00D9569A" w:rsidRPr="00B31517" w:rsidRDefault="00D9569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9569A" w:rsidRPr="00B31517" w:rsidRDefault="00D9569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9569A" w:rsidRDefault="00D9569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9569A" w:rsidRPr="00B31517" w:rsidRDefault="00D9569A" w:rsidP="00A54186">
          <w:pPr>
            <w:pStyle w:val="EncabezadoPie"/>
            <w:cnfStyle w:val="100000000000" w:firstRow="1" w:lastRow="0" w:firstColumn="0" w:lastColumn="0" w:oddVBand="0" w:evenVBand="0" w:oddHBand="0" w:evenHBand="0" w:firstRowFirstColumn="0" w:firstRowLastColumn="0" w:lastRowFirstColumn="0" w:lastRowLastColumn="0"/>
          </w:pPr>
        </w:p>
        <w:p w:rsidR="00D9569A" w:rsidRPr="00B31517" w:rsidRDefault="00D9569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9569A" w:rsidRDefault="00D9569A"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50933"/>
    <w:multiLevelType w:val="hybridMultilevel"/>
    <w:tmpl w:val="8744DFF6"/>
    <w:lvl w:ilvl="0" w:tplc="F8AA37AE">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9"/>
  </w:num>
  <w:num w:numId="11">
    <w:abstractNumId w:val="6"/>
  </w:num>
  <w:num w:numId="12">
    <w:abstractNumId w:val="17"/>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20"/>
  </w:num>
  <w:num w:numId="20">
    <w:abstractNumId w:val="26"/>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8"/>
  </w:num>
  <w:num w:numId="36">
    <w:abstractNumId w:val="28"/>
  </w:num>
  <w:num w:numId="37">
    <w:abstractNumId w:val="7"/>
  </w:num>
  <w:num w:numId="38">
    <w:abstractNumId w:val="21"/>
  </w:num>
  <w:num w:numId="39">
    <w:abstractNumId w:val="15"/>
    <w:lvlOverride w:ilvl="0">
      <w:startOverride w:val="1"/>
    </w:lvlOverride>
  </w:num>
  <w:num w:numId="40">
    <w:abstractNumId w:val="8"/>
  </w:num>
  <w:num w:numId="41">
    <w:abstractNumId w:val="16"/>
  </w:num>
  <w:num w:numId="4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4646D"/>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D7F5D"/>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528F"/>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3F4"/>
    <w:rsid w:val="003A7C8A"/>
    <w:rsid w:val="003B3486"/>
    <w:rsid w:val="003B3675"/>
    <w:rsid w:val="003B6AEA"/>
    <w:rsid w:val="003C2E07"/>
    <w:rsid w:val="003C47D1"/>
    <w:rsid w:val="003C6321"/>
    <w:rsid w:val="003C672E"/>
    <w:rsid w:val="003D036A"/>
    <w:rsid w:val="003D0525"/>
    <w:rsid w:val="003D0EBD"/>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0781"/>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0A2"/>
    <w:rsid w:val="00580BEE"/>
    <w:rsid w:val="00582320"/>
    <w:rsid w:val="00582F03"/>
    <w:rsid w:val="00582FCA"/>
    <w:rsid w:val="0058471E"/>
    <w:rsid w:val="00586D64"/>
    <w:rsid w:val="005915BD"/>
    <w:rsid w:val="005919CA"/>
    <w:rsid w:val="00596C43"/>
    <w:rsid w:val="00597CF6"/>
    <w:rsid w:val="005A1919"/>
    <w:rsid w:val="005A5C84"/>
    <w:rsid w:val="005A6136"/>
    <w:rsid w:val="005A7721"/>
    <w:rsid w:val="005B082D"/>
    <w:rsid w:val="005B1D06"/>
    <w:rsid w:val="005B271D"/>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35B"/>
    <w:rsid w:val="00620A95"/>
    <w:rsid w:val="00620FAA"/>
    <w:rsid w:val="0062158D"/>
    <w:rsid w:val="00626318"/>
    <w:rsid w:val="00626E32"/>
    <w:rsid w:val="00630653"/>
    <w:rsid w:val="006308D6"/>
    <w:rsid w:val="00631FEA"/>
    <w:rsid w:val="00632588"/>
    <w:rsid w:val="0063418E"/>
    <w:rsid w:val="00635422"/>
    <w:rsid w:val="00635CCF"/>
    <w:rsid w:val="00635E9A"/>
    <w:rsid w:val="0063620D"/>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81D"/>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51B"/>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1925"/>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4E4"/>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CF"/>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0EA"/>
    <w:rsid w:val="00AA1A1E"/>
    <w:rsid w:val="00AA2151"/>
    <w:rsid w:val="00AA25AB"/>
    <w:rsid w:val="00AA56AD"/>
    <w:rsid w:val="00AA75B2"/>
    <w:rsid w:val="00AA75B4"/>
    <w:rsid w:val="00AA79DF"/>
    <w:rsid w:val="00AB0A46"/>
    <w:rsid w:val="00AB0E1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057"/>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1FE0"/>
    <w:rsid w:val="00C02D47"/>
    <w:rsid w:val="00C03481"/>
    <w:rsid w:val="00C110F3"/>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0B66"/>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B6FC5"/>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2B32"/>
    <w:rsid w:val="00CF4D06"/>
    <w:rsid w:val="00CF759C"/>
    <w:rsid w:val="00D02AA8"/>
    <w:rsid w:val="00D112D1"/>
    <w:rsid w:val="00D11C22"/>
    <w:rsid w:val="00D12D11"/>
    <w:rsid w:val="00D133DD"/>
    <w:rsid w:val="00D14168"/>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A8"/>
    <w:rsid w:val="00D90633"/>
    <w:rsid w:val="00D9172C"/>
    <w:rsid w:val="00D94374"/>
    <w:rsid w:val="00D9438C"/>
    <w:rsid w:val="00D9569A"/>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3128"/>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D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8D"/>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30E0"/>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811149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CA6EE2-426A-4CE7-85C8-914C1405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2017-11-16T22:11:00Z</dcterms:created>
  <dcterms:modified xsi:type="dcterms:W3CDTF">2018-12-14T21:27:00Z</dcterms:modified>
</cp:coreProperties>
</file>