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5475"/>
        <w:gridCol w:w="3636"/>
      </w:tblGrid>
      <w:tr w:rsidR="0016444F" w:rsidRPr="00B21DE8" w:rsidTr="00CC5476">
        <w:trPr>
          <w:trHeight w:val="330"/>
          <w:tblHeader/>
        </w:trPr>
        <w:tc>
          <w:tcPr>
            <w:tcW w:w="4531" w:type="dxa"/>
            <w:vMerge w:val="restart"/>
            <w:shd w:val="clear" w:color="auto" w:fill="8DB3E2" w:themeFill="text2" w:themeFillTint="66"/>
            <w:noWrap/>
          </w:tcPr>
          <w:p w:rsidR="008F2EBB" w:rsidRPr="00B21DE8" w:rsidRDefault="008F2EBB" w:rsidP="008F2EBB">
            <w:pPr>
              <w:spacing w:after="0" w:line="240" w:lineRule="auto"/>
              <w:jc w:val="left"/>
              <w:rPr>
                <w:rFonts w:eastAsia="Times New Roman" w:cs="Times New Roman"/>
                <w:b/>
                <w:bCs/>
                <w:color w:val="000000"/>
                <w:sz w:val="18"/>
                <w:szCs w:val="18"/>
                <w:lang w:val="es-ES" w:eastAsia="es-ES"/>
              </w:rPr>
            </w:pPr>
          </w:p>
          <w:p w:rsidR="008F2EBB" w:rsidRPr="00B21DE8" w:rsidRDefault="008F2EBB" w:rsidP="008F2EBB">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INSTITUCIONAL</w:t>
            </w:r>
          </w:p>
        </w:tc>
        <w:tc>
          <w:tcPr>
            <w:tcW w:w="4580" w:type="dxa"/>
            <w:shd w:val="clear" w:color="auto" w:fill="8DB3E2" w:themeFill="text2" w:themeFillTint="66"/>
            <w:vAlign w:val="center"/>
          </w:tcPr>
          <w:p w:rsidR="008F2EBB" w:rsidRPr="00B21DE8" w:rsidRDefault="008F2EBB" w:rsidP="008F2EBB">
            <w:pPr>
              <w:spacing w:after="0"/>
              <w:jc w:val="left"/>
              <w:rPr>
                <w:rFonts w:eastAsia="Times New Roman"/>
                <w:color w:val="000000"/>
                <w:sz w:val="16"/>
                <w:szCs w:val="16"/>
              </w:rPr>
            </w:pPr>
            <w:r w:rsidRPr="00B21DE8">
              <w:rPr>
                <w:color w:val="000000"/>
                <w:sz w:val="16"/>
                <w:szCs w:val="16"/>
              </w:rPr>
              <w:t>OBJ 13. "Potenciar la labor de la DGA regional y favorecer el acercamiento a los usuarios del agua"</w:t>
            </w:r>
          </w:p>
        </w:tc>
      </w:tr>
      <w:tr w:rsidR="0016444F" w:rsidRPr="00B21DE8" w:rsidTr="00CC5476">
        <w:trPr>
          <w:trHeight w:val="330"/>
          <w:tblHeader/>
        </w:trPr>
        <w:tc>
          <w:tcPr>
            <w:tcW w:w="4531" w:type="dxa"/>
            <w:vMerge/>
            <w:shd w:val="clear" w:color="auto" w:fill="8DB3E2" w:themeFill="text2" w:themeFillTint="66"/>
            <w:noWrap/>
          </w:tcPr>
          <w:p w:rsidR="008F2EBB" w:rsidRPr="00B21DE8" w:rsidRDefault="008F2EBB" w:rsidP="008F2EBB">
            <w:pPr>
              <w:spacing w:after="0" w:line="240" w:lineRule="auto"/>
              <w:jc w:val="left"/>
              <w:rPr>
                <w:rFonts w:eastAsia="Times New Roman" w:cs="Times New Roman"/>
                <w:b/>
                <w:bCs/>
                <w:color w:val="000000"/>
                <w:sz w:val="18"/>
                <w:szCs w:val="18"/>
                <w:lang w:val="es-ES" w:eastAsia="es-ES"/>
              </w:rPr>
            </w:pPr>
          </w:p>
        </w:tc>
        <w:tc>
          <w:tcPr>
            <w:tcW w:w="4580" w:type="dxa"/>
            <w:shd w:val="clear" w:color="auto" w:fill="8DB3E2" w:themeFill="text2" w:themeFillTint="66"/>
            <w:vAlign w:val="center"/>
          </w:tcPr>
          <w:p w:rsidR="008F2EBB" w:rsidRPr="00B21DE8" w:rsidRDefault="008F2EBB" w:rsidP="008F2EBB">
            <w:pPr>
              <w:rPr>
                <w:color w:val="000000"/>
                <w:sz w:val="16"/>
                <w:szCs w:val="16"/>
              </w:rPr>
            </w:pPr>
            <w:r w:rsidRPr="00B21DE8">
              <w:rPr>
                <w:color w:val="000000"/>
                <w:sz w:val="16"/>
                <w:szCs w:val="16"/>
              </w:rPr>
              <w:t xml:space="preserve">L-I-01 Fortalecimiento de la DGA regional </w:t>
            </w:r>
          </w:p>
        </w:tc>
      </w:tr>
      <w:tr w:rsidR="0016444F" w:rsidRPr="00B21DE8" w:rsidTr="00CC5476">
        <w:trPr>
          <w:trHeight w:val="658"/>
          <w:tblHeader/>
        </w:trPr>
        <w:tc>
          <w:tcPr>
            <w:tcW w:w="4531" w:type="dxa"/>
            <w:shd w:val="clear" w:color="auto" w:fill="F2F2F2" w:themeFill="background1" w:themeFillShade="F2"/>
            <w:noWrap/>
          </w:tcPr>
          <w:p w:rsidR="008F2EBB" w:rsidRPr="00B21DE8" w:rsidRDefault="0016444F" w:rsidP="00B40E9B">
            <w:pPr>
              <w:spacing w:after="0" w:line="240" w:lineRule="auto"/>
              <w:jc w:val="left"/>
              <w:rPr>
                <w:rFonts w:eastAsia="Times New Roman" w:cs="Times New Roman"/>
                <w:b/>
                <w:color w:val="000000"/>
                <w:sz w:val="22"/>
                <w:szCs w:val="18"/>
                <w:lang w:val="es-ES" w:eastAsia="es-ES"/>
              </w:rPr>
            </w:pPr>
            <w:r w:rsidRPr="00B21DE8">
              <w:rPr>
                <w:rFonts w:eastAsia="Times New Roman" w:cs="Times New Roman"/>
                <w:b/>
                <w:color w:val="000000"/>
                <w:sz w:val="22"/>
                <w:szCs w:val="18"/>
                <w:lang w:val="es-ES" w:eastAsia="es-ES"/>
              </w:rPr>
              <w:t>Difusión de las actividades de la DGA entre la comunidad</w:t>
            </w:r>
            <w:r w:rsidR="008F2EBB" w:rsidRPr="00B21DE8">
              <w:rPr>
                <w:rFonts w:eastAsia="Times New Roman" w:cs="Times New Roman"/>
                <w:b/>
                <w:color w:val="000000"/>
                <w:sz w:val="22"/>
                <w:szCs w:val="18"/>
                <w:lang w:val="es-ES" w:eastAsia="es-ES"/>
              </w:rPr>
              <w:t xml:space="preserve"> </w:t>
            </w:r>
          </w:p>
        </w:tc>
        <w:tc>
          <w:tcPr>
            <w:tcW w:w="4580" w:type="dxa"/>
            <w:shd w:val="clear" w:color="auto" w:fill="F2F2F2" w:themeFill="background1" w:themeFillShade="F2"/>
          </w:tcPr>
          <w:p w:rsidR="008F2EBB" w:rsidRPr="00B21DE8" w:rsidRDefault="0016444F" w:rsidP="008F2EBB">
            <w:pPr>
              <w:spacing w:after="0" w:line="240" w:lineRule="auto"/>
              <w:jc w:val="center"/>
              <w:rPr>
                <w:rFonts w:eastAsia="Times New Roman" w:cs="Times New Roman"/>
                <w:b/>
                <w:color w:val="000000"/>
                <w:sz w:val="22"/>
                <w:szCs w:val="18"/>
                <w:lang w:val="es-ES" w:eastAsia="es-ES"/>
              </w:rPr>
            </w:pPr>
            <w:r w:rsidRPr="00B21DE8">
              <w:rPr>
                <w:rFonts w:eastAsia="Times New Roman" w:cs="Times New Roman"/>
                <w:b/>
                <w:color w:val="000000"/>
                <w:sz w:val="52"/>
                <w:szCs w:val="18"/>
                <w:lang w:val="es-ES" w:eastAsia="es-ES"/>
              </w:rPr>
              <w:t>SL-I-03</w:t>
            </w:r>
          </w:p>
        </w:tc>
      </w:tr>
      <w:tr w:rsidR="00D03C86" w:rsidRPr="00B21DE8" w:rsidTr="00CC5476">
        <w:trPr>
          <w:trHeight w:val="128"/>
          <w:tblHeader/>
        </w:trPr>
        <w:tc>
          <w:tcPr>
            <w:tcW w:w="0" w:type="auto"/>
            <w:gridSpan w:val="2"/>
            <w:shd w:val="clear" w:color="auto" w:fill="auto"/>
            <w:noWrap/>
          </w:tcPr>
          <w:p w:rsidR="00D03C86" w:rsidRPr="00B21DE8" w:rsidRDefault="00D03C86" w:rsidP="00B40E9B">
            <w:pPr>
              <w:spacing w:after="0" w:line="240" w:lineRule="auto"/>
              <w:jc w:val="left"/>
              <w:rPr>
                <w:rFonts w:eastAsia="Times New Roman" w:cs="Times New Roman"/>
                <w:b/>
                <w:color w:val="000000"/>
                <w:sz w:val="4"/>
                <w:szCs w:val="4"/>
                <w:lang w:val="es-ES" w:eastAsia="es-ES"/>
              </w:rPr>
            </w:pPr>
          </w:p>
        </w:tc>
      </w:tr>
      <w:tr w:rsidR="008F2EBB" w:rsidRPr="00B21DE8" w:rsidTr="00CC5476">
        <w:trPr>
          <w:trHeight w:val="300"/>
        </w:trPr>
        <w:tc>
          <w:tcPr>
            <w:tcW w:w="0" w:type="auto"/>
            <w:gridSpan w:val="2"/>
            <w:shd w:val="clear" w:color="auto" w:fill="F2F2F2" w:themeFill="background1" w:themeFillShade="F2"/>
            <w:noWrap/>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Antecedentes Generales de La Sub Línea de Acción</w:t>
            </w:r>
          </w:p>
        </w:tc>
      </w:tr>
      <w:tr w:rsidR="008F2EBB" w:rsidRPr="00B21DE8" w:rsidTr="00CC5476">
        <w:trPr>
          <w:trHeight w:val="1936"/>
        </w:trPr>
        <w:tc>
          <w:tcPr>
            <w:tcW w:w="0" w:type="auto"/>
            <w:gridSpan w:val="2"/>
            <w:shd w:val="clear" w:color="auto" w:fill="auto"/>
            <w:noWrap/>
          </w:tcPr>
          <w:p w:rsidR="006B4268" w:rsidRPr="00B21DE8" w:rsidRDefault="0016444F" w:rsidP="0016444F">
            <w:pPr>
              <w:rPr>
                <w:rFonts w:eastAsia="Times New Roman"/>
                <w:sz w:val="18"/>
                <w:lang w:val="es-ES" w:eastAsia="es-ES"/>
              </w:rPr>
            </w:pPr>
            <w:r w:rsidRPr="00B21DE8">
              <w:rPr>
                <w:rFonts w:eastAsia="Times New Roman"/>
                <w:sz w:val="18"/>
                <w:lang w:val="es-ES" w:eastAsia="es-ES"/>
              </w:rPr>
              <w:t xml:space="preserve">En las distintas actividades de participación ciudadana </w:t>
            </w:r>
            <w:proofErr w:type="gramStart"/>
            <w:r w:rsidRPr="00B21DE8">
              <w:rPr>
                <w:rFonts w:eastAsia="Times New Roman"/>
                <w:sz w:val="18"/>
                <w:lang w:val="es-ES" w:eastAsia="es-ES"/>
              </w:rPr>
              <w:t>realizadas</w:t>
            </w:r>
            <w:proofErr w:type="gramEnd"/>
            <w:r w:rsidRPr="00B21DE8">
              <w:rPr>
                <w:rFonts w:eastAsia="Times New Roman"/>
                <w:sz w:val="18"/>
                <w:lang w:val="es-ES" w:eastAsia="es-ES"/>
              </w:rPr>
              <w:t xml:space="preserve"> se identificó una desafección entre los usuarios de aguas y otros actores relacionados y la Dirección General de Aguas. La percepción general es de un organismo centrado en el otorgamiento de derechos de aprovechamiento, pero también se mostró un desconocimiento del resto de las funciones de la institución.</w:t>
            </w:r>
          </w:p>
          <w:p w:rsidR="0016444F" w:rsidRPr="00B21DE8" w:rsidRDefault="0016444F" w:rsidP="0016444F">
            <w:pPr>
              <w:rPr>
                <w:rFonts w:eastAsia="Times New Roman"/>
                <w:sz w:val="18"/>
                <w:lang w:val="es-ES" w:eastAsia="es-ES"/>
              </w:rPr>
            </w:pPr>
            <w:r w:rsidRPr="00B21DE8">
              <w:rPr>
                <w:rFonts w:eastAsia="Times New Roman"/>
                <w:sz w:val="18"/>
                <w:lang w:val="es-ES" w:eastAsia="es-ES"/>
              </w:rPr>
              <w:t>Este desconocimiento, y la no identificación de la DGA como, por ejemplo, primera fuente de información sobre los recursos hídricos, genera precariedad en el acceso a la información, dificultad en la realización de trámites, denuncias, falta de compromiso, entre otros factores que afectan en general a una correcta gestión de los recursos hídricos.</w:t>
            </w:r>
          </w:p>
        </w:tc>
      </w:tr>
      <w:tr w:rsidR="008F2EBB" w:rsidRPr="00B21DE8" w:rsidTr="00CC5476">
        <w:trPr>
          <w:trHeight w:val="300"/>
        </w:trPr>
        <w:tc>
          <w:tcPr>
            <w:tcW w:w="0" w:type="auto"/>
            <w:gridSpan w:val="2"/>
            <w:shd w:val="clear" w:color="auto" w:fill="F2F2F2" w:themeFill="background1" w:themeFillShade="F2"/>
            <w:noWrap/>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Objetivo General de las Iniciativas dentro de la Sub Línea de Acción  </w:t>
            </w:r>
          </w:p>
        </w:tc>
      </w:tr>
      <w:tr w:rsidR="008F2EBB" w:rsidRPr="00B21DE8" w:rsidTr="00CC5476">
        <w:trPr>
          <w:trHeight w:val="310"/>
        </w:trPr>
        <w:tc>
          <w:tcPr>
            <w:tcW w:w="0" w:type="auto"/>
            <w:gridSpan w:val="2"/>
            <w:shd w:val="clear" w:color="auto" w:fill="auto"/>
            <w:noWrap/>
          </w:tcPr>
          <w:p w:rsidR="002F0583" w:rsidRPr="00B21DE8" w:rsidRDefault="002F0583" w:rsidP="006B4268">
            <w:pPr>
              <w:rPr>
                <w:rFonts w:eastAsia="Times New Roman"/>
                <w:sz w:val="18"/>
                <w:lang w:eastAsia="es-ES"/>
              </w:rPr>
            </w:pPr>
            <w:r w:rsidRPr="00B21DE8">
              <w:rPr>
                <w:rFonts w:eastAsia="Times New Roman"/>
                <w:sz w:val="18"/>
                <w:lang w:eastAsia="es-ES"/>
              </w:rPr>
              <w:t xml:space="preserve">Mejorar el conocimiento de los usuarios de las aguas y la comunidad en general sobre la labor que realiza la DGA en el estudio, administración y protección  de los recursos hídricos a nivel regional y nacional. </w:t>
            </w:r>
          </w:p>
        </w:tc>
      </w:tr>
      <w:tr w:rsidR="008F2EBB" w:rsidRPr="00B21DE8" w:rsidTr="00CC5476">
        <w:trPr>
          <w:trHeight w:val="300"/>
        </w:trPr>
        <w:tc>
          <w:tcPr>
            <w:tcW w:w="0" w:type="auto"/>
            <w:gridSpan w:val="2"/>
            <w:shd w:val="clear" w:color="auto" w:fill="F2F2F2" w:themeFill="background1" w:themeFillShade="F2"/>
            <w:noWrap/>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Descripción General de las Iniciativas dentro de la Sub Línea de Acción  </w:t>
            </w:r>
          </w:p>
        </w:tc>
      </w:tr>
      <w:tr w:rsidR="008F2EBB" w:rsidRPr="00B21DE8" w:rsidTr="00CC5476">
        <w:trPr>
          <w:trHeight w:val="591"/>
        </w:trPr>
        <w:tc>
          <w:tcPr>
            <w:tcW w:w="0" w:type="auto"/>
            <w:gridSpan w:val="2"/>
            <w:shd w:val="clear" w:color="auto" w:fill="auto"/>
            <w:noWrap/>
          </w:tcPr>
          <w:p w:rsidR="008F2EBB" w:rsidRPr="00B21DE8" w:rsidRDefault="002F0583" w:rsidP="005E47D9">
            <w:pPr>
              <w:rPr>
                <w:rFonts w:eastAsia="Times New Roman"/>
                <w:sz w:val="18"/>
                <w:lang w:val="es-ES" w:eastAsia="es-ES"/>
              </w:rPr>
            </w:pPr>
            <w:r w:rsidRPr="00B21DE8">
              <w:rPr>
                <w:rFonts w:eastAsia="Times New Roman"/>
                <w:sz w:val="18"/>
                <w:lang w:val="es-ES" w:eastAsia="es-ES"/>
              </w:rPr>
              <w:t>La tarea de mejorar la difusión comprende distintas alternativas, como son las siguientes:</w:t>
            </w:r>
          </w:p>
          <w:p w:rsidR="00012476" w:rsidRPr="00B21DE8" w:rsidRDefault="002F0583" w:rsidP="002F0583">
            <w:pPr>
              <w:pStyle w:val="Prrafodelista"/>
              <w:numPr>
                <w:ilvl w:val="0"/>
                <w:numId w:val="47"/>
              </w:numPr>
              <w:rPr>
                <w:rFonts w:eastAsia="Times New Roman"/>
                <w:sz w:val="18"/>
                <w:lang w:val="es-ES" w:eastAsia="es-ES"/>
              </w:rPr>
            </w:pPr>
            <w:r w:rsidRPr="00B21DE8">
              <w:rPr>
                <w:rFonts w:eastAsia="Times New Roman"/>
                <w:sz w:val="18"/>
                <w:lang w:val="es-ES" w:eastAsia="es-ES"/>
              </w:rPr>
              <w:t>Definición</w:t>
            </w:r>
            <w:r w:rsidR="00012476" w:rsidRPr="00B21DE8">
              <w:rPr>
                <w:rFonts w:eastAsia="Times New Roman"/>
                <w:sz w:val="18"/>
                <w:lang w:val="es-ES" w:eastAsia="es-ES"/>
              </w:rPr>
              <w:t xml:space="preserve"> de objetivos</w:t>
            </w:r>
          </w:p>
          <w:p w:rsidR="002F0583" w:rsidRPr="00B21DE8" w:rsidRDefault="00012476" w:rsidP="002F0583">
            <w:pPr>
              <w:pStyle w:val="Prrafodelista"/>
              <w:numPr>
                <w:ilvl w:val="0"/>
                <w:numId w:val="47"/>
              </w:numPr>
              <w:rPr>
                <w:rFonts w:eastAsia="Times New Roman"/>
                <w:sz w:val="18"/>
                <w:lang w:val="es-ES" w:eastAsia="es-ES"/>
              </w:rPr>
            </w:pPr>
            <w:r w:rsidRPr="00B21DE8">
              <w:rPr>
                <w:rFonts w:eastAsia="Times New Roman"/>
                <w:sz w:val="18"/>
                <w:lang w:val="es-ES" w:eastAsia="es-ES"/>
              </w:rPr>
              <w:t>Definición de</w:t>
            </w:r>
            <w:r w:rsidR="002F0583" w:rsidRPr="00B21DE8">
              <w:rPr>
                <w:rFonts w:eastAsia="Times New Roman"/>
                <w:sz w:val="18"/>
                <w:lang w:val="es-ES" w:eastAsia="es-ES"/>
              </w:rPr>
              <w:t xml:space="preserve"> </w:t>
            </w:r>
            <w:r w:rsidR="00BB6D89" w:rsidRPr="00B21DE8">
              <w:rPr>
                <w:rFonts w:eastAsia="Times New Roman"/>
                <w:sz w:val="18"/>
                <w:lang w:val="es-ES" w:eastAsia="es-ES"/>
              </w:rPr>
              <w:t>público</w:t>
            </w:r>
            <w:r w:rsidR="002F0583" w:rsidRPr="00B21DE8">
              <w:rPr>
                <w:rFonts w:eastAsia="Times New Roman"/>
                <w:sz w:val="18"/>
                <w:lang w:val="es-ES" w:eastAsia="es-ES"/>
              </w:rPr>
              <w:t xml:space="preserve"> objetivo </w:t>
            </w:r>
          </w:p>
          <w:p w:rsidR="002F0583" w:rsidRPr="00B21DE8" w:rsidRDefault="002F0583" w:rsidP="002F0583">
            <w:pPr>
              <w:pStyle w:val="Prrafodelista"/>
              <w:numPr>
                <w:ilvl w:val="0"/>
                <w:numId w:val="47"/>
              </w:numPr>
              <w:rPr>
                <w:rFonts w:eastAsia="Times New Roman"/>
                <w:sz w:val="18"/>
                <w:lang w:val="es-ES" w:eastAsia="es-ES"/>
              </w:rPr>
            </w:pPr>
            <w:r w:rsidRPr="00B21DE8">
              <w:rPr>
                <w:rFonts w:eastAsia="Times New Roman"/>
                <w:sz w:val="18"/>
                <w:lang w:val="es-ES" w:eastAsia="es-ES"/>
              </w:rPr>
              <w:t>Definición de canales de comunicación</w:t>
            </w:r>
          </w:p>
          <w:p w:rsidR="002F0583" w:rsidRPr="00B21DE8" w:rsidRDefault="002F0583" w:rsidP="002F0583">
            <w:pPr>
              <w:pStyle w:val="Prrafodelista"/>
              <w:numPr>
                <w:ilvl w:val="0"/>
                <w:numId w:val="47"/>
              </w:numPr>
              <w:rPr>
                <w:rFonts w:eastAsia="Times New Roman"/>
                <w:sz w:val="18"/>
                <w:lang w:val="es-ES" w:eastAsia="es-ES"/>
              </w:rPr>
            </w:pPr>
            <w:r w:rsidRPr="00B21DE8">
              <w:rPr>
                <w:rFonts w:eastAsia="Times New Roman"/>
                <w:sz w:val="18"/>
                <w:lang w:val="es-ES" w:eastAsia="es-ES"/>
              </w:rPr>
              <w:t>Definición de contenidos</w:t>
            </w:r>
          </w:p>
          <w:p w:rsidR="002F0583" w:rsidRPr="00B21DE8" w:rsidRDefault="002F0583" w:rsidP="002F0583">
            <w:pPr>
              <w:pStyle w:val="Prrafodelista"/>
              <w:numPr>
                <w:ilvl w:val="0"/>
                <w:numId w:val="47"/>
              </w:numPr>
              <w:rPr>
                <w:rFonts w:eastAsia="Times New Roman"/>
                <w:sz w:val="18"/>
                <w:lang w:val="es-ES" w:eastAsia="es-ES"/>
              </w:rPr>
            </w:pPr>
            <w:r w:rsidRPr="00B21DE8">
              <w:rPr>
                <w:rFonts w:eastAsia="Times New Roman"/>
                <w:sz w:val="18"/>
                <w:lang w:val="es-ES" w:eastAsia="es-ES"/>
              </w:rPr>
              <w:t xml:space="preserve">Definición de responsables </w:t>
            </w:r>
          </w:p>
          <w:p w:rsidR="002F0583" w:rsidRPr="00B21DE8" w:rsidRDefault="002F0583" w:rsidP="002F0583">
            <w:pPr>
              <w:rPr>
                <w:rFonts w:eastAsia="Times New Roman"/>
                <w:sz w:val="18"/>
                <w:lang w:val="es-ES" w:eastAsia="es-ES"/>
              </w:rPr>
            </w:pPr>
            <w:r w:rsidRPr="00B21DE8">
              <w:rPr>
                <w:rFonts w:eastAsia="Times New Roman"/>
                <w:sz w:val="18"/>
                <w:lang w:val="es-ES" w:eastAsia="es-ES"/>
              </w:rPr>
              <w:t xml:space="preserve">Estas alternativas se presentan en el desarrollo de la iniciativa. </w:t>
            </w:r>
          </w:p>
        </w:tc>
      </w:tr>
    </w:tbl>
    <w:p w:rsidR="008F2EBB" w:rsidRPr="00B21DE8" w:rsidRDefault="008F2EBB">
      <w:pPr>
        <w:spacing w:after="200"/>
        <w:jc w:val="left"/>
        <w:rPr>
          <w:highlight w:val="cyan"/>
          <w:lang w:val="es-ES_tradnl" w:eastAsia="es-ES"/>
        </w:rPr>
      </w:pPr>
    </w:p>
    <w:p w:rsidR="00783C48" w:rsidRPr="00B21DE8" w:rsidRDefault="00783C48">
      <w:pPr>
        <w:spacing w:after="200"/>
        <w:jc w:val="left"/>
        <w:rPr>
          <w:highlight w:val="cyan"/>
          <w:lang w:val="es-ES_tradnl" w:eastAsia="es-ES"/>
        </w:rPr>
      </w:pPr>
      <w:r w:rsidRPr="00B21DE8">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32"/>
        <w:gridCol w:w="142"/>
        <w:gridCol w:w="2054"/>
        <w:gridCol w:w="142"/>
        <w:gridCol w:w="1649"/>
        <w:gridCol w:w="489"/>
        <w:gridCol w:w="2281"/>
        <w:gridCol w:w="14"/>
      </w:tblGrid>
      <w:tr w:rsidR="008F2EBB" w:rsidRPr="00B21DE8" w:rsidTr="00CC5476">
        <w:trPr>
          <w:trHeight w:val="300"/>
          <w:tblHeader/>
        </w:trPr>
        <w:tc>
          <w:tcPr>
            <w:tcW w:w="6804" w:type="dxa"/>
            <w:gridSpan w:val="6"/>
            <w:shd w:val="clear" w:color="auto" w:fill="D9D9D9" w:themeFill="background1" w:themeFillShade="D9"/>
            <w:noWrap/>
          </w:tcPr>
          <w:p w:rsidR="008F2EBB" w:rsidRPr="00B21DE8" w:rsidRDefault="00012476"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color w:val="000000"/>
                <w:sz w:val="22"/>
                <w:szCs w:val="18"/>
                <w:lang w:val="es-ES" w:eastAsia="es-ES"/>
              </w:rPr>
              <w:lastRenderedPageBreak/>
              <w:t>Difusión de las actividades de la DGA entre la comunidad</w:t>
            </w:r>
          </w:p>
        </w:tc>
        <w:tc>
          <w:tcPr>
            <w:tcW w:w="2299" w:type="dxa"/>
            <w:gridSpan w:val="2"/>
            <w:shd w:val="clear" w:color="auto" w:fill="D9D9D9" w:themeFill="background1" w:themeFillShade="D9"/>
          </w:tcPr>
          <w:p w:rsidR="008F2EBB" w:rsidRPr="00B21DE8" w:rsidRDefault="008F2EBB" w:rsidP="0016444F">
            <w:pPr>
              <w:spacing w:after="0" w:line="240" w:lineRule="auto"/>
              <w:jc w:val="right"/>
              <w:rPr>
                <w:rFonts w:eastAsia="Times New Roman" w:cs="Times New Roman"/>
                <w:b/>
                <w:bCs/>
                <w:color w:val="000000"/>
                <w:sz w:val="18"/>
                <w:szCs w:val="18"/>
                <w:lang w:val="es-ES" w:eastAsia="es-ES"/>
              </w:rPr>
            </w:pPr>
            <w:r w:rsidRPr="00B21DE8">
              <w:rPr>
                <w:rFonts w:eastAsia="Times New Roman" w:cs="Times New Roman"/>
                <w:b/>
                <w:bCs/>
                <w:color w:val="000000"/>
                <w:sz w:val="36"/>
                <w:szCs w:val="18"/>
                <w:lang w:val="es-ES" w:eastAsia="es-ES"/>
              </w:rPr>
              <w:t>IN6</w:t>
            </w:r>
            <w:r w:rsidR="0016444F" w:rsidRPr="00B21DE8">
              <w:rPr>
                <w:rFonts w:eastAsia="Times New Roman" w:cs="Times New Roman"/>
                <w:b/>
                <w:bCs/>
                <w:color w:val="000000"/>
                <w:sz w:val="36"/>
                <w:szCs w:val="18"/>
                <w:lang w:val="es-ES" w:eastAsia="es-ES"/>
              </w:rPr>
              <w:t>4</w:t>
            </w:r>
          </w:p>
        </w:tc>
      </w:tr>
      <w:tr w:rsidR="008F2EBB" w:rsidRPr="00B21DE8" w:rsidTr="00CC5476">
        <w:trPr>
          <w:trHeight w:val="300"/>
        </w:trPr>
        <w:tc>
          <w:tcPr>
            <w:tcW w:w="2465" w:type="dxa"/>
            <w:gridSpan w:val="2"/>
            <w:shd w:val="clear" w:color="auto" w:fill="auto"/>
            <w:noWrap/>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Tipo de iniciativa </w:t>
            </w:r>
          </w:p>
        </w:tc>
        <w:tc>
          <w:tcPr>
            <w:tcW w:w="2198" w:type="dxa"/>
            <w:gridSpan w:val="2"/>
            <w:shd w:val="clear" w:color="auto" w:fill="auto"/>
            <w:hideMark/>
          </w:tcPr>
          <w:p w:rsidR="008F2EBB" w:rsidRPr="00B21DE8" w:rsidRDefault="008F2EBB" w:rsidP="001767A4">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color w:val="000000"/>
                <w:sz w:val="18"/>
                <w:szCs w:val="18"/>
                <w:lang w:val="es-ES" w:eastAsia="es-ES"/>
              </w:rPr>
              <w:t>No estructural</w:t>
            </w:r>
          </w:p>
        </w:tc>
        <w:tc>
          <w:tcPr>
            <w:tcW w:w="2141" w:type="dxa"/>
            <w:gridSpan w:val="2"/>
            <w:shd w:val="clear" w:color="auto" w:fill="auto"/>
          </w:tcPr>
          <w:p w:rsidR="008F2EBB" w:rsidRPr="00B21DE8" w:rsidRDefault="008F2EBB" w:rsidP="001767A4">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
                <w:bCs/>
                <w:color w:val="000000"/>
                <w:sz w:val="18"/>
                <w:szCs w:val="18"/>
                <w:lang w:val="es-ES" w:eastAsia="es-ES"/>
              </w:rPr>
              <w:t>Tipología de Inversión</w:t>
            </w:r>
          </w:p>
        </w:tc>
        <w:tc>
          <w:tcPr>
            <w:tcW w:w="2299" w:type="dxa"/>
            <w:gridSpan w:val="2"/>
            <w:shd w:val="clear" w:color="auto" w:fill="auto"/>
          </w:tcPr>
          <w:p w:rsidR="008F2EBB" w:rsidRPr="00B21DE8" w:rsidRDefault="005E47D9" w:rsidP="001767A4">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color w:val="000000"/>
                <w:sz w:val="18"/>
                <w:szCs w:val="18"/>
                <w:lang w:val="es-ES" w:eastAsia="es-ES"/>
              </w:rPr>
              <w:t>Institucional</w:t>
            </w:r>
            <w:r w:rsidR="008F2EBB" w:rsidRPr="00B21DE8">
              <w:rPr>
                <w:rFonts w:eastAsia="Times New Roman" w:cs="Times New Roman"/>
                <w:bCs/>
                <w:color w:val="000000"/>
                <w:sz w:val="18"/>
                <w:szCs w:val="18"/>
                <w:lang w:val="es-ES" w:eastAsia="es-ES"/>
              </w:rPr>
              <w:t xml:space="preserve"> </w:t>
            </w:r>
          </w:p>
        </w:tc>
      </w:tr>
      <w:tr w:rsidR="008F2EBB" w:rsidRPr="00B21DE8" w:rsidTr="00CC5476">
        <w:trPr>
          <w:trHeight w:val="300"/>
        </w:trPr>
        <w:tc>
          <w:tcPr>
            <w:tcW w:w="2465" w:type="dxa"/>
            <w:gridSpan w:val="2"/>
            <w:shd w:val="clear" w:color="auto" w:fill="auto"/>
            <w:noWrap/>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Cartera Sectorial</w:t>
            </w:r>
          </w:p>
        </w:tc>
        <w:tc>
          <w:tcPr>
            <w:tcW w:w="2198" w:type="dxa"/>
            <w:gridSpan w:val="2"/>
            <w:shd w:val="clear" w:color="auto" w:fill="auto"/>
          </w:tcPr>
          <w:p w:rsidR="008F2EBB" w:rsidRPr="00B21DE8" w:rsidRDefault="00B0045B" w:rsidP="005E47D9">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color w:val="000000"/>
                <w:sz w:val="18"/>
                <w:szCs w:val="18"/>
                <w:lang w:val="es-ES" w:eastAsia="es-ES"/>
              </w:rPr>
              <w:t>Institucional</w:t>
            </w:r>
          </w:p>
        </w:tc>
        <w:tc>
          <w:tcPr>
            <w:tcW w:w="2141" w:type="dxa"/>
            <w:gridSpan w:val="2"/>
            <w:shd w:val="clear" w:color="auto" w:fill="auto"/>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Entidad Responsable </w:t>
            </w:r>
          </w:p>
        </w:tc>
        <w:tc>
          <w:tcPr>
            <w:tcW w:w="2299" w:type="dxa"/>
            <w:gridSpan w:val="2"/>
            <w:shd w:val="clear" w:color="auto" w:fill="auto"/>
          </w:tcPr>
          <w:p w:rsidR="008F2EBB" w:rsidRPr="00B21DE8" w:rsidRDefault="008F2EBB" w:rsidP="001767A4">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color w:val="000000"/>
                <w:sz w:val="18"/>
                <w:szCs w:val="18"/>
                <w:lang w:val="es-ES" w:eastAsia="es-ES"/>
              </w:rPr>
              <w:t>DGA</w:t>
            </w:r>
          </w:p>
        </w:tc>
      </w:tr>
      <w:tr w:rsidR="008F2EBB" w:rsidRPr="00B21DE8" w:rsidTr="00CC5476">
        <w:trPr>
          <w:trHeight w:val="300"/>
        </w:trPr>
        <w:tc>
          <w:tcPr>
            <w:tcW w:w="2465" w:type="dxa"/>
            <w:gridSpan w:val="2"/>
            <w:shd w:val="clear" w:color="auto" w:fill="auto"/>
            <w:noWrap/>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Objetivo Iniciativa</w:t>
            </w:r>
          </w:p>
        </w:tc>
        <w:tc>
          <w:tcPr>
            <w:tcW w:w="6638" w:type="dxa"/>
            <w:gridSpan w:val="6"/>
            <w:shd w:val="clear" w:color="auto" w:fill="auto"/>
            <w:noWrap/>
            <w:hideMark/>
          </w:tcPr>
          <w:p w:rsidR="008F2EBB" w:rsidRPr="00B21DE8" w:rsidRDefault="00012476" w:rsidP="001767A4">
            <w:pPr>
              <w:spacing w:after="0" w:line="240" w:lineRule="auto"/>
              <w:jc w:val="left"/>
              <w:rPr>
                <w:rFonts w:eastAsia="Times New Roman" w:cs="Times New Roman"/>
                <w:bCs/>
                <w:color w:val="000000"/>
                <w:sz w:val="18"/>
                <w:szCs w:val="18"/>
                <w:lang w:val="es-ES" w:eastAsia="es-ES"/>
              </w:rPr>
            </w:pPr>
            <w:r w:rsidRPr="00B21DE8">
              <w:rPr>
                <w:rFonts w:eastAsia="Times New Roman"/>
                <w:sz w:val="18"/>
                <w:lang w:eastAsia="es-ES"/>
              </w:rPr>
              <w:t>Mejorar el conocimiento de los usuarios de las aguas y la comunidad en general sobre la labor que realiza la DGA en el estudio, administración y protección  de los recursos hídricos a nivel regional y nacional.</w:t>
            </w:r>
          </w:p>
        </w:tc>
      </w:tr>
      <w:tr w:rsidR="008F2EBB" w:rsidRPr="00B21DE8" w:rsidTr="00CC5476">
        <w:trPr>
          <w:trHeight w:val="300"/>
        </w:trPr>
        <w:tc>
          <w:tcPr>
            <w:tcW w:w="2465" w:type="dxa"/>
            <w:gridSpan w:val="2"/>
            <w:shd w:val="clear" w:color="auto" w:fill="auto"/>
            <w:noWrap/>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Beneficiarios </w:t>
            </w:r>
          </w:p>
        </w:tc>
        <w:tc>
          <w:tcPr>
            <w:tcW w:w="6638" w:type="dxa"/>
            <w:gridSpan w:val="6"/>
            <w:shd w:val="clear" w:color="auto" w:fill="auto"/>
            <w:noWrap/>
          </w:tcPr>
          <w:p w:rsidR="008F2EBB" w:rsidRPr="00B21DE8" w:rsidRDefault="002F0583" w:rsidP="005E47D9">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sz w:val="18"/>
                <w:szCs w:val="18"/>
                <w:lang w:val="es-ES" w:eastAsia="es-ES"/>
              </w:rPr>
              <w:t xml:space="preserve">La totalidad de los usuarios de aguas de la región </w:t>
            </w:r>
            <w:r w:rsidR="005E47D9" w:rsidRPr="00B21DE8">
              <w:rPr>
                <w:rFonts w:eastAsia="Times New Roman" w:cs="Times New Roman"/>
                <w:bCs/>
                <w:sz w:val="18"/>
                <w:szCs w:val="18"/>
                <w:lang w:val="es-ES" w:eastAsia="es-ES"/>
              </w:rPr>
              <w:t xml:space="preserve"> </w:t>
            </w:r>
            <w:r w:rsidR="008F2EBB" w:rsidRPr="00B21DE8">
              <w:rPr>
                <w:rFonts w:eastAsia="Times New Roman" w:cs="Times New Roman"/>
                <w:bCs/>
                <w:sz w:val="18"/>
                <w:szCs w:val="18"/>
                <w:lang w:val="es-ES" w:eastAsia="es-ES"/>
              </w:rPr>
              <w:t xml:space="preserve"> </w:t>
            </w:r>
          </w:p>
        </w:tc>
      </w:tr>
      <w:tr w:rsidR="008F2EBB" w:rsidRPr="00B21DE8" w:rsidTr="00CC5476">
        <w:trPr>
          <w:trHeight w:val="300"/>
        </w:trPr>
        <w:tc>
          <w:tcPr>
            <w:tcW w:w="2465" w:type="dxa"/>
            <w:gridSpan w:val="2"/>
            <w:shd w:val="clear" w:color="auto" w:fill="auto"/>
            <w:noWrap/>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Ámbito territorial</w:t>
            </w:r>
          </w:p>
        </w:tc>
        <w:tc>
          <w:tcPr>
            <w:tcW w:w="6638" w:type="dxa"/>
            <w:gridSpan w:val="6"/>
            <w:shd w:val="clear" w:color="auto" w:fill="auto"/>
            <w:noWrap/>
          </w:tcPr>
          <w:p w:rsidR="008F2EBB" w:rsidRPr="00B21DE8" w:rsidRDefault="002F0583" w:rsidP="001767A4">
            <w:pPr>
              <w:spacing w:after="0" w:line="240" w:lineRule="auto"/>
              <w:jc w:val="left"/>
              <w:rPr>
                <w:rFonts w:eastAsia="Times New Roman" w:cs="Times New Roman"/>
                <w:bCs/>
                <w:color w:val="000000"/>
                <w:sz w:val="18"/>
                <w:szCs w:val="18"/>
                <w:lang w:val="es-ES" w:eastAsia="es-ES"/>
              </w:rPr>
            </w:pPr>
            <w:r w:rsidRPr="00B21DE8">
              <w:rPr>
                <w:rFonts w:eastAsia="Times New Roman" w:cs="Times New Roman"/>
                <w:bCs/>
                <w:sz w:val="18"/>
                <w:szCs w:val="18"/>
                <w:lang w:val="es-ES" w:eastAsia="es-ES"/>
              </w:rPr>
              <w:t xml:space="preserve">Regional </w:t>
            </w:r>
            <w:r w:rsidR="005E47D9" w:rsidRPr="00B21DE8">
              <w:rPr>
                <w:rFonts w:eastAsia="Times New Roman" w:cs="Times New Roman"/>
                <w:bCs/>
                <w:sz w:val="18"/>
                <w:szCs w:val="18"/>
                <w:lang w:val="es-ES" w:eastAsia="es-ES"/>
              </w:rPr>
              <w:t xml:space="preserve"> </w:t>
            </w:r>
          </w:p>
        </w:tc>
      </w:tr>
      <w:tr w:rsidR="008F2EBB" w:rsidRPr="00B21DE8" w:rsidTr="00CC5476">
        <w:trPr>
          <w:trHeight w:val="300"/>
        </w:trPr>
        <w:tc>
          <w:tcPr>
            <w:tcW w:w="2465" w:type="dxa"/>
            <w:gridSpan w:val="2"/>
            <w:shd w:val="clear" w:color="auto" w:fill="auto"/>
            <w:noWrap/>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 xml:space="preserve">Monto Total de Inversión </w:t>
            </w:r>
          </w:p>
        </w:tc>
        <w:tc>
          <w:tcPr>
            <w:tcW w:w="6638" w:type="dxa"/>
            <w:gridSpan w:val="6"/>
            <w:shd w:val="clear" w:color="auto" w:fill="auto"/>
            <w:noWrap/>
          </w:tcPr>
          <w:p w:rsidR="008F2EBB" w:rsidRPr="00B21DE8" w:rsidRDefault="00CC5476" w:rsidP="00B21DE8">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$50.000.000.- (CINCUENTA MILLONES DE PESO EN 5 AÑOS</w:t>
            </w:r>
            <w:bookmarkStart w:id="0" w:name="_GoBack"/>
            <w:bookmarkEnd w:id="0"/>
            <w:r>
              <w:rPr>
                <w:rFonts w:eastAsia="Times New Roman" w:cs="Times New Roman"/>
                <w:bCs/>
                <w:color w:val="000000"/>
                <w:sz w:val="18"/>
                <w:szCs w:val="18"/>
                <w:lang w:val="es-ES" w:eastAsia="es-ES"/>
              </w:rPr>
              <w:t>)</w:t>
            </w:r>
            <w:r w:rsidR="00556118" w:rsidRPr="00B21DE8">
              <w:rPr>
                <w:rFonts w:eastAsia="Times New Roman" w:cs="Times New Roman"/>
                <w:bCs/>
                <w:color w:val="000000"/>
                <w:sz w:val="18"/>
                <w:szCs w:val="18"/>
                <w:lang w:val="es-ES" w:eastAsia="es-ES"/>
              </w:rPr>
              <w:t xml:space="preserve"> </w:t>
            </w:r>
          </w:p>
        </w:tc>
      </w:tr>
      <w:tr w:rsidR="008F2EBB" w:rsidRPr="00B21DE8" w:rsidTr="00CC5476">
        <w:trPr>
          <w:trHeight w:val="300"/>
        </w:trPr>
        <w:tc>
          <w:tcPr>
            <w:tcW w:w="2465" w:type="dxa"/>
            <w:gridSpan w:val="2"/>
            <w:shd w:val="clear" w:color="auto" w:fill="auto"/>
            <w:noWrap/>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Período Ejecución</w:t>
            </w:r>
          </w:p>
        </w:tc>
        <w:tc>
          <w:tcPr>
            <w:tcW w:w="6638" w:type="dxa"/>
            <w:gridSpan w:val="6"/>
            <w:shd w:val="clear" w:color="auto" w:fill="auto"/>
            <w:noWrap/>
          </w:tcPr>
          <w:p w:rsidR="008F2EBB" w:rsidRPr="00B21DE8" w:rsidRDefault="005E47D9" w:rsidP="001767A4">
            <w:pPr>
              <w:spacing w:after="0" w:line="240" w:lineRule="auto"/>
              <w:jc w:val="left"/>
              <w:rPr>
                <w:rFonts w:eastAsia="Times New Roman" w:cs="Times New Roman"/>
                <w:bCs/>
                <w:sz w:val="18"/>
                <w:szCs w:val="18"/>
                <w:lang w:val="es-ES" w:eastAsia="es-ES"/>
              </w:rPr>
            </w:pPr>
            <w:r w:rsidRPr="00B21DE8">
              <w:rPr>
                <w:rFonts w:eastAsia="Times New Roman" w:cs="Times New Roman"/>
                <w:bCs/>
                <w:sz w:val="18"/>
                <w:szCs w:val="18"/>
                <w:lang w:val="es-ES" w:eastAsia="es-ES"/>
              </w:rPr>
              <w:t xml:space="preserve">Permanente </w:t>
            </w:r>
          </w:p>
        </w:tc>
      </w:tr>
      <w:tr w:rsidR="008F2EBB" w:rsidRPr="00B21DE8" w:rsidTr="00CC5476">
        <w:trPr>
          <w:trHeight w:val="300"/>
        </w:trPr>
        <w:tc>
          <w:tcPr>
            <w:tcW w:w="9103" w:type="dxa"/>
            <w:gridSpan w:val="8"/>
            <w:shd w:val="clear" w:color="auto" w:fill="auto"/>
            <w:noWrap/>
            <w:vAlign w:val="center"/>
            <w:hideMark/>
          </w:tcPr>
          <w:p w:rsidR="008F2EBB" w:rsidRPr="00B21DE8" w:rsidRDefault="008F2EBB" w:rsidP="001767A4">
            <w:pPr>
              <w:spacing w:after="0" w:line="240" w:lineRule="auto"/>
              <w:jc w:val="left"/>
              <w:rPr>
                <w:rFonts w:eastAsia="Times New Roman" w:cs="Times New Roman"/>
                <w:b/>
                <w:bCs/>
                <w:color w:val="000000"/>
                <w:sz w:val="18"/>
                <w:szCs w:val="18"/>
                <w:lang w:val="es-ES" w:eastAsia="es-ES"/>
              </w:rPr>
            </w:pPr>
            <w:r w:rsidRPr="00B21DE8">
              <w:rPr>
                <w:rFonts w:eastAsia="Times New Roman" w:cs="Times New Roman"/>
                <w:b/>
                <w:bCs/>
                <w:color w:val="000000"/>
                <w:sz w:val="18"/>
                <w:szCs w:val="18"/>
                <w:lang w:val="es-ES" w:eastAsia="es-ES"/>
              </w:rPr>
              <w:t>Descripción</w:t>
            </w:r>
          </w:p>
        </w:tc>
      </w:tr>
      <w:tr w:rsidR="008F2EBB" w:rsidRPr="00B21DE8" w:rsidTr="00CC5476">
        <w:trPr>
          <w:trHeight w:val="586"/>
        </w:trPr>
        <w:tc>
          <w:tcPr>
            <w:tcW w:w="9103" w:type="dxa"/>
            <w:gridSpan w:val="8"/>
            <w:shd w:val="clear" w:color="auto" w:fill="auto"/>
            <w:vAlign w:val="center"/>
          </w:tcPr>
          <w:p w:rsidR="00B963B8" w:rsidRPr="00B21DE8" w:rsidRDefault="00BB6D89" w:rsidP="001767A4">
            <w:pPr>
              <w:spacing w:after="0" w:line="240" w:lineRule="auto"/>
              <w:jc w:val="left"/>
              <w:rPr>
                <w:rFonts w:eastAsia="Times New Roman" w:cs="Times New Roman"/>
                <w:color w:val="000000"/>
                <w:sz w:val="18"/>
                <w:szCs w:val="18"/>
                <w:lang w:val="es-ES" w:eastAsia="es-ES"/>
              </w:rPr>
            </w:pPr>
            <w:r w:rsidRPr="00B21DE8">
              <w:rPr>
                <w:rFonts w:eastAsia="Times New Roman" w:cs="Times New Roman"/>
                <w:color w:val="000000"/>
                <w:sz w:val="18"/>
                <w:szCs w:val="18"/>
                <w:lang w:val="es-ES" w:eastAsia="es-ES"/>
              </w:rPr>
              <w:t xml:space="preserve">Se consideran distintas instancias de difusión, las que se analizan en el cuadro siguiente: </w:t>
            </w:r>
          </w:p>
          <w:p w:rsidR="00012476" w:rsidRPr="00B21DE8" w:rsidRDefault="00012476" w:rsidP="001767A4">
            <w:pPr>
              <w:spacing w:after="0" w:line="240" w:lineRule="auto"/>
              <w:jc w:val="left"/>
              <w:rPr>
                <w:rFonts w:eastAsia="Times New Roman" w:cs="Times New Roman"/>
                <w:color w:val="000000"/>
                <w:sz w:val="18"/>
                <w:szCs w:val="18"/>
                <w:lang w:val="es-ES" w:eastAsia="es-ES"/>
              </w:rPr>
            </w:pPr>
          </w:p>
          <w:tbl>
            <w:tblPr>
              <w:tblStyle w:val="TABLADGA2"/>
              <w:tblW w:w="9051" w:type="dxa"/>
              <w:tblLook w:val="04A0" w:firstRow="1" w:lastRow="0" w:firstColumn="1" w:lastColumn="0" w:noHBand="0" w:noVBand="1"/>
            </w:tblPr>
            <w:tblGrid>
              <w:gridCol w:w="1787"/>
              <w:gridCol w:w="1787"/>
              <w:gridCol w:w="1788"/>
              <w:gridCol w:w="3689"/>
            </w:tblGrid>
            <w:tr w:rsidR="002342FE" w:rsidRPr="00B21DE8" w:rsidTr="00234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2342FE" w:rsidP="001767A4">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Objetivo</w:t>
                  </w:r>
                </w:p>
              </w:tc>
              <w:tc>
                <w:tcPr>
                  <w:tcW w:w="1787" w:type="dxa"/>
                </w:tcPr>
                <w:p w:rsidR="002342FE" w:rsidRPr="00B21DE8" w:rsidRDefault="002342FE" w:rsidP="001767A4">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Público Objetivo</w:t>
                  </w:r>
                </w:p>
              </w:tc>
              <w:tc>
                <w:tcPr>
                  <w:tcW w:w="1788" w:type="dxa"/>
                </w:tcPr>
                <w:p w:rsidR="002342FE" w:rsidRPr="00B21DE8" w:rsidRDefault="002342FE" w:rsidP="001767A4">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Contenidos </w:t>
                  </w:r>
                </w:p>
              </w:tc>
              <w:tc>
                <w:tcPr>
                  <w:tcW w:w="3689" w:type="dxa"/>
                </w:tcPr>
                <w:p w:rsidR="002342FE" w:rsidRPr="00B21DE8" w:rsidRDefault="002342FE" w:rsidP="001767A4">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Canales de comunicación</w:t>
                  </w:r>
                </w:p>
              </w:tc>
            </w:tr>
            <w:tr w:rsidR="002342FE" w:rsidRPr="00B21DE8" w:rsidTr="002342FE">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2342FE" w:rsidP="002342FE">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Que los usuarios conozcan las Funciones generales de la DGA</w:t>
                  </w:r>
                </w:p>
              </w:tc>
              <w:tc>
                <w:tcPr>
                  <w:tcW w:w="1787"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Público General</w:t>
                  </w:r>
                </w:p>
              </w:tc>
              <w:tc>
                <w:tcPr>
                  <w:tcW w:w="1788" w:type="dxa"/>
                </w:tcPr>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Funciones Generales de la DGA.</w:t>
                  </w:r>
                </w:p>
              </w:tc>
              <w:tc>
                <w:tcPr>
                  <w:tcW w:w="3689"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Material impreso para distribución en municipios, organizaciones de usuarios de aguas, organizaciones sociales, APR, otros.</w:t>
                  </w:r>
                </w:p>
              </w:tc>
            </w:tr>
            <w:tr w:rsidR="002342FE" w:rsidRPr="00B21DE8" w:rsidTr="002342FE">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2342FE" w:rsidP="001767A4">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Los Usuarios internalizan el valor del agua (ambiental, patrimonial, económico)</w:t>
                  </w:r>
                </w:p>
              </w:tc>
              <w:tc>
                <w:tcPr>
                  <w:tcW w:w="1787"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Usuarios del Agua en general</w:t>
                  </w:r>
                </w:p>
              </w:tc>
              <w:tc>
                <w:tcPr>
                  <w:tcW w:w="1788"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Valor de uso y no uso de los recursos hídricos</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Servicios ambientales del agua.</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Principales factores que afectan a los recursos hídricos</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Medidas que adopta la DGA</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Medidas que pueden adoptar los usuarios </w:t>
                  </w:r>
                </w:p>
              </w:tc>
              <w:tc>
                <w:tcPr>
                  <w:tcW w:w="3689"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Material impreso para distribución en municipios, organizaciones de usuarios de aguas, organizaciones sociales, APR, otros.</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Participación de funcionarios de la DGA en actividades de usuarios directos o indirectos del agua. Charlas en colegios o instituciones educacionales.   </w:t>
                  </w:r>
                </w:p>
              </w:tc>
            </w:tr>
            <w:tr w:rsidR="002342FE" w:rsidRPr="00B21DE8" w:rsidTr="002342FE">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2342FE" w:rsidP="001767A4">
                  <w:pPr>
                    <w:spacing w:after="0"/>
                    <w:jc w:val="left"/>
                    <w:rPr>
                      <w:rFonts w:eastAsia="Times New Roman"/>
                      <w:color w:val="000000"/>
                      <w:sz w:val="18"/>
                      <w:szCs w:val="18"/>
                      <w:lang w:val="es-ES" w:eastAsia="es-ES"/>
                    </w:rPr>
                  </w:pPr>
                </w:p>
                <w:p w:rsidR="002342FE" w:rsidRPr="00B21DE8" w:rsidRDefault="002342FE" w:rsidP="001767A4">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Los usuarios mejoran su conocimiento sobre los Derechos de aprovechamiento de aguas</w:t>
                  </w:r>
                </w:p>
                <w:p w:rsidR="002342FE" w:rsidRPr="00B21DE8" w:rsidRDefault="002342FE" w:rsidP="001767A4">
                  <w:pPr>
                    <w:spacing w:after="0"/>
                    <w:jc w:val="left"/>
                    <w:rPr>
                      <w:rFonts w:eastAsia="Times New Roman"/>
                      <w:color w:val="000000"/>
                      <w:sz w:val="18"/>
                      <w:szCs w:val="18"/>
                      <w:lang w:val="es-ES" w:eastAsia="es-ES"/>
                    </w:rPr>
                  </w:pPr>
                </w:p>
              </w:tc>
              <w:tc>
                <w:tcPr>
                  <w:tcW w:w="1787"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Usuarios del Agua</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Organizaciones de Usuarios del agua</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APR</w:t>
                  </w:r>
                </w:p>
              </w:tc>
              <w:tc>
                <w:tcPr>
                  <w:tcW w:w="1788" w:type="dxa"/>
                </w:tcPr>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Concepto de derechos de aprovechamiento de aguas en el marco del Código de Aguas</w:t>
                  </w:r>
                </w:p>
              </w:tc>
              <w:tc>
                <w:tcPr>
                  <w:tcW w:w="3689" w:type="dxa"/>
                </w:tcPr>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Material impreso para distribución en municipios, organizaciones de usuarios de aguas, organizaciones sociales, APR, otros.</w:t>
                  </w: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Participación de funcionarios de la DGA en actividades de usuarios del agua.</w:t>
                  </w: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Capacitación a comunidades de agua, Asociaciones de APR, </w:t>
                  </w:r>
                  <w:r w:rsidR="001767A4" w:rsidRPr="00B21DE8">
                    <w:rPr>
                      <w:rFonts w:eastAsia="Times New Roman"/>
                      <w:color w:val="000000"/>
                      <w:sz w:val="18"/>
                      <w:szCs w:val="18"/>
                      <w:lang w:val="es-ES" w:eastAsia="es-ES"/>
                    </w:rPr>
                    <w:t>Municipios, u otros actores que faciliten el acceso de los usuarios a realizar trámites asociados a derechos de aprovechamiento.</w:t>
                  </w:r>
                </w:p>
                <w:p w:rsidR="002342FE" w:rsidRPr="00B21DE8" w:rsidRDefault="002342FE"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r w:rsidR="002342FE" w:rsidRPr="00B21DE8" w:rsidTr="002342FE">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1767A4" w:rsidP="001767A4">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Las organizaciones de usuarios de agua mejoran su colaboración con la DGA</w:t>
                  </w:r>
                </w:p>
              </w:tc>
              <w:tc>
                <w:tcPr>
                  <w:tcW w:w="1787" w:type="dxa"/>
                </w:tcPr>
                <w:p w:rsidR="002342FE"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Juntas de Vigilancia</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Comunidades de Agua</w:t>
                  </w:r>
                </w:p>
              </w:tc>
              <w:tc>
                <w:tcPr>
                  <w:tcW w:w="1788" w:type="dxa"/>
                </w:tcPr>
                <w:p w:rsidR="002342FE"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Administración de organizaciones de usuarios de aguas en el contexto del Código de Aguas.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Herramientas de apoyo de la DGA para una mejor gestión de las organizaciones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c>
                <w:tcPr>
                  <w:tcW w:w="3689" w:type="dxa"/>
                </w:tcPr>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Material impreso para distribución en organizaciones de usuarios de aguas.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Participación de funcionarios en charlas, talleres o mesas de trabajo con organizaciones de usuarios de agua para definir estrategias de colaboración. </w:t>
                  </w: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r w:rsidR="002342FE" w:rsidRPr="00B21DE8" w:rsidTr="002342FE">
              <w:tc>
                <w:tcPr>
                  <w:cnfStyle w:val="001000000000" w:firstRow="0" w:lastRow="0" w:firstColumn="1" w:lastColumn="0" w:oddVBand="0" w:evenVBand="0" w:oddHBand="0" w:evenHBand="0" w:firstRowFirstColumn="0" w:firstRowLastColumn="0" w:lastRowFirstColumn="0" w:lastRowLastColumn="0"/>
                  <w:tcW w:w="1787" w:type="dxa"/>
                </w:tcPr>
                <w:p w:rsidR="002342FE" w:rsidRPr="00B21DE8" w:rsidRDefault="001767A4" w:rsidP="001767A4">
                  <w:pPr>
                    <w:spacing w:after="0"/>
                    <w:jc w:val="left"/>
                    <w:rPr>
                      <w:rFonts w:eastAsia="Times New Roman"/>
                      <w:color w:val="000000"/>
                      <w:sz w:val="18"/>
                      <w:szCs w:val="18"/>
                      <w:lang w:val="es-ES" w:eastAsia="es-ES"/>
                    </w:rPr>
                  </w:pPr>
                  <w:r w:rsidRPr="00B21DE8">
                    <w:rPr>
                      <w:rFonts w:eastAsia="Times New Roman"/>
                      <w:color w:val="000000"/>
                      <w:sz w:val="18"/>
                      <w:szCs w:val="18"/>
                      <w:lang w:val="es-ES" w:eastAsia="es-ES"/>
                    </w:rPr>
                    <w:t>Los centros de formación técnica y universitaria regionales incorporan elementos de gestión de recursos hídricos</w:t>
                  </w:r>
                </w:p>
              </w:tc>
              <w:tc>
                <w:tcPr>
                  <w:tcW w:w="1787" w:type="dxa"/>
                </w:tcPr>
                <w:p w:rsidR="002342FE"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Centros de Formación Técnica</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Institutos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Universidades</w:t>
                  </w:r>
                </w:p>
              </w:tc>
              <w:tc>
                <w:tcPr>
                  <w:tcW w:w="1788" w:type="dxa"/>
                </w:tcPr>
                <w:p w:rsidR="002342FE"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Código de Aguas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Gestión de Recursos Hídricos</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Oportunidades  profesionales en el mundo del agua</w:t>
                  </w:r>
                </w:p>
              </w:tc>
              <w:tc>
                <w:tcPr>
                  <w:tcW w:w="3689" w:type="dxa"/>
                </w:tcPr>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Material impreso para distribución en instituciones de educación superior.</w:t>
                  </w: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p w:rsidR="001767A4" w:rsidRPr="00B21DE8" w:rsidRDefault="001767A4" w:rsidP="001767A4">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B21DE8">
                    <w:rPr>
                      <w:rFonts w:eastAsia="Times New Roman"/>
                      <w:color w:val="000000"/>
                      <w:sz w:val="18"/>
                      <w:szCs w:val="18"/>
                      <w:lang w:val="es-ES" w:eastAsia="es-ES"/>
                    </w:rPr>
                    <w:t xml:space="preserve">Participación de funcionarios DGA en charlas vocacionales, y sobre todo en la difusión del Código Legal como orientador de los servicios a abogados, ingenieros que apoyen a la gestión de OUAs. </w:t>
                  </w:r>
                </w:p>
                <w:p w:rsidR="002342FE" w:rsidRPr="00B21DE8" w:rsidRDefault="002342FE" w:rsidP="002342FE">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r>
          </w:tbl>
          <w:p w:rsidR="00012476" w:rsidRPr="00B21DE8" w:rsidRDefault="00012476" w:rsidP="001767A4">
            <w:pPr>
              <w:spacing w:after="0" w:line="240" w:lineRule="auto"/>
              <w:jc w:val="left"/>
              <w:rPr>
                <w:rFonts w:eastAsia="Times New Roman" w:cs="Times New Roman"/>
                <w:color w:val="000000"/>
                <w:sz w:val="18"/>
                <w:szCs w:val="18"/>
                <w:lang w:val="es-ES" w:eastAsia="es-ES"/>
              </w:rPr>
            </w:pPr>
          </w:p>
          <w:p w:rsidR="00012476" w:rsidRPr="00B21DE8" w:rsidRDefault="00012476" w:rsidP="001767A4">
            <w:pPr>
              <w:spacing w:after="0" w:line="240" w:lineRule="auto"/>
              <w:jc w:val="left"/>
              <w:rPr>
                <w:rFonts w:eastAsia="Times New Roman" w:cs="Times New Roman"/>
                <w:color w:val="000000"/>
                <w:sz w:val="18"/>
                <w:szCs w:val="18"/>
                <w:lang w:val="es-ES" w:eastAsia="es-ES"/>
              </w:rPr>
            </w:pPr>
          </w:p>
          <w:p w:rsidR="00012476" w:rsidRDefault="001767A4" w:rsidP="001767A4">
            <w:pPr>
              <w:spacing w:after="0" w:line="240" w:lineRule="auto"/>
              <w:jc w:val="left"/>
              <w:rPr>
                <w:rFonts w:eastAsia="Times New Roman" w:cs="Times New Roman"/>
                <w:color w:val="000000"/>
                <w:sz w:val="18"/>
                <w:szCs w:val="18"/>
                <w:lang w:val="es-ES" w:eastAsia="es-ES"/>
              </w:rPr>
            </w:pPr>
            <w:r w:rsidRPr="00B21DE8">
              <w:rPr>
                <w:rFonts w:eastAsia="Times New Roman" w:cs="Times New Roman"/>
                <w:color w:val="000000"/>
                <w:sz w:val="18"/>
                <w:szCs w:val="18"/>
                <w:lang w:val="es-ES" w:eastAsia="es-ES"/>
              </w:rPr>
              <w:t xml:space="preserve">La implementación de esta medida pasa por el desarrollo, diseño e impresión de material de difusión ad-hoc para los distintos públicos </w:t>
            </w:r>
            <w:proofErr w:type="gramStart"/>
            <w:r w:rsidRPr="00B21DE8">
              <w:rPr>
                <w:rFonts w:eastAsia="Times New Roman" w:cs="Times New Roman"/>
                <w:color w:val="000000"/>
                <w:sz w:val="18"/>
                <w:szCs w:val="18"/>
                <w:lang w:val="es-ES" w:eastAsia="es-ES"/>
              </w:rPr>
              <w:t>objetivo y contenidos</w:t>
            </w:r>
            <w:proofErr w:type="gramEnd"/>
            <w:r w:rsidRPr="00B21DE8">
              <w:rPr>
                <w:rFonts w:eastAsia="Times New Roman" w:cs="Times New Roman"/>
                <w:color w:val="000000"/>
                <w:sz w:val="18"/>
                <w:szCs w:val="18"/>
                <w:lang w:val="es-ES" w:eastAsia="es-ES"/>
              </w:rPr>
              <w:t xml:space="preserve"> a difundir. El presupuesto de material se presenta en el cuadro siguiente. </w:t>
            </w:r>
          </w:p>
          <w:p w:rsidR="00B21DE8" w:rsidRDefault="00B21DE8" w:rsidP="001767A4">
            <w:pPr>
              <w:spacing w:after="0" w:line="240" w:lineRule="auto"/>
              <w:jc w:val="left"/>
              <w:rPr>
                <w:rFonts w:eastAsia="Times New Roman" w:cs="Times New Roman"/>
                <w:color w:val="000000"/>
                <w:sz w:val="18"/>
                <w:szCs w:val="18"/>
                <w:lang w:val="es-ES" w:eastAsia="es-ES"/>
              </w:rPr>
            </w:pPr>
          </w:p>
          <w:p w:rsidR="00B21DE8" w:rsidRPr="00B21DE8" w:rsidRDefault="00B21DE8" w:rsidP="001767A4">
            <w:pPr>
              <w:spacing w:after="0" w:line="240" w:lineRule="auto"/>
              <w:jc w:val="left"/>
              <w:rPr>
                <w:rFonts w:eastAsia="Times New Roman" w:cs="Times New Roman"/>
                <w:color w:val="000000"/>
                <w:sz w:val="18"/>
                <w:szCs w:val="18"/>
                <w:lang w:val="es-ES" w:eastAsia="es-ES"/>
              </w:rPr>
            </w:pPr>
          </w:p>
          <w:p w:rsidR="00012476" w:rsidRPr="00B21DE8" w:rsidRDefault="00012476" w:rsidP="001767A4">
            <w:pPr>
              <w:spacing w:after="0" w:line="240" w:lineRule="auto"/>
              <w:jc w:val="left"/>
              <w:rPr>
                <w:rFonts w:eastAsia="Times New Roman" w:cs="Times New Roman"/>
                <w:color w:val="000000"/>
                <w:sz w:val="18"/>
                <w:szCs w:val="18"/>
                <w:lang w:val="es-ES" w:eastAsia="es-ES"/>
              </w:rPr>
            </w:pPr>
          </w:p>
        </w:tc>
      </w:tr>
      <w:tr w:rsidR="008F2EBB" w:rsidRPr="00B21DE8" w:rsidTr="00CC5476">
        <w:trPr>
          <w:trHeight w:val="586"/>
        </w:trPr>
        <w:tc>
          <w:tcPr>
            <w:tcW w:w="9103" w:type="dxa"/>
            <w:gridSpan w:val="8"/>
            <w:shd w:val="clear" w:color="auto" w:fill="auto"/>
            <w:vAlign w:val="center"/>
          </w:tcPr>
          <w:p w:rsidR="008F2EBB" w:rsidRPr="00B21DE8" w:rsidRDefault="008F2EBB" w:rsidP="001767A4">
            <w:pPr>
              <w:spacing w:after="0" w:line="240" w:lineRule="auto"/>
              <w:jc w:val="left"/>
              <w:rPr>
                <w:rFonts w:eastAsia="Times New Roman" w:cs="Times New Roman"/>
                <w:b/>
                <w:color w:val="000000"/>
                <w:sz w:val="18"/>
                <w:szCs w:val="18"/>
                <w:lang w:val="es-ES" w:eastAsia="es-ES"/>
              </w:rPr>
            </w:pPr>
            <w:r w:rsidRPr="00B21DE8">
              <w:rPr>
                <w:rFonts w:eastAsia="Times New Roman" w:cs="Times New Roman"/>
                <w:b/>
                <w:color w:val="000000"/>
                <w:sz w:val="18"/>
                <w:szCs w:val="18"/>
                <w:lang w:val="es-ES" w:eastAsia="es-ES"/>
              </w:rPr>
              <w:lastRenderedPageBreak/>
              <w:t>Presupuesto</w:t>
            </w:r>
          </w:p>
        </w:tc>
      </w:tr>
      <w:tr w:rsidR="008F2EBB" w:rsidRPr="00B21DE8" w:rsidTr="00CC5476">
        <w:trPr>
          <w:trHeight w:val="586"/>
        </w:trPr>
        <w:tc>
          <w:tcPr>
            <w:tcW w:w="9103" w:type="dxa"/>
            <w:gridSpan w:val="8"/>
            <w:shd w:val="clear" w:color="auto" w:fill="auto"/>
            <w:vAlign w:val="center"/>
          </w:tcPr>
          <w:p w:rsidR="00556118" w:rsidRDefault="00B21DE8" w:rsidP="001767A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estimó un presupuesto general anual para costos y material de difusión. En 5 años, este presupuesto alcanza a $50 millones de pesos. </w:t>
            </w:r>
          </w:p>
          <w:p w:rsidR="00B21DE8" w:rsidRDefault="00B21DE8" w:rsidP="001767A4">
            <w:pPr>
              <w:spacing w:after="0" w:line="240" w:lineRule="auto"/>
              <w:jc w:val="left"/>
              <w:rPr>
                <w:rFonts w:eastAsia="Times New Roman" w:cs="Times New Roman"/>
                <w:color w:val="000000"/>
                <w:sz w:val="18"/>
                <w:szCs w:val="18"/>
                <w:lang w:val="es-ES" w:eastAsia="es-ES"/>
              </w:rPr>
            </w:pPr>
          </w:p>
          <w:tbl>
            <w:tblPr>
              <w:tblW w:w="6420" w:type="dxa"/>
              <w:jc w:val="center"/>
              <w:tblCellMar>
                <w:left w:w="70" w:type="dxa"/>
                <w:right w:w="70" w:type="dxa"/>
              </w:tblCellMar>
              <w:tblLook w:val="04A0" w:firstRow="1" w:lastRow="0" w:firstColumn="1" w:lastColumn="0" w:noHBand="0" w:noVBand="1"/>
            </w:tblPr>
            <w:tblGrid>
              <w:gridCol w:w="1320"/>
              <w:gridCol w:w="1200"/>
              <w:gridCol w:w="1200"/>
              <w:gridCol w:w="1500"/>
              <w:gridCol w:w="1200"/>
            </w:tblGrid>
            <w:tr w:rsidR="00B21DE8" w:rsidRPr="00B21DE8" w:rsidTr="00B21DE8">
              <w:trPr>
                <w:trHeight w:val="495"/>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1DE8" w:rsidRPr="00B21DE8" w:rsidRDefault="00B21DE8" w:rsidP="00B21DE8">
                  <w:pPr>
                    <w:spacing w:after="0" w:line="240" w:lineRule="auto"/>
                    <w:jc w:val="center"/>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21DE8" w:rsidRPr="00B21DE8" w:rsidRDefault="00B21DE8" w:rsidP="00B21DE8">
                  <w:pPr>
                    <w:spacing w:after="0" w:line="240" w:lineRule="auto"/>
                    <w:jc w:val="center"/>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21DE8" w:rsidRPr="00B21DE8" w:rsidRDefault="00B21DE8" w:rsidP="00B21DE8">
                  <w:pPr>
                    <w:spacing w:after="0" w:line="240" w:lineRule="auto"/>
                    <w:jc w:val="center"/>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B21DE8" w:rsidRPr="00B21DE8" w:rsidRDefault="00B21DE8" w:rsidP="00B21DE8">
                  <w:pPr>
                    <w:spacing w:after="0" w:line="240" w:lineRule="auto"/>
                    <w:jc w:val="center"/>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Precio Unitario</w:t>
                  </w:r>
                  <w:r w:rsidRPr="00B21DE8">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21DE8" w:rsidRPr="00B21DE8" w:rsidRDefault="00B21DE8" w:rsidP="00B21DE8">
                  <w:pPr>
                    <w:spacing w:after="0" w:line="240" w:lineRule="auto"/>
                    <w:jc w:val="center"/>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Precio Total</w:t>
                  </w:r>
                  <w:r w:rsidRPr="00B21DE8">
                    <w:rPr>
                      <w:rFonts w:ascii="Calibri" w:eastAsia="Times New Roman" w:hAnsi="Calibri" w:cs="Times New Roman"/>
                      <w:color w:val="000000"/>
                      <w:sz w:val="16"/>
                      <w:szCs w:val="16"/>
                    </w:rPr>
                    <w:t xml:space="preserve"> (Millones de $)</w:t>
                  </w:r>
                </w:p>
              </w:tc>
            </w:tr>
            <w:tr w:rsidR="00B21DE8" w:rsidRPr="00B21DE8" w:rsidTr="00B21DE8">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Costos difusión</w:t>
                  </w:r>
                </w:p>
              </w:tc>
              <w:tc>
                <w:tcPr>
                  <w:tcW w:w="1200" w:type="dxa"/>
                  <w:tcBorders>
                    <w:top w:val="nil"/>
                    <w:left w:val="nil"/>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proofErr w:type="spellStart"/>
                  <w:r w:rsidRPr="00B21DE8">
                    <w:rPr>
                      <w:rFonts w:ascii="Calibri" w:eastAsia="Times New Roman" w:hAnsi="Calibri" w:cs="Times New Roman"/>
                      <w:color w:val="000000"/>
                      <w:sz w:val="18"/>
                      <w:szCs w:val="18"/>
                    </w:rPr>
                    <w:t>gl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xml:space="preserve">                      1 </w:t>
                  </w:r>
                </w:p>
              </w:tc>
              <w:tc>
                <w:tcPr>
                  <w:tcW w:w="1500" w:type="dxa"/>
                  <w:tcBorders>
                    <w:top w:val="nil"/>
                    <w:left w:val="nil"/>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xml:space="preserve">                          10 </w:t>
                  </w:r>
                </w:p>
              </w:tc>
              <w:tc>
                <w:tcPr>
                  <w:tcW w:w="1200" w:type="dxa"/>
                  <w:tcBorders>
                    <w:top w:val="nil"/>
                    <w:left w:val="nil"/>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xml:space="preserve">                    10 </w:t>
                  </w:r>
                </w:p>
              </w:tc>
            </w:tr>
            <w:tr w:rsidR="00B21DE8" w:rsidRPr="00B21DE8" w:rsidTr="00B21DE8">
              <w:trPr>
                <w:trHeight w:val="300"/>
                <w:jc w:val="center"/>
              </w:trPr>
              <w:tc>
                <w:tcPr>
                  <w:tcW w:w="1320" w:type="dxa"/>
                  <w:tcBorders>
                    <w:top w:val="single" w:sz="4" w:space="0" w:color="auto"/>
                    <w:left w:val="single" w:sz="4" w:space="0" w:color="auto"/>
                    <w:bottom w:val="single" w:sz="4" w:space="0" w:color="auto"/>
                    <w:right w:val="nil"/>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B21DE8" w:rsidRPr="00B21DE8" w:rsidRDefault="00B21DE8" w:rsidP="00B21DE8">
                  <w:pPr>
                    <w:spacing w:after="0" w:line="240" w:lineRule="auto"/>
                    <w:jc w:val="left"/>
                    <w:rPr>
                      <w:rFonts w:ascii="Calibri" w:eastAsia="Times New Roman" w:hAnsi="Calibri" w:cs="Times New Roman"/>
                      <w:color w:val="000000"/>
                      <w:sz w:val="18"/>
                      <w:szCs w:val="18"/>
                    </w:rPr>
                  </w:pPr>
                  <w:r w:rsidRPr="00B21DE8">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B21DE8" w:rsidRPr="00B21DE8" w:rsidRDefault="00B21DE8" w:rsidP="00B21DE8">
                  <w:pPr>
                    <w:spacing w:after="0" w:line="240" w:lineRule="auto"/>
                    <w:jc w:val="left"/>
                    <w:rPr>
                      <w:rFonts w:ascii="Calibri" w:eastAsia="Times New Roman" w:hAnsi="Calibri" w:cs="Times New Roman"/>
                      <w:b/>
                      <w:bCs/>
                      <w:color w:val="000000"/>
                      <w:sz w:val="18"/>
                      <w:szCs w:val="18"/>
                    </w:rPr>
                  </w:pPr>
                  <w:r w:rsidRPr="00B21DE8">
                    <w:rPr>
                      <w:rFonts w:ascii="Calibri" w:eastAsia="Times New Roman" w:hAnsi="Calibri" w:cs="Times New Roman"/>
                      <w:b/>
                      <w:bCs/>
                      <w:color w:val="000000"/>
                      <w:sz w:val="18"/>
                      <w:szCs w:val="18"/>
                    </w:rPr>
                    <w:t xml:space="preserve">                    10 </w:t>
                  </w:r>
                </w:p>
              </w:tc>
            </w:tr>
          </w:tbl>
          <w:p w:rsidR="00B21DE8" w:rsidRDefault="00B21DE8" w:rsidP="001767A4">
            <w:pPr>
              <w:spacing w:after="0" w:line="240" w:lineRule="auto"/>
              <w:jc w:val="left"/>
              <w:rPr>
                <w:rFonts w:eastAsia="Times New Roman" w:cs="Times New Roman"/>
                <w:color w:val="000000"/>
                <w:sz w:val="18"/>
                <w:szCs w:val="18"/>
                <w:lang w:val="es-ES" w:eastAsia="es-ES"/>
              </w:rPr>
            </w:pPr>
          </w:p>
          <w:p w:rsidR="00B21DE8" w:rsidRPr="00B21DE8" w:rsidRDefault="00B21DE8" w:rsidP="001767A4">
            <w:pPr>
              <w:spacing w:after="0" w:line="240" w:lineRule="auto"/>
              <w:jc w:val="left"/>
              <w:rPr>
                <w:rFonts w:eastAsia="Times New Roman" w:cs="Times New Roman"/>
                <w:color w:val="000000"/>
                <w:sz w:val="18"/>
                <w:szCs w:val="18"/>
                <w:lang w:val="es-ES" w:eastAsia="es-ES"/>
              </w:rPr>
            </w:pPr>
          </w:p>
        </w:tc>
      </w:tr>
      <w:tr w:rsidR="00B21DE8" w:rsidRPr="009F2FC1" w:rsidTr="00CC5476">
        <w:trPr>
          <w:gridAfter w:val="1"/>
          <w:wAfter w:w="14" w:type="dxa"/>
          <w:trHeight w:val="586"/>
        </w:trPr>
        <w:tc>
          <w:tcPr>
            <w:tcW w:w="2325" w:type="dxa"/>
            <w:shd w:val="clear" w:color="auto" w:fill="auto"/>
            <w:vAlign w:val="center"/>
          </w:tcPr>
          <w:p w:rsidR="00B21DE8" w:rsidRPr="009F2FC1" w:rsidRDefault="00B21DE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98" w:type="dxa"/>
            <w:gridSpan w:val="2"/>
            <w:shd w:val="clear" w:color="auto" w:fill="auto"/>
            <w:vAlign w:val="center"/>
          </w:tcPr>
          <w:p w:rsidR="00B21DE8" w:rsidRPr="009F2FC1" w:rsidRDefault="00B21DE8" w:rsidP="00B21DE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42 millones de pesos </w:t>
            </w:r>
          </w:p>
        </w:tc>
        <w:tc>
          <w:tcPr>
            <w:tcW w:w="1792" w:type="dxa"/>
            <w:gridSpan w:val="2"/>
            <w:shd w:val="clear" w:color="auto" w:fill="auto"/>
            <w:vAlign w:val="center"/>
          </w:tcPr>
          <w:p w:rsidR="00B21DE8" w:rsidRPr="009F2FC1" w:rsidRDefault="00B21DE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4" w:type="dxa"/>
            <w:gridSpan w:val="2"/>
            <w:shd w:val="clear" w:color="auto" w:fill="auto"/>
            <w:vAlign w:val="center"/>
          </w:tcPr>
          <w:p w:rsidR="00B21DE8" w:rsidRDefault="00B21DE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21DE8" w:rsidRPr="009F2FC1" w:rsidRDefault="00B21DE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8F2EBB" w:rsidRPr="00B21DE8" w:rsidRDefault="008F2EBB" w:rsidP="00FB2027">
      <w:pPr>
        <w:rPr>
          <w:highlight w:val="cyan"/>
          <w:lang w:val="es-ES_tradnl" w:eastAsia="es-ES"/>
        </w:rPr>
      </w:pPr>
    </w:p>
    <w:sectPr w:rsidR="008F2EBB" w:rsidRPr="00B21DE8"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64C" w:rsidRDefault="0051564C" w:rsidP="00C47A64">
      <w:r>
        <w:separator/>
      </w:r>
    </w:p>
    <w:p w:rsidR="0051564C" w:rsidRDefault="0051564C" w:rsidP="00C47A64"/>
  </w:endnote>
  <w:endnote w:type="continuationSeparator" w:id="0">
    <w:p w:rsidR="0051564C" w:rsidRDefault="0051564C" w:rsidP="00C47A64">
      <w:r>
        <w:continuationSeparator/>
      </w:r>
    </w:p>
    <w:p w:rsidR="0051564C" w:rsidRDefault="0051564C"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DE8" w:rsidRPr="00BE37F7" w:rsidRDefault="00B21DE8" w:rsidP="00B21DE8">
    <w:pPr>
      <w:pStyle w:val="EncabezadoPie"/>
      <w:pBdr>
        <w:top w:val="single" w:sz="4" w:space="11" w:color="auto"/>
      </w:pBdr>
    </w:pPr>
    <w:r w:rsidRPr="00BE37F7">
      <w:t xml:space="preserve">PLAN MAESTRO DE RECURSOS HÍDRICOS REGIÓN DEL MAULE   </w:t>
    </w:r>
  </w:p>
  <w:p w:rsidR="00B21DE8" w:rsidRPr="00BE37F7" w:rsidRDefault="00B21DE8" w:rsidP="00B21DE8">
    <w:pPr>
      <w:pStyle w:val="EncabezadoPie"/>
    </w:pPr>
    <w:r w:rsidRPr="00BE37F7">
      <w:t>Etapa 4. Propuesta del Plan Regional</w:t>
    </w:r>
    <w:r w:rsidRPr="00BE37F7">
      <w:rPr>
        <w:rFonts w:ascii="Arial Narrow" w:hAnsi="Arial Narrow"/>
        <w:sz w:val="18"/>
        <w:szCs w:val="18"/>
      </w:rPr>
      <w:tab/>
    </w:r>
  </w:p>
  <w:p w:rsidR="00B21DE8" w:rsidRDefault="00B21DE8" w:rsidP="00B21DE8">
    <w:pPr>
      <w:pStyle w:val="EncabezadoPie"/>
      <w:tabs>
        <w:tab w:val="right" w:pos="9072"/>
      </w:tabs>
    </w:pPr>
    <w:r>
      <w:t>FICHAS DE INICIATIVAS</w:t>
    </w:r>
  </w:p>
  <w:p w:rsidR="001767A4" w:rsidRPr="00B21DE8" w:rsidRDefault="00B21DE8" w:rsidP="00B21DE8">
    <w:pPr>
      <w:pStyle w:val="EncabezadoPie"/>
      <w:tabs>
        <w:tab w:val="right" w:pos="9072"/>
      </w:tabs>
      <w:jc w:val="right"/>
    </w:pPr>
    <w:r>
      <w:t xml:space="preserve">Página </w:t>
    </w:r>
    <w:r>
      <w:fldChar w:fldCharType="begin"/>
    </w:r>
    <w:r>
      <w:instrText>PAGE   \* MERGEFORMAT</w:instrText>
    </w:r>
    <w:r>
      <w:fldChar w:fldCharType="separate"/>
    </w:r>
    <w:r w:rsidR="00CC5476" w:rsidRPr="00CC5476">
      <w:rPr>
        <w:noProof/>
        <w:lang w:val="es-ES"/>
      </w:rPr>
      <w:t>4</w:t>
    </w:r>
    <w:r>
      <w:fldChar w:fldCharType="end"/>
    </w:r>
    <w:r>
      <w:t>/</w:t>
    </w:r>
    <w:fldSimple w:instr=" NUMPAGES   \* MERGEFORMAT ">
      <w:r w:rsidR="00CC5476">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64C" w:rsidRDefault="0051564C" w:rsidP="00C47A64">
      <w:r>
        <w:separator/>
      </w:r>
    </w:p>
    <w:p w:rsidR="0051564C" w:rsidRDefault="0051564C" w:rsidP="00C47A64"/>
  </w:footnote>
  <w:footnote w:type="continuationSeparator" w:id="0">
    <w:p w:rsidR="0051564C" w:rsidRDefault="0051564C" w:rsidP="00C47A64">
      <w:r>
        <w:continuationSeparator/>
      </w:r>
    </w:p>
    <w:p w:rsidR="0051564C" w:rsidRDefault="0051564C"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B21DE8" w:rsidTr="006D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B21DE8" w:rsidRDefault="00B21DE8"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5pt" o:ole="">
                <v:imagedata r:id="rId1" o:title=""/>
              </v:shape>
              <o:OLEObject Type="Embed" ProgID="PBrush" ShapeID="_x0000_i1025" DrawAspect="Content" ObjectID="_1606320220" r:id="rId2"/>
            </w:object>
          </w:r>
        </w:p>
      </w:tc>
      <w:tc>
        <w:tcPr>
          <w:tcW w:w="7126" w:type="dxa"/>
          <w:shd w:val="clear" w:color="auto" w:fill="auto"/>
        </w:tcPr>
        <w:p w:rsidR="00B21DE8" w:rsidRPr="00B31517" w:rsidRDefault="00B21DE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B21DE8" w:rsidRPr="00B31517" w:rsidRDefault="00B21DE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B21DE8" w:rsidRDefault="00B21DE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B21DE8" w:rsidRPr="00B31517" w:rsidRDefault="00B21DE8" w:rsidP="00A54186">
          <w:pPr>
            <w:pStyle w:val="EncabezadoPie"/>
            <w:cnfStyle w:val="100000000000" w:firstRow="1" w:lastRow="0" w:firstColumn="0" w:lastColumn="0" w:oddVBand="0" w:evenVBand="0" w:oddHBand="0" w:evenHBand="0" w:firstRowFirstColumn="0" w:firstRowLastColumn="0" w:lastRowFirstColumn="0" w:lastRowLastColumn="0"/>
          </w:pPr>
        </w:p>
        <w:p w:rsidR="00B21DE8" w:rsidRPr="00B31517" w:rsidRDefault="00B21DE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B21DE8" w:rsidRDefault="00B21DE8"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1767A4" w:rsidRPr="001B0220" w:rsidRDefault="001767A4"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8A10E1"/>
    <w:multiLevelType w:val="hybridMultilevel"/>
    <w:tmpl w:val="2312CF88"/>
    <w:lvl w:ilvl="0" w:tplc="F1560F30">
      <w:start w:val="1"/>
      <w:numFmt w:val="bullet"/>
      <w:lvlText w:val=""/>
      <w:lvlJc w:val="left"/>
      <w:pPr>
        <w:ind w:left="720" w:hanging="360"/>
      </w:pPr>
      <w:rPr>
        <w:rFonts w:ascii="Wingdings" w:eastAsia="Times New Roman"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7"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C50CD5"/>
    <w:multiLevelType w:val="hybridMultilevel"/>
    <w:tmpl w:val="702E3016"/>
    <w:lvl w:ilvl="0" w:tplc="CD98D94A">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0F5168"/>
    <w:multiLevelType w:val="hybridMultilevel"/>
    <w:tmpl w:val="72D024C0"/>
    <w:lvl w:ilvl="0" w:tplc="B42C6A2C">
      <w:start w:val="12"/>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0"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2143898"/>
    <w:multiLevelType w:val="hybridMultilevel"/>
    <w:tmpl w:val="39B077E6"/>
    <w:lvl w:ilvl="0" w:tplc="50B6CC82">
      <w:start w:val="347"/>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14"/>
  </w:num>
  <w:num w:numId="5">
    <w:abstractNumId w:val="29"/>
  </w:num>
  <w:num w:numId="6">
    <w:abstractNumId w:val="26"/>
  </w:num>
  <w:num w:numId="7">
    <w:abstractNumId w:val="1"/>
  </w:num>
  <w:num w:numId="8">
    <w:abstractNumId w:val="0"/>
  </w:num>
  <w:num w:numId="9">
    <w:abstractNumId w:val="16"/>
  </w:num>
  <w:num w:numId="10">
    <w:abstractNumId w:val="23"/>
  </w:num>
  <w:num w:numId="11">
    <w:abstractNumId w:val="9"/>
  </w:num>
  <w:num w:numId="12">
    <w:abstractNumId w:val="21"/>
  </w:num>
  <w:num w:numId="13">
    <w:abstractNumId w:val="32"/>
  </w:num>
  <w:num w:numId="14">
    <w:abstractNumId w:val="17"/>
  </w:num>
  <w:num w:numId="15">
    <w:abstractNumId w:val="13"/>
  </w:num>
  <w:num w:numId="16">
    <w:abstractNumId w:val="34"/>
  </w:num>
  <w:num w:numId="17">
    <w:abstractNumId w:val="7"/>
  </w:num>
  <w:num w:numId="18">
    <w:abstractNumId w:val="35"/>
  </w:num>
  <w:num w:numId="19">
    <w:abstractNumId w:val="24"/>
  </w:num>
  <w:num w:numId="20">
    <w:abstractNumId w:val="30"/>
  </w:num>
  <w:num w:numId="21">
    <w:abstractNumId w:val="20"/>
  </w:num>
  <w:num w:numId="22">
    <w:abstractNumId w:val="20"/>
    <w:lvlOverride w:ilvl="0">
      <w:startOverride w:val="1"/>
    </w:lvlOverride>
  </w:num>
  <w:num w:numId="23">
    <w:abstractNumId w:val="18"/>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0"/>
  </w:num>
  <w:num w:numId="31">
    <w:abstractNumId w:val="20"/>
    <w:lvlOverride w:ilvl="0">
      <w:startOverride w:val="1"/>
    </w:lvlOverride>
  </w:num>
  <w:num w:numId="32">
    <w:abstractNumId w:val="15"/>
  </w:num>
  <w:num w:numId="33">
    <w:abstractNumId w:val="19"/>
  </w:num>
  <w:num w:numId="34">
    <w:abstractNumId w:val="2"/>
  </w:num>
  <w:num w:numId="35">
    <w:abstractNumId w:val="22"/>
  </w:num>
  <w:num w:numId="36">
    <w:abstractNumId w:val="33"/>
  </w:num>
  <w:num w:numId="37">
    <w:abstractNumId w:val="12"/>
  </w:num>
  <w:num w:numId="38">
    <w:abstractNumId w:val="25"/>
  </w:num>
  <w:num w:numId="39">
    <w:abstractNumId w:val="20"/>
    <w:lvlOverride w:ilvl="0">
      <w:startOverride w:val="1"/>
    </w:lvlOverride>
  </w:num>
  <w:num w:numId="40">
    <w:abstractNumId w:val="13"/>
  </w:num>
  <w:num w:numId="41">
    <w:abstractNumId w:val="4"/>
  </w:num>
  <w:num w:numId="42">
    <w:abstractNumId w:val="10"/>
  </w:num>
  <w:num w:numId="43">
    <w:abstractNumId w:val="28"/>
  </w:num>
  <w:num w:numId="44">
    <w:abstractNumId w:val="5"/>
  </w:num>
  <w:num w:numId="45">
    <w:abstractNumId w:val="31"/>
  </w:num>
  <w:num w:numId="46">
    <w:abstractNumId w:val="8"/>
  </w:num>
  <w:num w:numId="47">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476"/>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5F44"/>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6A4E"/>
    <w:rsid w:val="00127E96"/>
    <w:rsid w:val="0013185B"/>
    <w:rsid w:val="00131D31"/>
    <w:rsid w:val="001320F6"/>
    <w:rsid w:val="0013239C"/>
    <w:rsid w:val="00132689"/>
    <w:rsid w:val="001340C7"/>
    <w:rsid w:val="001371A3"/>
    <w:rsid w:val="0014148D"/>
    <w:rsid w:val="00141889"/>
    <w:rsid w:val="001430AB"/>
    <w:rsid w:val="00143C4C"/>
    <w:rsid w:val="00146303"/>
    <w:rsid w:val="001542AB"/>
    <w:rsid w:val="0016444F"/>
    <w:rsid w:val="00164BB6"/>
    <w:rsid w:val="0016631F"/>
    <w:rsid w:val="00171AC2"/>
    <w:rsid w:val="00172077"/>
    <w:rsid w:val="001767A4"/>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42FE"/>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6038"/>
    <w:rsid w:val="002860E3"/>
    <w:rsid w:val="002877A8"/>
    <w:rsid w:val="00291D21"/>
    <w:rsid w:val="00293448"/>
    <w:rsid w:val="002942CB"/>
    <w:rsid w:val="002A0185"/>
    <w:rsid w:val="002A019F"/>
    <w:rsid w:val="002A18B1"/>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0583"/>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51A3"/>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309"/>
    <w:rsid w:val="004E7B0A"/>
    <w:rsid w:val="004E7F8E"/>
    <w:rsid w:val="004E7FA7"/>
    <w:rsid w:val="004F10DD"/>
    <w:rsid w:val="004F1F89"/>
    <w:rsid w:val="004F4F9E"/>
    <w:rsid w:val="004F5D6E"/>
    <w:rsid w:val="004F7BD3"/>
    <w:rsid w:val="00501739"/>
    <w:rsid w:val="00501F03"/>
    <w:rsid w:val="00502EAA"/>
    <w:rsid w:val="00503DF7"/>
    <w:rsid w:val="00503E8A"/>
    <w:rsid w:val="005045D7"/>
    <w:rsid w:val="005059CE"/>
    <w:rsid w:val="00505BD6"/>
    <w:rsid w:val="00510662"/>
    <w:rsid w:val="005109E1"/>
    <w:rsid w:val="005150AC"/>
    <w:rsid w:val="0051564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118"/>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7D9"/>
    <w:rsid w:val="005E4CFF"/>
    <w:rsid w:val="005E5329"/>
    <w:rsid w:val="005E72B4"/>
    <w:rsid w:val="005F1B16"/>
    <w:rsid w:val="005F277B"/>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0CF"/>
    <w:rsid w:val="0064644B"/>
    <w:rsid w:val="00646972"/>
    <w:rsid w:val="00651BA3"/>
    <w:rsid w:val="00652071"/>
    <w:rsid w:val="00652DD6"/>
    <w:rsid w:val="00652ED4"/>
    <w:rsid w:val="00652EE8"/>
    <w:rsid w:val="006539B4"/>
    <w:rsid w:val="00654F6E"/>
    <w:rsid w:val="0065575D"/>
    <w:rsid w:val="006602A8"/>
    <w:rsid w:val="006602B7"/>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12F0"/>
    <w:rsid w:val="006B2C04"/>
    <w:rsid w:val="006B4268"/>
    <w:rsid w:val="006B5E60"/>
    <w:rsid w:val="006C0456"/>
    <w:rsid w:val="006C05CF"/>
    <w:rsid w:val="006C2194"/>
    <w:rsid w:val="006C7C81"/>
    <w:rsid w:val="006D1EA8"/>
    <w:rsid w:val="006D7504"/>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3C48"/>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0D49"/>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4227"/>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2EBB"/>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574D"/>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045B"/>
    <w:rsid w:val="00B01402"/>
    <w:rsid w:val="00B01621"/>
    <w:rsid w:val="00B01BD5"/>
    <w:rsid w:val="00B02B7B"/>
    <w:rsid w:val="00B03D1B"/>
    <w:rsid w:val="00B041A6"/>
    <w:rsid w:val="00B04915"/>
    <w:rsid w:val="00B06188"/>
    <w:rsid w:val="00B068ED"/>
    <w:rsid w:val="00B076CF"/>
    <w:rsid w:val="00B0790F"/>
    <w:rsid w:val="00B10E18"/>
    <w:rsid w:val="00B113B2"/>
    <w:rsid w:val="00B20CFE"/>
    <w:rsid w:val="00B21CC0"/>
    <w:rsid w:val="00B21DE8"/>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963B8"/>
    <w:rsid w:val="00BA0577"/>
    <w:rsid w:val="00BA20BA"/>
    <w:rsid w:val="00BB14E8"/>
    <w:rsid w:val="00BB25DD"/>
    <w:rsid w:val="00BB36A2"/>
    <w:rsid w:val="00BB5F66"/>
    <w:rsid w:val="00BB640E"/>
    <w:rsid w:val="00BB672D"/>
    <w:rsid w:val="00BB6D89"/>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47D0"/>
    <w:rsid w:val="00C17905"/>
    <w:rsid w:val="00C20332"/>
    <w:rsid w:val="00C20DC9"/>
    <w:rsid w:val="00C20EE9"/>
    <w:rsid w:val="00C21165"/>
    <w:rsid w:val="00C21289"/>
    <w:rsid w:val="00C21579"/>
    <w:rsid w:val="00C21FB6"/>
    <w:rsid w:val="00C24A59"/>
    <w:rsid w:val="00C24ADB"/>
    <w:rsid w:val="00C24FD5"/>
    <w:rsid w:val="00C25474"/>
    <w:rsid w:val="00C2716D"/>
    <w:rsid w:val="00C27D69"/>
    <w:rsid w:val="00C30B4B"/>
    <w:rsid w:val="00C30E7D"/>
    <w:rsid w:val="00C3138E"/>
    <w:rsid w:val="00C3244A"/>
    <w:rsid w:val="00C328A0"/>
    <w:rsid w:val="00C32B49"/>
    <w:rsid w:val="00C332BB"/>
    <w:rsid w:val="00C33ACB"/>
    <w:rsid w:val="00C357B7"/>
    <w:rsid w:val="00C372DE"/>
    <w:rsid w:val="00C404A1"/>
    <w:rsid w:val="00C41356"/>
    <w:rsid w:val="00C427A0"/>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47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968E6"/>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AC2"/>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3174209">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07440176">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24972-5492-4EE5-A858-1C6499B2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4</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8</cp:revision>
  <cp:lastPrinted>2017-09-22T12:45:00Z</cp:lastPrinted>
  <dcterms:created xsi:type="dcterms:W3CDTF">2017-11-17T00:34:00Z</dcterms:created>
  <dcterms:modified xsi:type="dcterms:W3CDTF">2018-12-14T22:16:00Z</dcterms:modified>
</cp:coreProperties>
</file>