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4260"/>
        <w:gridCol w:w="102"/>
        <w:gridCol w:w="102"/>
        <w:gridCol w:w="4647"/>
      </w:tblGrid>
      <w:tr w:rsidR="004609D2" w:rsidRPr="006B37D6" w:rsidTr="00316BAA">
        <w:trPr>
          <w:trHeight w:val="330"/>
          <w:tblHeader/>
        </w:trPr>
        <w:tc>
          <w:tcPr>
            <w:tcW w:w="0" w:type="auto"/>
            <w:vMerge w:val="restart"/>
            <w:shd w:val="clear" w:color="auto" w:fill="8DB3E2" w:themeFill="text2" w:themeFillTint="66"/>
            <w:noWrap/>
          </w:tcPr>
          <w:p w:rsidR="004609D2" w:rsidRPr="006B37D6" w:rsidRDefault="004609D2" w:rsidP="004609D2">
            <w:pPr>
              <w:spacing w:after="0" w:line="240" w:lineRule="auto"/>
              <w:jc w:val="left"/>
              <w:rPr>
                <w:rFonts w:eastAsia="Times New Roman" w:cs="Times New Roman"/>
                <w:b/>
                <w:bCs/>
                <w:color w:val="000000"/>
                <w:sz w:val="18"/>
                <w:szCs w:val="18"/>
                <w:lang w:val="es-ES" w:eastAsia="es-ES"/>
              </w:rPr>
            </w:pPr>
          </w:p>
          <w:p w:rsidR="004609D2" w:rsidRPr="006B37D6" w:rsidRDefault="004609D2" w:rsidP="004609D2">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INSTITUCIONAL</w:t>
            </w:r>
          </w:p>
        </w:tc>
        <w:tc>
          <w:tcPr>
            <w:tcW w:w="0" w:type="auto"/>
            <w:gridSpan w:val="3"/>
            <w:shd w:val="clear" w:color="auto" w:fill="8DB3E2" w:themeFill="text2" w:themeFillTint="66"/>
            <w:vAlign w:val="center"/>
          </w:tcPr>
          <w:p w:rsidR="004609D2" w:rsidRPr="006B37D6" w:rsidRDefault="004609D2" w:rsidP="004609D2">
            <w:pPr>
              <w:spacing w:after="0"/>
              <w:jc w:val="left"/>
              <w:rPr>
                <w:rFonts w:eastAsia="Times New Roman"/>
                <w:color w:val="000000"/>
                <w:sz w:val="18"/>
                <w:szCs w:val="18"/>
              </w:rPr>
            </w:pPr>
            <w:r w:rsidRPr="006B37D6">
              <w:rPr>
                <w:color w:val="000000"/>
                <w:sz w:val="18"/>
                <w:szCs w:val="18"/>
              </w:rPr>
              <w:t>OBJETIVO 13.3 DARH: "Mejorar la situación legal de los derechos de aprovechamiento de agua en la región".</w:t>
            </w:r>
          </w:p>
        </w:tc>
      </w:tr>
      <w:tr w:rsidR="004609D2" w:rsidRPr="006B37D6" w:rsidTr="00316BAA">
        <w:trPr>
          <w:trHeight w:val="330"/>
          <w:tblHeader/>
        </w:trPr>
        <w:tc>
          <w:tcPr>
            <w:tcW w:w="0" w:type="auto"/>
            <w:vMerge/>
            <w:shd w:val="clear" w:color="auto" w:fill="8DB3E2" w:themeFill="text2" w:themeFillTint="66"/>
            <w:noWrap/>
          </w:tcPr>
          <w:p w:rsidR="004609D2" w:rsidRPr="006B37D6" w:rsidRDefault="004609D2" w:rsidP="004609D2">
            <w:pPr>
              <w:spacing w:after="0" w:line="240" w:lineRule="auto"/>
              <w:jc w:val="left"/>
              <w:rPr>
                <w:rFonts w:eastAsia="Times New Roman" w:cs="Times New Roman"/>
                <w:b/>
                <w:bCs/>
                <w:color w:val="000000"/>
                <w:sz w:val="18"/>
                <w:szCs w:val="18"/>
                <w:lang w:val="es-ES" w:eastAsia="es-ES"/>
              </w:rPr>
            </w:pPr>
          </w:p>
        </w:tc>
        <w:tc>
          <w:tcPr>
            <w:tcW w:w="0" w:type="auto"/>
            <w:gridSpan w:val="3"/>
            <w:shd w:val="clear" w:color="auto" w:fill="8DB3E2" w:themeFill="text2" w:themeFillTint="66"/>
            <w:vAlign w:val="center"/>
          </w:tcPr>
          <w:p w:rsidR="004609D2" w:rsidRPr="006B37D6" w:rsidRDefault="004609D2" w:rsidP="004609D2">
            <w:pPr>
              <w:rPr>
                <w:color w:val="000000"/>
                <w:sz w:val="18"/>
                <w:szCs w:val="18"/>
              </w:rPr>
            </w:pPr>
            <w:r w:rsidRPr="006B37D6">
              <w:rPr>
                <w:color w:val="000000"/>
                <w:sz w:val="18"/>
                <w:szCs w:val="18"/>
              </w:rPr>
              <w:t>L-I-06. Mejorar la situación legal de los derechos de aprovechamiento de aguas en la región</w:t>
            </w:r>
          </w:p>
        </w:tc>
      </w:tr>
      <w:tr w:rsidR="004609D2" w:rsidRPr="006B37D6" w:rsidTr="00316BAA">
        <w:trPr>
          <w:trHeight w:val="436"/>
          <w:tblHeader/>
        </w:trPr>
        <w:tc>
          <w:tcPr>
            <w:tcW w:w="5382" w:type="dxa"/>
            <w:gridSpan w:val="3"/>
            <w:shd w:val="clear" w:color="auto" w:fill="F2F2F2" w:themeFill="background1" w:themeFillShade="F2"/>
            <w:noWrap/>
          </w:tcPr>
          <w:p w:rsidR="004609D2" w:rsidRPr="006B37D6" w:rsidRDefault="004609D2" w:rsidP="0088641C">
            <w:pPr>
              <w:spacing w:after="0" w:line="240" w:lineRule="auto"/>
              <w:jc w:val="left"/>
              <w:rPr>
                <w:rFonts w:eastAsia="Times New Roman" w:cs="Times New Roman"/>
                <w:b/>
                <w:color w:val="000000"/>
                <w:sz w:val="22"/>
                <w:szCs w:val="18"/>
                <w:lang w:val="es-ES" w:eastAsia="es-ES"/>
              </w:rPr>
            </w:pPr>
            <w:r w:rsidRPr="006B37D6">
              <w:rPr>
                <w:rFonts w:eastAsia="Times New Roman" w:cs="Times New Roman"/>
                <w:b/>
                <w:color w:val="000000"/>
                <w:sz w:val="22"/>
                <w:szCs w:val="18"/>
                <w:lang w:val="es-ES" w:eastAsia="es-ES"/>
              </w:rPr>
              <w:t>Implementación de un Plan de Acción Interinstitucional  para mejorar la situación legal de los DAA</w:t>
            </w:r>
          </w:p>
        </w:tc>
        <w:tc>
          <w:tcPr>
            <w:tcW w:w="3729" w:type="dxa"/>
            <w:shd w:val="clear" w:color="auto" w:fill="F2F2F2" w:themeFill="background1" w:themeFillShade="F2"/>
          </w:tcPr>
          <w:p w:rsidR="004609D2" w:rsidRPr="006B37D6" w:rsidRDefault="004609D2" w:rsidP="00B40E9B">
            <w:pPr>
              <w:spacing w:after="0" w:line="240" w:lineRule="auto"/>
              <w:jc w:val="center"/>
              <w:rPr>
                <w:rFonts w:eastAsia="Times New Roman" w:cs="Times New Roman"/>
                <w:b/>
                <w:color w:val="000000"/>
                <w:sz w:val="22"/>
                <w:szCs w:val="18"/>
                <w:lang w:val="es-ES" w:eastAsia="es-ES"/>
              </w:rPr>
            </w:pPr>
            <w:r w:rsidRPr="006B37D6">
              <w:rPr>
                <w:rFonts w:eastAsia="Times New Roman" w:cs="Times New Roman"/>
                <w:b/>
                <w:color w:val="000000"/>
                <w:sz w:val="52"/>
                <w:szCs w:val="18"/>
                <w:lang w:val="es-ES" w:eastAsia="es-ES"/>
              </w:rPr>
              <w:t>SL-I-10</w:t>
            </w:r>
          </w:p>
        </w:tc>
      </w:tr>
      <w:tr w:rsidR="00D03C86" w:rsidRPr="006B37D6" w:rsidTr="00316BAA">
        <w:trPr>
          <w:trHeight w:val="128"/>
          <w:tblHeader/>
        </w:trPr>
        <w:tc>
          <w:tcPr>
            <w:tcW w:w="0" w:type="auto"/>
            <w:gridSpan w:val="4"/>
            <w:shd w:val="clear" w:color="auto" w:fill="auto"/>
            <w:noWrap/>
          </w:tcPr>
          <w:p w:rsidR="00D03C86" w:rsidRPr="006B37D6" w:rsidRDefault="00D03C86" w:rsidP="00B40E9B">
            <w:pPr>
              <w:spacing w:after="0" w:line="240" w:lineRule="auto"/>
              <w:jc w:val="left"/>
              <w:rPr>
                <w:rFonts w:eastAsia="Times New Roman" w:cs="Times New Roman"/>
                <w:b/>
                <w:color w:val="000000"/>
                <w:sz w:val="4"/>
                <w:szCs w:val="4"/>
                <w:lang w:val="es-ES" w:eastAsia="es-ES"/>
              </w:rPr>
            </w:pPr>
          </w:p>
        </w:tc>
      </w:tr>
      <w:tr w:rsidR="004609D2" w:rsidRPr="006B37D6" w:rsidTr="00316BAA">
        <w:trPr>
          <w:trHeight w:val="300"/>
        </w:trPr>
        <w:tc>
          <w:tcPr>
            <w:tcW w:w="0" w:type="auto"/>
            <w:gridSpan w:val="4"/>
            <w:shd w:val="clear" w:color="auto" w:fill="F2F2F2" w:themeFill="background1" w:themeFillShade="F2"/>
            <w:noWrap/>
            <w:hideMark/>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Antecedentes Generales de la Sub Línea de Acción </w:t>
            </w:r>
          </w:p>
        </w:tc>
      </w:tr>
      <w:tr w:rsidR="004609D2" w:rsidRPr="006B37D6" w:rsidTr="00316BAA">
        <w:trPr>
          <w:trHeight w:val="310"/>
        </w:trPr>
        <w:tc>
          <w:tcPr>
            <w:tcW w:w="0" w:type="auto"/>
            <w:gridSpan w:val="4"/>
            <w:shd w:val="clear" w:color="auto" w:fill="auto"/>
            <w:noWrap/>
          </w:tcPr>
          <w:p w:rsidR="004609D2" w:rsidRPr="006B37D6" w:rsidRDefault="004609D2" w:rsidP="00307273">
            <w:pPr>
              <w:rPr>
                <w:rFonts w:eastAsia="Times New Roman"/>
                <w:sz w:val="18"/>
                <w:lang w:val="es-ES" w:eastAsia="es-ES"/>
              </w:rPr>
            </w:pPr>
            <w:r w:rsidRPr="006B37D6">
              <w:rPr>
                <w:rFonts w:eastAsia="Times New Roman"/>
                <w:sz w:val="18"/>
                <w:lang w:val="es-ES" w:eastAsia="es-ES"/>
              </w:rPr>
              <w:t>Se estima que en la región existe un alto porcentaje de derechos de aprovechamiento de aguas que se encuentra en situación irregular, ya sea porque los derechos no han sido inscritos, regularizados, saneados, perfeccionados u otros.</w:t>
            </w:r>
          </w:p>
          <w:p w:rsidR="004609D2" w:rsidRPr="006B37D6" w:rsidRDefault="004609D2" w:rsidP="00307273">
            <w:pPr>
              <w:rPr>
                <w:rFonts w:eastAsia="Times New Roman"/>
                <w:sz w:val="18"/>
                <w:lang w:val="es-ES" w:eastAsia="es-ES"/>
              </w:rPr>
            </w:pPr>
            <w:r w:rsidRPr="006B37D6">
              <w:rPr>
                <w:rFonts w:eastAsia="Times New Roman"/>
                <w:sz w:val="18"/>
                <w:lang w:val="es-ES" w:eastAsia="es-ES"/>
              </w:rPr>
              <w:t>Esta es una situación permanente en la región, ya que los derechos son dinámicos y están sujetos a permanentes transformaciones por procesos de compraventa, herencia, arriendo, entre otros.</w:t>
            </w:r>
          </w:p>
          <w:p w:rsidR="004609D2" w:rsidRPr="006B37D6" w:rsidRDefault="004609D2" w:rsidP="00307273">
            <w:pPr>
              <w:rPr>
                <w:rFonts w:eastAsia="Times New Roman"/>
                <w:sz w:val="18"/>
                <w:lang w:val="es-ES" w:eastAsia="es-ES"/>
              </w:rPr>
            </w:pPr>
            <w:r w:rsidRPr="006B37D6">
              <w:rPr>
                <w:rFonts w:eastAsia="Times New Roman"/>
                <w:sz w:val="18"/>
                <w:lang w:val="es-ES" w:eastAsia="es-ES"/>
              </w:rPr>
              <w:t xml:space="preserve">Además, se identificó un trabajo paralelo no coordinado entre las instituciones que han asumido un rol en la realización de trámites, principalmente la Comisión Nacional de Riego y recientemente el Gobierno Regional. Las iniciativas que se encuentran llevando a cabo ambas instituciones no fueron planificadas previamente con la DGA, y ésta no dispone de los recursos capacitados que requiere para hacerse cargo de las nuevas tramitaciones que se ingresarán en los años 2018, 2019 y 2020. </w:t>
            </w:r>
          </w:p>
          <w:p w:rsidR="004609D2" w:rsidRPr="006B37D6" w:rsidRDefault="004609D2" w:rsidP="00307273">
            <w:pPr>
              <w:rPr>
                <w:rFonts w:eastAsia="Times New Roman"/>
                <w:sz w:val="18"/>
                <w:lang w:val="es-ES" w:eastAsia="es-ES"/>
              </w:rPr>
            </w:pPr>
            <w:r w:rsidRPr="006B37D6">
              <w:rPr>
                <w:rFonts w:eastAsia="Times New Roman"/>
                <w:sz w:val="18"/>
                <w:lang w:val="es-ES" w:eastAsia="es-ES"/>
              </w:rPr>
              <w:t xml:space="preserve">Por esta razón, se propone la necesidad de coordinar un Plan de Acción interinstitucional para el mejoramiento de la situación legal de los derechos de aprovechamiento de aguas. </w:t>
            </w:r>
          </w:p>
        </w:tc>
      </w:tr>
      <w:tr w:rsidR="004609D2" w:rsidRPr="006B37D6" w:rsidTr="00316BAA">
        <w:trPr>
          <w:trHeight w:val="300"/>
        </w:trPr>
        <w:tc>
          <w:tcPr>
            <w:tcW w:w="0" w:type="auto"/>
            <w:gridSpan w:val="4"/>
            <w:shd w:val="clear" w:color="auto" w:fill="F2F2F2" w:themeFill="background1" w:themeFillShade="F2"/>
            <w:noWrap/>
            <w:hideMark/>
          </w:tcPr>
          <w:p w:rsidR="004609D2" w:rsidRPr="006B37D6" w:rsidRDefault="004609D2" w:rsidP="004609D2">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Objetivo General de la Sub Línea de Acción</w:t>
            </w:r>
          </w:p>
        </w:tc>
      </w:tr>
      <w:tr w:rsidR="004609D2" w:rsidRPr="006B37D6" w:rsidTr="00316BAA">
        <w:trPr>
          <w:trHeight w:val="310"/>
        </w:trPr>
        <w:tc>
          <w:tcPr>
            <w:tcW w:w="0" w:type="auto"/>
            <w:gridSpan w:val="4"/>
            <w:shd w:val="clear" w:color="auto" w:fill="auto"/>
            <w:noWrap/>
          </w:tcPr>
          <w:p w:rsidR="004609D2" w:rsidRPr="006B37D6" w:rsidRDefault="004609D2" w:rsidP="00307273">
            <w:pPr>
              <w:rPr>
                <w:rFonts w:eastAsia="Times New Roman"/>
                <w:sz w:val="18"/>
                <w:lang w:val="es-ES" w:eastAsia="es-ES"/>
              </w:rPr>
            </w:pPr>
            <w:r w:rsidRPr="006B37D6">
              <w:rPr>
                <w:rFonts w:eastAsia="Times New Roman"/>
                <w:sz w:val="18"/>
                <w:lang w:val="es-ES" w:eastAsia="es-ES"/>
              </w:rPr>
              <w:t xml:space="preserve">Mejorar la situación legal de los derechos de aprovechamiento de aguas en la región mediante la definición de un Plan de Acción Interinstitucional de mediano y largo plazo. </w:t>
            </w:r>
          </w:p>
        </w:tc>
      </w:tr>
      <w:tr w:rsidR="004609D2" w:rsidRPr="006B37D6" w:rsidTr="00316BAA">
        <w:trPr>
          <w:trHeight w:val="300"/>
        </w:trPr>
        <w:tc>
          <w:tcPr>
            <w:tcW w:w="0" w:type="auto"/>
            <w:gridSpan w:val="4"/>
            <w:shd w:val="clear" w:color="auto" w:fill="F2F2F2" w:themeFill="background1" w:themeFillShade="F2"/>
            <w:noWrap/>
            <w:hideMark/>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Descripción General de la Sub Línea de Acción</w:t>
            </w:r>
          </w:p>
        </w:tc>
      </w:tr>
      <w:tr w:rsidR="004609D2" w:rsidRPr="006B37D6" w:rsidTr="00316BAA">
        <w:trPr>
          <w:trHeight w:val="591"/>
        </w:trPr>
        <w:tc>
          <w:tcPr>
            <w:tcW w:w="0" w:type="auto"/>
            <w:gridSpan w:val="4"/>
            <w:shd w:val="clear" w:color="auto" w:fill="auto"/>
            <w:noWrap/>
          </w:tcPr>
          <w:p w:rsidR="004609D2" w:rsidRPr="006B37D6" w:rsidRDefault="004609D2" w:rsidP="00307273">
            <w:pPr>
              <w:rPr>
                <w:rFonts w:eastAsia="Times New Roman"/>
                <w:sz w:val="18"/>
                <w:lang w:val="es-ES" w:eastAsia="es-ES"/>
              </w:rPr>
            </w:pPr>
            <w:r w:rsidRPr="006B37D6">
              <w:rPr>
                <w:rFonts w:eastAsia="Times New Roman"/>
                <w:sz w:val="18"/>
                <w:lang w:val="es-ES" w:eastAsia="es-ES"/>
              </w:rPr>
              <w:t xml:space="preserve">Se propone la necesidad de coordinar un Plan de Acción interinstitucional para el mejoramiento de la situación legal de los derechos de aprovechamiento de aguas que incorpore a las siguientes instituciones o instancias: DGA, CNR, INDAP y GORE. </w:t>
            </w:r>
          </w:p>
          <w:p w:rsidR="004609D2" w:rsidRPr="006B37D6" w:rsidRDefault="004609D2" w:rsidP="00307273">
            <w:pPr>
              <w:rPr>
                <w:rFonts w:eastAsia="Times New Roman"/>
                <w:sz w:val="18"/>
                <w:lang w:val="es-ES" w:eastAsia="es-ES"/>
              </w:rPr>
            </w:pPr>
            <w:r w:rsidRPr="006B37D6">
              <w:rPr>
                <w:rFonts w:eastAsia="Times New Roman"/>
                <w:sz w:val="18"/>
                <w:lang w:val="es-ES" w:eastAsia="es-ES"/>
              </w:rPr>
              <w:t>Los principales elementos que debe tener este plan son los siguientes:</w:t>
            </w:r>
          </w:p>
          <w:p w:rsidR="004609D2" w:rsidRPr="006B37D6" w:rsidRDefault="004609D2" w:rsidP="00307273">
            <w:pPr>
              <w:rPr>
                <w:rFonts w:eastAsia="Times New Roman"/>
                <w:sz w:val="18"/>
                <w:lang w:val="es-ES" w:eastAsia="es-ES"/>
              </w:rPr>
            </w:pPr>
          </w:p>
          <w:p w:rsidR="004609D2" w:rsidRPr="006B37D6" w:rsidRDefault="004609D2" w:rsidP="00307273">
            <w:pPr>
              <w:rPr>
                <w:rFonts w:eastAsia="Times New Roman"/>
                <w:sz w:val="18"/>
                <w:lang w:val="es-ES" w:eastAsia="es-ES"/>
              </w:rPr>
            </w:pPr>
            <w:r w:rsidRPr="006B37D6">
              <w:rPr>
                <w:rFonts w:eastAsia="Times New Roman"/>
                <w:sz w:val="18"/>
                <w:lang w:val="es-ES" w:eastAsia="es-ES"/>
              </w:rPr>
              <w:t>DIAGNÓSTICO</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Debe existir consenso respecto de la cantidad de casos que deben ser tramitados, y distinguir entre aquellos casos que son únicos, que deben resolverse una sola vez (p.ej. derechos no inscritos o no perfeccionados), o aquellos que resultan de las transformaciones que se realizan permanentemente sobre los derechos (compra ventas, herencias, etc.).</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Se debe tener un consenso además de las causas que han marginado a estos casos de una situación legal normal, ya sea por ocultar una situación irregular, por desconocimiento, distancia con el sistema debido a los tiempos de tramitación, u otros.</w:t>
            </w:r>
          </w:p>
          <w:p w:rsidR="004609D2" w:rsidRPr="006B37D6" w:rsidRDefault="004609D2" w:rsidP="00307273">
            <w:pPr>
              <w:rPr>
                <w:rFonts w:eastAsia="Times New Roman"/>
                <w:sz w:val="18"/>
                <w:lang w:val="es-ES" w:eastAsia="es-ES"/>
              </w:rPr>
            </w:pPr>
          </w:p>
          <w:p w:rsidR="004609D2" w:rsidRPr="006B37D6" w:rsidRDefault="004609D2" w:rsidP="00307273">
            <w:pPr>
              <w:rPr>
                <w:rFonts w:eastAsia="Times New Roman"/>
                <w:sz w:val="18"/>
                <w:lang w:val="es-ES" w:eastAsia="es-ES"/>
              </w:rPr>
            </w:pPr>
            <w:r w:rsidRPr="006B37D6">
              <w:rPr>
                <w:rFonts w:eastAsia="Times New Roman"/>
                <w:sz w:val="18"/>
                <w:lang w:val="es-ES" w:eastAsia="es-ES"/>
              </w:rPr>
              <w:t>DEFINICIÓN DE ESTRATEGIA, OBJETIVOS Y METAS</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Una vez dimensionado el problema se debe definir una estrategia para abordar cada uno de los casos identificados. En particular, se debe definir cómo será el trabajo conjunto con las organizaciones de usuarios de aguas para que ellas canalicen estos casos en forma adecuada a la DGA, el rol que desempeñará cada institución pública y el costo asociado.</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Sobre la dimensión del problema, se debe definir los objetivos del Plan de Acción, expresados respecto de la situación legal de los derechos de aprovechamiento, y las metas, en número de casos al año o por período definido. Esto permitirá, por ejemplo, que la DGA planifique el número de profesionales que requiere para la tramitación de expedientes.</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 xml:space="preserve">Este plan debiera tener una extensión de a lo menos 05 años, para luego ser revisado y renovado. </w:t>
            </w:r>
          </w:p>
          <w:p w:rsidR="004609D2" w:rsidRPr="006B37D6" w:rsidRDefault="004609D2" w:rsidP="00307273">
            <w:pPr>
              <w:rPr>
                <w:rFonts w:eastAsia="Times New Roman"/>
                <w:sz w:val="18"/>
                <w:lang w:val="es-ES" w:eastAsia="es-ES"/>
              </w:rPr>
            </w:pPr>
          </w:p>
          <w:p w:rsidR="004609D2" w:rsidRPr="006B37D6" w:rsidRDefault="004609D2" w:rsidP="00307273">
            <w:pPr>
              <w:rPr>
                <w:rFonts w:eastAsia="Times New Roman"/>
                <w:sz w:val="18"/>
                <w:lang w:val="es-ES" w:eastAsia="es-ES"/>
              </w:rPr>
            </w:pPr>
            <w:r w:rsidRPr="006B37D6">
              <w:rPr>
                <w:rFonts w:eastAsia="Times New Roman"/>
                <w:sz w:val="18"/>
                <w:lang w:val="es-ES" w:eastAsia="es-ES"/>
              </w:rPr>
              <w:t>FORMULACIÓN DEL PLAN DE ACCIÓN</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 xml:space="preserve">Este Plan de Acción puede ser formulado en forma interna por los servicios mencionados, o bien contratado mediante una consultoría a un tercero. Se estima que la segunda opción es la más adecuada, con el propósito de realizar un trabajo de campo con cada una de las organizaciones de usuarios de la región identificando la magnitud del problema en cada una de ellas, haciéndolas parte de la formulación del plan, y comprometiéndolas como resultado final del mismo. </w:t>
            </w:r>
          </w:p>
          <w:p w:rsidR="004609D2" w:rsidRPr="006B37D6" w:rsidRDefault="004609D2" w:rsidP="00307273">
            <w:pPr>
              <w:rPr>
                <w:rFonts w:eastAsia="Times New Roman"/>
                <w:sz w:val="18"/>
                <w:lang w:val="es-ES" w:eastAsia="es-ES"/>
              </w:rPr>
            </w:pPr>
          </w:p>
          <w:p w:rsidR="004609D2" w:rsidRPr="006B37D6" w:rsidRDefault="004609D2" w:rsidP="00307273">
            <w:pPr>
              <w:rPr>
                <w:rFonts w:eastAsia="Times New Roman"/>
                <w:sz w:val="18"/>
                <w:lang w:val="es-ES" w:eastAsia="es-ES"/>
              </w:rPr>
            </w:pPr>
            <w:r w:rsidRPr="006B37D6">
              <w:rPr>
                <w:rFonts w:eastAsia="Times New Roman"/>
                <w:sz w:val="18"/>
                <w:lang w:val="es-ES" w:eastAsia="es-ES"/>
              </w:rPr>
              <w:t>CAPACITACIONES</w:t>
            </w:r>
          </w:p>
          <w:p w:rsidR="004609D2" w:rsidRPr="006B37D6" w:rsidRDefault="004609D2" w:rsidP="00307273">
            <w:pPr>
              <w:pStyle w:val="Prrafodelista"/>
              <w:numPr>
                <w:ilvl w:val="0"/>
                <w:numId w:val="46"/>
              </w:numPr>
              <w:rPr>
                <w:rFonts w:eastAsia="Times New Roman"/>
                <w:sz w:val="18"/>
                <w:lang w:val="es-ES" w:eastAsia="es-ES"/>
              </w:rPr>
            </w:pPr>
            <w:r w:rsidRPr="006B37D6">
              <w:rPr>
                <w:rFonts w:eastAsia="Times New Roman"/>
                <w:sz w:val="18"/>
                <w:lang w:val="es-ES" w:eastAsia="es-ES"/>
              </w:rPr>
              <w:t xml:space="preserve">Capacitar a los usuarios y consultores en modificaciones al código de aguas, especialmente en el caso de simplificaciones al Código de Aguas </w:t>
            </w:r>
          </w:p>
          <w:p w:rsidR="004609D2" w:rsidRPr="006B37D6" w:rsidRDefault="004609D2" w:rsidP="00307273">
            <w:pPr>
              <w:rPr>
                <w:rFonts w:eastAsia="Times New Roman"/>
                <w:sz w:val="18"/>
                <w:lang w:val="es-ES" w:eastAsia="es-ES"/>
              </w:rPr>
            </w:pPr>
          </w:p>
        </w:tc>
      </w:tr>
      <w:tr w:rsidR="004609D2" w:rsidRPr="006B37D6" w:rsidTr="00316BAA">
        <w:trPr>
          <w:trHeight w:val="60"/>
        </w:trPr>
        <w:tc>
          <w:tcPr>
            <w:tcW w:w="0" w:type="auto"/>
            <w:gridSpan w:val="2"/>
            <w:shd w:val="clear" w:color="auto" w:fill="auto"/>
            <w:vAlign w:val="center"/>
            <w:hideMark/>
          </w:tcPr>
          <w:p w:rsidR="004609D2" w:rsidRPr="006B37D6" w:rsidRDefault="004609D2" w:rsidP="00307273">
            <w:pPr>
              <w:spacing w:after="0" w:line="240" w:lineRule="auto"/>
              <w:jc w:val="left"/>
              <w:rPr>
                <w:rFonts w:eastAsia="Times New Roman" w:cs="Times New Roman"/>
                <w:color w:val="000000"/>
                <w:sz w:val="4"/>
                <w:szCs w:val="4"/>
                <w:lang w:val="es-ES" w:eastAsia="es-ES"/>
              </w:rPr>
            </w:pPr>
          </w:p>
        </w:tc>
        <w:tc>
          <w:tcPr>
            <w:tcW w:w="0" w:type="auto"/>
            <w:gridSpan w:val="2"/>
            <w:shd w:val="clear" w:color="auto" w:fill="auto"/>
            <w:noWrap/>
            <w:vAlign w:val="bottom"/>
            <w:hideMark/>
          </w:tcPr>
          <w:p w:rsidR="004609D2" w:rsidRPr="006B37D6" w:rsidRDefault="004609D2" w:rsidP="00307273">
            <w:pPr>
              <w:spacing w:after="0" w:line="240" w:lineRule="auto"/>
              <w:rPr>
                <w:rFonts w:eastAsia="Times New Roman" w:cs="Times New Roman"/>
                <w:sz w:val="4"/>
                <w:szCs w:val="4"/>
                <w:lang w:val="es-ES" w:eastAsia="es-ES"/>
              </w:rPr>
            </w:pPr>
          </w:p>
        </w:tc>
      </w:tr>
    </w:tbl>
    <w:p w:rsidR="004609D2" w:rsidRPr="006B37D6" w:rsidRDefault="004609D2" w:rsidP="00FB2027">
      <w:pPr>
        <w:rPr>
          <w:highlight w:val="cyan"/>
          <w:lang w:val="es-ES_tradnl" w:eastAsia="es-ES"/>
        </w:rPr>
      </w:pPr>
    </w:p>
    <w:p w:rsidR="004609D2" w:rsidRPr="006B37D6" w:rsidRDefault="004609D2">
      <w:pPr>
        <w:spacing w:after="200"/>
        <w:jc w:val="left"/>
        <w:rPr>
          <w:highlight w:val="cyan"/>
          <w:lang w:val="es-ES_tradnl" w:eastAsia="es-ES"/>
        </w:rPr>
      </w:pPr>
      <w:r w:rsidRPr="006B37D6">
        <w:rPr>
          <w:highlight w:val="cyan"/>
          <w:lang w:val="es-ES_tradnl" w:eastAsia="es-ES"/>
        </w:rPr>
        <w:br w:type="page"/>
      </w:r>
    </w:p>
    <w:tbl>
      <w:tblPr>
        <w:tblW w:w="9009" w:type="dxa"/>
        <w:tblInd w:w="10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223"/>
        <w:gridCol w:w="146"/>
        <w:gridCol w:w="2054"/>
        <w:gridCol w:w="159"/>
        <w:gridCol w:w="1635"/>
        <w:gridCol w:w="515"/>
        <w:gridCol w:w="2263"/>
        <w:gridCol w:w="14"/>
      </w:tblGrid>
      <w:tr w:rsidR="004609D2" w:rsidRPr="006B37D6" w:rsidTr="00316BAA">
        <w:trPr>
          <w:trHeight w:val="300"/>
          <w:tblHeader/>
        </w:trPr>
        <w:tc>
          <w:tcPr>
            <w:tcW w:w="6732" w:type="dxa"/>
            <w:gridSpan w:val="6"/>
            <w:shd w:val="clear" w:color="auto" w:fill="D9D9D9" w:themeFill="background1" w:themeFillShade="D9"/>
            <w:noWrap/>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color w:val="000000"/>
                <w:sz w:val="22"/>
                <w:szCs w:val="18"/>
                <w:lang w:val="es-ES" w:eastAsia="es-ES"/>
              </w:rPr>
              <w:lastRenderedPageBreak/>
              <w:t>Implementación de un Plan de Acción Interinstitucional  para mejorar la situación legal de los DAA</w:t>
            </w:r>
          </w:p>
        </w:tc>
        <w:tc>
          <w:tcPr>
            <w:tcW w:w="2277" w:type="dxa"/>
            <w:gridSpan w:val="2"/>
            <w:shd w:val="clear" w:color="auto" w:fill="D9D9D9" w:themeFill="background1" w:themeFillShade="D9"/>
          </w:tcPr>
          <w:p w:rsidR="004609D2" w:rsidRPr="006B37D6" w:rsidRDefault="004609D2" w:rsidP="004609D2">
            <w:pPr>
              <w:spacing w:after="0" w:line="240" w:lineRule="auto"/>
              <w:jc w:val="right"/>
              <w:rPr>
                <w:rFonts w:eastAsia="Times New Roman" w:cs="Times New Roman"/>
                <w:b/>
                <w:bCs/>
                <w:color w:val="000000"/>
                <w:sz w:val="18"/>
                <w:szCs w:val="18"/>
                <w:lang w:val="es-ES" w:eastAsia="es-ES"/>
              </w:rPr>
            </w:pPr>
            <w:r w:rsidRPr="006B37D6">
              <w:rPr>
                <w:rFonts w:eastAsia="Times New Roman" w:cs="Times New Roman"/>
                <w:b/>
                <w:bCs/>
                <w:color w:val="000000"/>
                <w:sz w:val="36"/>
                <w:szCs w:val="18"/>
                <w:lang w:val="es-ES" w:eastAsia="es-ES"/>
              </w:rPr>
              <w:t>IN71</w:t>
            </w:r>
          </w:p>
        </w:tc>
      </w:tr>
      <w:tr w:rsidR="006B37D6" w:rsidRPr="006B37D6" w:rsidTr="00316BAA">
        <w:trPr>
          <w:trHeight w:val="300"/>
        </w:trPr>
        <w:tc>
          <w:tcPr>
            <w:tcW w:w="2369" w:type="dxa"/>
            <w:gridSpan w:val="2"/>
            <w:shd w:val="clear" w:color="auto" w:fill="auto"/>
            <w:noWrap/>
            <w:hideMark/>
          </w:tcPr>
          <w:p w:rsidR="006B37D6" w:rsidRPr="006B37D6" w:rsidRDefault="006B37D6" w:rsidP="006B37D6">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Tipo de iniciativa </w:t>
            </w:r>
          </w:p>
        </w:tc>
        <w:tc>
          <w:tcPr>
            <w:tcW w:w="2213" w:type="dxa"/>
            <w:gridSpan w:val="2"/>
            <w:shd w:val="clear" w:color="auto" w:fill="auto"/>
            <w:hideMark/>
          </w:tcPr>
          <w:p w:rsidR="006B37D6" w:rsidRDefault="006B37D6" w:rsidP="006B37D6">
            <w:r w:rsidRPr="00310BEC">
              <w:rPr>
                <w:rFonts w:eastAsia="Times New Roman" w:cs="Times New Roman"/>
                <w:bCs/>
                <w:color w:val="000000"/>
                <w:sz w:val="18"/>
                <w:szCs w:val="18"/>
                <w:lang w:val="es-ES" w:eastAsia="es-ES"/>
              </w:rPr>
              <w:t>Institucional</w:t>
            </w:r>
          </w:p>
        </w:tc>
        <w:tc>
          <w:tcPr>
            <w:tcW w:w="2150" w:type="dxa"/>
            <w:gridSpan w:val="2"/>
            <w:shd w:val="clear" w:color="auto" w:fill="auto"/>
          </w:tcPr>
          <w:p w:rsidR="006B37D6" w:rsidRPr="006B37D6" w:rsidRDefault="006B37D6" w:rsidP="006B37D6">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
                <w:bCs/>
                <w:color w:val="000000"/>
                <w:sz w:val="18"/>
                <w:szCs w:val="18"/>
                <w:lang w:val="es-ES" w:eastAsia="es-ES"/>
              </w:rPr>
              <w:t>Tipología de Inversión</w:t>
            </w:r>
          </w:p>
        </w:tc>
        <w:tc>
          <w:tcPr>
            <w:tcW w:w="2277" w:type="dxa"/>
            <w:gridSpan w:val="2"/>
            <w:shd w:val="clear" w:color="auto" w:fill="auto"/>
          </w:tcPr>
          <w:p w:rsidR="006B37D6" w:rsidRPr="006B37D6" w:rsidRDefault="006B37D6" w:rsidP="006B37D6">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Cs/>
                <w:color w:val="000000"/>
                <w:sz w:val="18"/>
                <w:szCs w:val="18"/>
                <w:lang w:val="es-ES" w:eastAsia="es-ES"/>
              </w:rPr>
              <w:t>Institucional</w:t>
            </w:r>
          </w:p>
        </w:tc>
      </w:tr>
      <w:tr w:rsidR="006B37D6" w:rsidRPr="006B37D6" w:rsidTr="00316BAA">
        <w:trPr>
          <w:trHeight w:val="300"/>
        </w:trPr>
        <w:tc>
          <w:tcPr>
            <w:tcW w:w="2369" w:type="dxa"/>
            <w:gridSpan w:val="2"/>
            <w:shd w:val="clear" w:color="auto" w:fill="auto"/>
            <w:noWrap/>
          </w:tcPr>
          <w:p w:rsidR="006B37D6" w:rsidRPr="006B37D6" w:rsidRDefault="006B37D6" w:rsidP="006B37D6">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Cartera Sectorial</w:t>
            </w:r>
          </w:p>
        </w:tc>
        <w:tc>
          <w:tcPr>
            <w:tcW w:w="2213" w:type="dxa"/>
            <w:gridSpan w:val="2"/>
            <w:shd w:val="clear" w:color="auto" w:fill="auto"/>
          </w:tcPr>
          <w:p w:rsidR="006B37D6" w:rsidRDefault="006B37D6" w:rsidP="006B37D6">
            <w:r w:rsidRPr="00310BEC">
              <w:rPr>
                <w:rFonts w:eastAsia="Times New Roman" w:cs="Times New Roman"/>
                <w:bCs/>
                <w:color w:val="000000"/>
                <w:sz w:val="18"/>
                <w:szCs w:val="18"/>
                <w:lang w:val="es-ES" w:eastAsia="es-ES"/>
              </w:rPr>
              <w:t>Institucional</w:t>
            </w:r>
          </w:p>
        </w:tc>
        <w:tc>
          <w:tcPr>
            <w:tcW w:w="2150" w:type="dxa"/>
            <w:gridSpan w:val="2"/>
            <w:shd w:val="clear" w:color="auto" w:fill="auto"/>
          </w:tcPr>
          <w:p w:rsidR="006B37D6" w:rsidRPr="006B37D6" w:rsidRDefault="006B37D6" w:rsidP="006B37D6">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Entidad Responsable </w:t>
            </w:r>
          </w:p>
        </w:tc>
        <w:tc>
          <w:tcPr>
            <w:tcW w:w="2277" w:type="dxa"/>
            <w:gridSpan w:val="2"/>
            <w:shd w:val="clear" w:color="auto" w:fill="auto"/>
          </w:tcPr>
          <w:p w:rsidR="006B37D6" w:rsidRPr="006B37D6" w:rsidRDefault="006B37D6" w:rsidP="006B37D6">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Cs/>
                <w:color w:val="000000"/>
                <w:sz w:val="18"/>
                <w:szCs w:val="18"/>
                <w:lang w:val="es-ES" w:eastAsia="es-ES"/>
              </w:rPr>
              <w:t>DGA</w:t>
            </w:r>
          </w:p>
        </w:tc>
      </w:tr>
      <w:tr w:rsidR="006B37D6" w:rsidRPr="006B37D6" w:rsidTr="00316BAA">
        <w:trPr>
          <w:trHeight w:val="300"/>
        </w:trPr>
        <w:tc>
          <w:tcPr>
            <w:tcW w:w="2369" w:type="dxa"/>
            <w:gridSpan w:val="2"/>
            <w:shd w:val="clear" w:color="auto" w:fill="auto"/>
            <w:noWrap/>
          </w:tcPr>
          <w:p w:rsidR="006B37D6" w:rsidRPr="0022681B" w:rsidRDefault="006B37D6" w:rsidP="006B37D6">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13" w:type="dxa"/>
            <w:gridSpan w:val="2"/>
            <w:shd w:val="clear" w:color="auto" w:fill="auto"/>
          </w:tcPr>
          <w:p w:rsidR="006B37D6" w:rsidRPr="0022681B" w:rsidRDefault="006B37D6" w:rsidP="006B37D6">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0" w:type="dxa"/>
            <w:gridSpan w:val="2"/>
            <w:shd w:val="clear" w:color="auto" w:fill="auto"/>
          </w:tcPr>
          <w:p w:rsidR="006B37D6" w:rsidRPr="0022681B" w:rsidRDefault="006B37D6" w:rsidP="006B37D6">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77" w:type="dxa"/>
            <w:gridSpan w:val="2"/>
            <w:shd w:val="clear" w:color="auto" w:fill="auto"/>
          </w:tcPr>
          <w:p w:rsidR="006B37D6" w:rsidRPr="0022681B" w:rsidRDefault="006B37D6" w:rsidP="006B37D6">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4609D2" w:rsidRPr="006B37D6" w:rsidTr="00316BAA">
        <w:trPr>
          <w:trHeight w:val="300"/>
        </w:trPr>
        <w:tc>
          <w:tcPr>
            <w:tcW w:w="2369" w:type="dxa"/>
            <w:gridSpan w:val="2"/>
            <w:shd w:val="clear" w:color="auto" w:fill="auto"/>
            <w:noWrap/>
            <w:hideMark/>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Objetivo Iniciativa</w:t>
            </w:r>
          </w:p>
        </w:tc>
        <w:tc>
          <w:tcPr>
            <w:tcW w:w="6640" w:type="dxa"/>
            <w:gridSpan w:val="6"/>
            <w:shd w:val="clear" w:color="auto" w:fill="auto"/>
            <w:noWrap/>
            <w:hideMark/>
          </w:tcPr>
          <w:p w:rsidR="004609D2" w:rsidRPr="006B37D6" w:rsidRDefault="004609D2" w:rsidP="00307273">
            <w:pPr>
              <w:rPr>
                <w:rFonts w:eastAsia="Times New Roman"/>
                <w:sz w:val="18"/>
                <w:lang w:val="es-ES" w:eastAsia="es-ES"/>
              </w:rPr>
            </w:pPr>
            <w:r w:rsidRPr="006B37D6">
              <w:rPr>
                <w:rFonts w:eastAsia="Times New Roman"/>
                <w:sz w:val="18"/>
                <w:lang w:val="es-ES" w:eastAsia="es-ES"/>
              </w:rPr>
              <w:t>Mejorar la situación legal de los derechos de aprovechamiento de aguas en la región mediante la definición de un Plan de Acción Interinstitucional de mediano y largo plazo.</w:t>
            </w:r>
          </w:p>
        </w:tc>
      </w:tr>
      <w:tr w:rsidR="004609D2" w:rsidRPr="006B37D6" w:rsidTr="00316BAA">
        <w:trPr>
          <w:trHeight w:val="300"/>
        </w:trPr>
        <w:tc>
          <w:tcPr>
            <w:tcW w:w="2369" w:type="dxa"/>
            <w:gridSpan w:val="2"/>
            <w:shd w:val="clear" w:color="auto" w:fill="auto"/>
            <w:noWrap/>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Beneficiarios </w:t>
            </w:r>
          </w:p>
        </w:tc>
        <w:tc>
          <w:tcPr>
            <w:tcW w:w="6640" w:type="dxa"/>
            <w:gridSpan w:val="6"/>
            <w:shd w:val="clear" w:color="auto" w:fill="auto"/>
            <w:noWrap/>
          </w:tcPr>
          <w:p w:rsidR="004609D2" w:rsidRPr="006B37D6" w:rsidRDefault="004609D2" w:rsidP="00307273">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Cs/>
                <w:color w:val="000000"/>
                <w:sz w:val="18"/>
                <w:szCs w:val="18"/>
                <w:lang w:val="es-ES" w:eastAsia="es-ES"/>
              </w:rPr>
              <w:t>Todos los usuarios de aguas de la región.</w:t>
            </w:r>
          </w:p>
        </w:tc>
      </w:tr>
      <w:tr w:rsidR="004609D2" w:rsidRPr="006B37D6" w:rsidTr="00316BAA">
        <w:trPr>
          <w:trHeight w:val="300"/>
        </w:trPr>
        <w:tc>
          <w:tcPr>
            <w:tcW w:w="2369" w:type="dxa"/>
            <w:gridSpan w:val="2"/>
            <w:shd w:val="clear" w:color="auto" w:fill="auto"/>
            <w:noWrap/>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Ámbito territorial</w:t>
            </w:r>
          </w:p>
        </w:tc>
        <w:tc>
          <w:tcPr>
            <w:tcW w:w="6640" w:type="dxa"/>
            <w:gridSpan w:val="6"/>
            <w:shd w:val="clear" w:color="auto" w:fill="auto"/>
            <w:noWrap/>
          </w:tcPr>
          <w:p w:rsidR="004609D2" w:rsidRPr="006B37D6" w:rsidRDefault="004609D2" w:rsidP="00307273">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Cs/>
                <w:sz w:val="18"/>
                <w:szCs w:val="18"/>
                <w:lang w:val="es-ES" w:eastAsia="es-ES"/>
              </w:rPr>
              <w:t xml:space="preserve">Regional   </w:t>
            </w:r>
          </w:p>
        </w:tc>
      </w:tr>
      <w:tr w:rsidR="004609D2" w:rsidRPr="006B37D6" w:rsidTr="00316BAA">
        <w:trPr>
          <w:trHeight w:val="300"/>
        </w:trPr>
        <w:tc>
          <w:tcPr>
            <w:tcW w:w="2369" w:type="dxa"/>
            <w:gridSpan w:val="2"/>
            <w:shd w:val="clear" w:color="auto" w:fill="auto"/>
            <w:noWrap/>
          </w:tcPr>
          <w:p w:rsidR="004609D2" w:rsidRPr="006B37D6" w:rsidRDefault="004609D2" w:rsidP="0060705C">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Período </w:t>
            </w:r>
            <w:r w:rsidR="0060705C">
              <w:rPr>
                <w:rFonts w:eastAsia="Times New Roman" w:cs="Times New Roman"/>
                <w:b/>
                <w:bCs/>
                <w:color w:val="000000"/>
                <w:sz w:val="18"/>
                <w:szCs w:val="18"/>
                <w:lang w:val="es-ES" w:eastAsia="es-ES"/>
              </w:rPr>
              <w:t>implementación</w:t>
            </w:r>
          </w:p>
        </w:tc>
        <w:tc>
          <w:tcPr>
            <w:tcW w:w="6640" w:type="dxa"/>
            <w:gridSpan w:val="6"/>
            <w:shd w:val="clear" w:color="auto" w:fill="auto"/>
            <w:noWrap/>
          </w:tcPr>
          <w:p w:rsidR="004609D2" w:rsidRPr="006B37D6" w:rsidRDefault="0060705C" w:rsidP="00307273">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4609D2" w:rsidRPr="006B37D6" w:rsidTr="00316BAA">
        <w:trPr>
          <w:trHeight w:val="300"/>
        </w:trPr>
        <w:tc>
          <w:tcPr>
            <w:tcW w:w="2369" w:type="dxa"/>
            <w:gridSpan w:val="2"/>
            <w:shd w:val="clear" w:color="auto" w:fill="auto"/>
            <w:noWrap/>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 xml:space="preserve">Monto Total de Inversión </w:t>
            </w:r>
            <w:r w:rsidRPr="006B37D6">
              <w:rPr>
                <w:rFonts w:eastAsia="Times New Roman" w:cs="Times New Roman"/>
                <w:bCs/>
                <w:color w:val="000000"/>
                <w:sz w:val="14"/>
                <w:szCs w:val="18"/>
                <w:lang w:val="es-ES" w:eastAsia="es-ES"/>
              </w:rPr>
              <w:t>Millones de $</w:t>
            </w:r>
          </w:p>
        </w:tc>
        <w:tc>
          <w:tcPr>
            <w:tcW w:w="6640" w:type="dxa"/>
            <w:gridSpan w:val="6"/>
            <w:shd w:val="clear" w:color="auto" w:fill="auto"/>
            <w:noWrap/>
          </w:tcPr>
          <w:p w:rsidR="004609D2" w:rsidRPr="006B37D6" w:rsidRDefault="009E0C9D" w:rsidP="009E0C9D">
            <w:pPr>
              <w:spacing w:after="0" w:line="240" w:lineRule="auto"/>
              <w:jc w:val="left"/>
              <w:rPr>
                <w:rFonts w:eastAsia="Times New Roman" w:cs="Times New Roman"/>
                <w:bCs/>
                <w:color w:val="000000"/>
                <w:sz w:val="18"/>
                <w:szCs w:val="18"/>
                <w:lang w:val="es-ES" w:eastAsia="es-ES"/>
              </w:rPr>
            </w:pPr>
            <w:r w:rsidRPr="006B37D6">
              <w:rPr>
                <w:rFonts w:eastAsia="Times New Roman" w:cs="Times New Roman"/>
                <w:bCs/>
                <w:color w:val="000000"/>
                <w:sz w:val="18"/>
                <w:szCs w:val="18"/>
                <w:lang w:val="es-ES" w:eastAsia="es-ES"/>
              </w:rPr>
              <w:t>$215</w:t>
            </w:r>
            <w:r w:rsidR="00316BAA">
              <w:rPr>
                <w:rFonts w:eastAsia="Times New Roman" w:cs="Times New Roman"/>
                <w:bCs/>
                <w:color w:val="000000"/>
                <w:sz w:val="18"/>
                <w:szCs w:val="18"/>
                <w:lang w:val="es-ES" w:eastAsia="es-ES"/>
              </w:rPr>
              <w:t>.000.000.- (ciento quince</w:t>
            </w:r>
            <w:r w:rsidRPr="006B37D6">
              <w:rPr>
                <w:rFonts w:eastAsia="Times New Roman" w:cs="Times New Roman"/>
                <w:bCs/>
                <w:color w:val="000000"/>
                <w:sz w:val="18"/>
                <w:szCs w:val="18"/>
                <w:lang w:val="es-ES" w:eastAsia="es-ES"/>
              </w:rPr>
              <w:t xml:space="preserve"> millones de pesos</w:t>
            </w:r>
            <w:r w:rsidR="00316BAA">
              <w:rPr>
                <w:rFonts w:eastAsia="Times New Roman" w:cs="Times New Roman"/>
                <w:bCs/>
                <w:color w:val="000000"/>
                <w:sz w:val="18"/>
                <w:szCs w:val="18"/>
                <w:lang w:val="es-ES" w:eastAsia="es-ES"/>
              </w:rPr>
              <w:t>)</w:t>
            </w:r>
            <w:r w:rsidRPr="006B37D6">
              <w:rPr>
                <w:rFonts w:eastAsia="Times New Roman" w:cs="Times New Roman"/>
                <w:bCs/>
                <w:color w:val="000000"/>
                <w:sz w:val="18"/>
                <w:szCs w:val="18"/>
                <w:lang w:val="es-ES" w:eastAsia="es-ES"/>
              </w:rPr>
              <w:t xml:space="preserve">. </w:t>
            </w:r>
          </w:p>
        </w:tc>
      </w:tr>
      <w:tr w:rsidR="004609D2" w:rsidRPr="006B37D6" w:rsidTr="00316BAA">
        <w:trPr>
          <w:trHeight w:val="300"/>
        </w:trPr>
        <w:tc>
          <w:tcPr>
            <w:tcW w:w="9009" w:type="dxa"/>
            <w:gridSpan w:val="8"/>
            <w:shd w:val="clear" w:color="auto" w:fill="auto"/>
            <w:noWrap/>
            <w:vAlign w:val="center"/>
            <w:hideMark/>
          </w:tcPr>
          <w:p w:rsidR="004609D2" w:rsidRPr="006B37D6" w:rsidRDefault="004609D2" w:rsidP="00307273">
            <w:pPr>
              <w:spacing w:after="0" w:line="240" w:lineRule="auto"/>
              <w:jc w:val="left"/>
              <w:rPr>
                <w:rFonts w:eastAsia="Times New Roman" w:cs="Times New Roman"/>
                <w:b/>
                <w:bCs/>
                <w:color w:val="000000"/>
                <w:sz w:val="18"/>
                <w:szCs w:val="18"/>
                <w:lang w:val="es-ES" w:eastAsia="es-ES"/>
              </w:rPr>
            </w:pPr>
            <w:r w:rsidRPr="006B37D6">
              <w:rPr>
                <w:rFonts w:eastAsia="Times New Roman" w:cs="Times New Roman"/>
                <w:b/>
                <w:bCs/>
                <w:color w:val="000000"/>
                <w:sz w:val="18"/>
                <w:szCs w:val="18"/>
                <w:lang w:val="es-ES" w:eastAsia="es-ES"/>
              </w:rPr>
              <w:t>Descripción</w:t>
            </w:r>
          </w:p>
        </w:tc>
      </w:tr>
      <w:tr w:rsidR="004609D2" w:rsidRPr="006B37D6" w:rsidTr="00316BAA">
        <w:trPr>
          <w:trHeight w:val="300"/>
        </w:trPr>
        <w:tc>
          <w:tcPr>
            <w:tcW w:w="9009" w:type="dxa"/>
            <w:gridSpan w:val="8"/>
            <w:shd w:val="clear" w:color="auto" w:fill="auto"/>
            <w:noWrap/>
            <w:vAlign w:val="center"/>
          </w:tcPr>
          <w:p w:rsidR="004609D2" w:rsidRPr="006B37D6" w:rsidRDefault="004609D2" w:rsidP="004609D2">
            <w:pPr>
              <w:rPr>
                <w:rFonts w:eastAsia="Times New Roman"/>
                <w:sz w:val="18"/>
                <w:lang w:val="es-ES" w:eastAsia="es-ES"/>
              </w:rPr>
            </w:pPr>
          </w:p>
          <w:p w:rsidR="004609D2" w:rsidRPr="006B37D6" w:rsidRDefault="004609D2" w:rsidP="004609D2">
            <w:pPr>
              <w:rPr>
                <w:rFonts w:eastAsia="Times New Roman"/>
                <w:sz w:val="18"/>
                <w:lang w:val="es-ES" w:eastAsia="es-ES"/>
              </w:rPr>
            </w:pPr>
            <w:r w:rsidRPr="006B37D6">
              <w:rPr>
                <w:rFonts w:eastAsia="Times New Roman"/>
                <w:sz w:val="18"/>
                <w:lang w:val="es-ES" w:eastAsia="es-ES"/>
              </w:rPr>
              <w:t>DIAGNÓSTICO</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Debe existir consenso respecto de la cantidad de casos que deben ser tramitados, y distinguir entre aquellos casos que son únicos, que deben resolverse una sola vez (p.ej. derechos no inscritos o no perfeccionados), o aquellos que resultan de las transformaciones que se realizan permanentemente sobre los derechos (compra ventas, herencias, etc.).</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Se debe tener un consenso además de las causas que han marginado a estos casos de una situación legal normal, ya sea por ocultar una situación irregular, por desconocimiento, distancia con el sistema debido a los tiempos de tramitación, u otros.</w:t>
            </w:r>
          </w:p>
          <w:p w:rsidR="004609D2" w:rsidRPr="006B37D6" w:rsidRDefault="004609D2" w:rsidP="004609D2">
            <w:pPr>
              <w:rPr>
                <w:rFonts w:eastAsia="Times New Roman"/>
                <w:sz w:val="18"/>
                <w:lang w:val="es-ES" w:eastAsia="es-ES"/>
              </w:rPr>
            </w:pPr>
          </w:p>
          <w:p w:rsidR="004609D2" w:rsidRPr="006B37D6" w:rsidRDefault="004609D2" w:rsidP="004609D2">
            <w:pPr>
              <w:rPr>
                <w:rFonts w:eastAsia="Times New Roman"/>
                <w:sz w:val="18"/>
                <w:lang w:val="es-ES" w:eastAsia="es-ES"/>
              </w:rPr>
            </w:pPr>
            <w:r w:rsidRPr="006B37D6">
              <w:rPr>
                <w:rFonts w:eastAsia="Times New Roman"/>
                <w:sz w:val="18"/>
                <w:lang w:val="es-ES" w:eastAsia="es-ES"/>
              </w:rPr>
              <w:t>DEFINICIÓN DE ESTRATEGIA, OBJETIVOS Y METAS</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Una vez dimensionado el problema se debe definir una estrategia para abordar cada uno de los casos identificados. En particular, se debe definir cómo será el trabajo conjunto con las organizaciones de usuarios de aguas para que ellas canalicen estos casos en forma adecuada a la DGA, el rol que desempeñará cada institución pública y el costo asociado.</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Sobre la dimensión del problema, se debe definir los objetivos del Plan de Acción, expresados respecto de la situación legal de los derechos de aprovechamiento, y las metas, en número de casos al año o por período definido. Esto permitirá, por ejemplo, que la DGA planifique el número de profesionales que requiere para la tramitación de expedientes.</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 xml:space="preserve">Este plan debiera tener una extensión de a lo menos 05 años, para luego ser revisado y renovado. </w:t>
            </w:r>
          </w:p>
          <w:p w:rsidR="004609D2" w:rsidRDefault="004609D2" w:rsidP="004609D2">
            <w:pPr>
              <w:rPr>
                <w:rFonts w:eastAsia="Times New Roman"/>
                <w:sz w:val="18"/>
                <w:lang w:val="es-ES" w:eastAsia="es-ES"/>
              </w:rPr>
            </w:pPr>
          </w:p>
          <w:p w:rsidR="00316BAA" w:rsidRPr="006B37D6" w:rsidRDefault="00316BAA" w:rsidP="004609D2">
            <w:pPr>
              <w:rPr>
                <w:rFonts w:eastAsia="Times New Roman"/>
                <w:sz w:val="18"/>
                <w:lang w:val="es-ES" w:eastAsia="es-ES"/>
              </w:rPr>
            </w:pPr>
            <w:bookmarkStart w:id="0" w:name="_GoBack"/>
            <w:bookmarkEnd w:id="0"/>
          </w:p>
          <w:p w:rsidR="004609D2" w:rsidRPr="006B37D6" w:rsidRDefault="004609D2" w:rsidP="004609D2">
            <w:pPr>
              <w:rPr>
                <w:rFonts w:eastAsia="Times New Roman"/>
                <w:sz w:val="18"/>
                <w:lang w:val="es-ES" w:eastAsia="es-ES"/>
              </w:rPr>
            </w:pPr>
            <w:r w:rsidRPr="006B37D6">
              <w:rPr>
                <w:rFonts w:eastAsia="Times New Roman"/>
                <w:sz w:val="18"/>
                <w:lang w:val="es-ES" w:eastAsia="es-ES"/>
              </w:rPr>
              <w:lastRenderedPageBreak/>
              <w:t>FORMULACIÓN DEL PLAN DE ACCIÓN</w:t>
            </w:r>
          </w:p>
          <w:p w:rsidR="004609D2" w:rsidRPr="006B37D6" w:rsidRDefault="004609D2" w:rsidP="004609D2">
            <w:pPr>
              <w:pStyle w:val="Prrafodelista"/>
              <w:numPr>
                <w:ilvl w:val="0"/>
                <w:numId w:val="46"/>
              </w:numPr>
              <w:rPr>
                <w:rFonts w:eastAsia="Times New Roman"/>
                <w:sz w:val="18"/>
                <w:lang w:val="es-ES" w:eastAsia="es-ES"/>
              </w:rPr>
            </w:pPr>
            <w:r w:rsidRPr="006B37D6">
              <w:rPr>
                <w:rFonts w:eastAsia="Times New Roman"/>
                <w:sz w:val="18"/>
                <w:lang w:val="es-ES" w:eastAsia="es-ES"/>
              </w:rPr>
              <w:t xml:space="preserve">Este Plan de Acción puede ser formulado en forma interna por los servicios mencionados, o bien contratado mediante una consultoría a un tercero. Se estima que la segunda opción es la más adecuada, con el propósito de realizar un trabajo de campo con cada una de las organizaciones de usuarios de la región identificando la magnitud del problema en cada una de ellas, haciéndolas parte de la formulación del plan, y comprometiéndolas como resultado final del mismo. </w:t>
            </w:r>
          </w:p>
          <w:p w:rsidR="004609D2" w:rsidRPr="006B37D6" w:rsidRDefault="004609D2" w:rsidP="004609D2">
            <w:pPr>
              <w:rPr>
                <w:rFonts w:eastAsia="Times New Roman"/>
                <w:sz w:val="18"/>
                <w:lang w:val="es-ES" w:eastAsia="es-ES"/>
              </w:rPr>
            </w:pPr>
          </w:p>
          <w:p w:rsidR="004609D2" w:rsidRPr="006B37D6" w:rsidRDefault="004609D2" w:rsidP="004609D2">
            <w:pPr>
              <w:rPr>
                <w:rFonts w:eastAsia="Times New Roman"/>
                <w:sz w:val="18"/>
                <w:lang w:val="es-ES" w:eastAsia="es-ES"/>
              </w:rPr>
            </w:pPr>
            <w:r w:rsidRPr="006B37D6">
              <w:rPr>
                <w:rFonts w:eastAsia="Times New Roman"/>
                <w:sz w:val="18"/>
                <w:lang w:val="es-ES" w:eastAsia="es-ES"/>
              </w:rPr>
              <w:t>CAPACITACIONES</w:t>
            </w:r>
          </w:p>
          <w:p w:rsidR="004609D2" w:rsidRPr="006B37D6" w:rsidRDefault="004609D2" w:rsidP="004609D2">
            <w:pPr>
              <w:spacing w:after="0" w:line="240" w:lineRule="auto"/>
              <w:jc w:val="left"/>
              <w:rPr>
                <w:rFonts w:eastAsia="Times New Roman"/>
                <w:sz w:val="18"/>
                <w:lang w:val="es-ES" w:eastAsia="es-ES"/>
              </w:rPr>
            </w:pPr>
            <w:r w:rsidRPr="006B37D6">
              <w:rPr>
                <w:rFonts w:eastAsia="Times New Roman"/>
                <w:sz w:val="18"/>
                <w:lang w:val="es-ES" w:eastAsia="es-ES"/>
              </w:rPr>
              <w:t>Capacitar a los usuarios y consultores en modificaciones al código de aguas, especialmente en el caso de simplificaciones al Código de Aguas</w:t>
            </w:r>
            <w:r w:rsidR="009E0C9D" w:rsidRPr="006B37D6">
              <w:rPr>
                <w:rFonts w:eastAsia="Times New Roman"/>
                <w:sz w:val="18"/>
                <w:lang w:val="es-ES" w:eastAsia="es-ES"/>
              </w:rPr>
              <w:t>.</w:t>
            </w:r>
          </w:p>
          <w:p w:rsidR="009E0C9D" w:rsidRPr="006B37D6" w:rsidRDefault="009E0C9D" w:rsidP="004609D2">
            <w:pPr>
              <w:spacing w:after="0" w:line="240" w:lineRule="auto"/>
              <w:jc w:val="left"/>
              <w:rPr>
                <w:rFonts w:eastAsia="Times New Roman"/>
                <w:sz w:val="18"/>
                <w:lang w:val="es-ES" w:eastAsia="es-ES"/>
              </w:rPr>
            </w:pPr>
          </w:p>
          <w:p w:rsidR="009E0C9D" w:rsidRPr="006B37D6" w:rsidRDefault="009E0C9D" w:rsidP="004609D2">
            <w:pPr>
              <w:spacing w:after="0" w:line="240" w:lineRule="auto"/>
              <w:jc w:val="left"/>
              <w:rPr>
                <w:rFonts w:eastAsia="Times New Roman"/>
                <w:sz w:val="18"/>
                <w:lang w:val="es-ES" w:eastAsia="es-ES"/>
              </w:rPr>
            </w:pPr>
          </w:p>
          <w:p w:rsidR="009E0C9D" w:rsidRPr="006B37D6" w:rsidRDefault="009E0C9D" w:rsidP="004609D2">
            <w:pPr>
              <w:spacing w:after="0" w:line="240" w:lineRule="auto"/>
              <w:jc w:val="left"/>
              <w:rPr>
                <w:rFonts w:eastAsia="Times New Roman"/>
                <w:sz w:val="18"/>
                <w:lang w:val="es-ES" w:eastAsia="es-ES"/>
              </w:rPr>
            </w:pPr>
            <w:r w:rsidRPr="006B37D6">
              <w:rPr>
                <w:rFonts w:eastAsia="Times New Roman"/>
                <w:sz w:val="18"/>
                <w:lang w:val="es-ES" w:eastAsia="es-ES"/>
              </w:rPr>
              <w:t>IMPLEMENTACIÓN</w:t>
            </w:r>
          </w:p>
          <w:p w:rsidR="009E0C9D" w:rsidRPr="006B37D6" w:rsidRDefault="009E0C9D" w:rsidP="004609D2">
            <w:pPr>
              <w:spacing w:after="0" w:line="240" w:lineRule="auto"/>
              <w:jc w:val="left"/>
              <w:rPr>
                <w:rFonts w:eastAsia="Times New Roman"/>
                <w:sz w:val="18"/>
                <w:lang w:val="es-ES" w:eastAsia="es-ES"/>
              </w:rPr>
            </w:pPr>
          </w:p>
          <w:p w:rsidR="009E0C9D" w:rsidRPr="006B37D6" w:rsidRDefault="009E0C9D" w:rsidP="004609D2">
            <w:pPr>
              <w:spacing w:after="0" w:line="240" w:lineRule="auto"/>
              <w:jc w:val="left"/>
              <w:rPr>
                <w:rFonts w:eastAsia="Times New Roman"/>
                <w:sz w:val="18"/>
                <w:lang w:val="es-ES" w:eastAsia="es-ES"/>
              </w:rPr>
            </w:pPr>
            <w:r w:rsidRPr="006B37D6">
              <w:rPr>
                <w:rFonts w:eastAsia="Times New Roman"/>
                <w:sz w:val="18"/>
                <w:lang w:val="es-ES" w:eastAsia="es-ES"/>
              </w:rPr>
              <w:t xml:space="preserve">Para la implementación de esta iniciativa se propone la contratación de una consultoría que realice un diagnóstico, formule el plan y capacite a los principales actores de la región. </w:t>
            </w:r>
          </w:p>
          <w:p w:rsidR="009E0C9D" w:rsidRPr="006B37D6" w:rsidRDefault="009E0C9D" w:rsidP="004609D2">
            <w:pPr>
              <w:spacing w:after="0" w:line="240" w:lineRule="auto"/>
              <w:jc w:val="left"/>
              <w:rPr>
                <w:rFonts w:eastAsia="Times New Roman"/>
                <w:sz w:val="18"/>
                <w:lang w:val="es-ES" w:eastAsia="es-ES"/>
              </w:rPr>
            </w:pPr>
          </w:p>
          <w:p w:rsidR="009E0C9D" w:rsidRPr="006B37D6" w:rsidRDefault="009E0C9D" w:rsidP="004609D2">
            <w:pPr>
              <w:spacing w:after="0" w:line="240" w:lineRule="auto"/>
              <w:jc w:val="left"/>
              <w:rPr>
                <w:rFonts w:eastAsia="Times New Roman" w:cs="Times New Roman"/>
                <w:b/>
                <w:bCs/>
                <w:color w:val="000000"/>
                <w:sz w:val="18"/>
                <w:szCs w:val="18"/>
                <w:lang w:val="es-ES" w:eastAsia="es-ES"/>
              </w:rPr>
            </w:pPr>
          </w:p>
        </w:tc>
      </w:tr>
      <w:tr w:rsidR="004609D2" w:rsidRPr="006B37D6" w:rsidTr="00316BAA">
        <w:trPr>
          <w:trHeight w:val="586"/>
        </w:trPr>
        <w:tc>
          <w:tcPr>
            <w:tcW w:w="9009" w:type="dxa"/>
            <w:gridSpan w:val="8"/>
            <w:shd w:val="clear" w:color="auto" w:fill="auto"/>
            <w:vAlign w:val="center"/>
          </w:tcPr>
          <w:p w:rsidR="004609D2" w:rsidRPr="006B37D6" w:rsidRDefault="004609D2" w:rsidP="00307273">
            <w:pPr>
              <w:spacing w:after="0" w:line="240" w:lineRule="auto"/>
              <w:jc w:val="left"/>
              <w:rPr>
                <w:rFonts w:eastAsia="Times New Roman" w:cs="Times New Roman"/>
                <w:b/>
                <w:color w:val="000000"/>
                <w:sz w:val="18"/>
                <w:szCs w:val="18"/>
                <w:lang w:val="es-ES" w:eastAsia="es-ES"/>
              </w:rPr>
            </w:pPr>
            <w:r w:rsidRPr="006B37D6">
              <w:rPr>
                <w:rFonts w:eastAsia="Times New Roman" w:cs="Times New Roman"/>
                <w:b/>
                <w:color w:val="000000"/>
                <w:sz w:val="18"/>
                <w:szCs w:val="18"/>
                <w:lang w:val="es-ES" w:eastAsia="es-ES"/>
              </w:rPr>
              <w:lastRenderedPageBreak/>
              <w:t>Presupuesto</w:t>
            </w:r>
          </w:p>
        </w:tc>
      </w:tr>
      <w:tr w:rsidR="004609D2" w:rsidRPr="006B37D6" w:rsidTr="00316BAA">
        <w:trPr>
          <w:trHeight w:val="586"/>
        </w:trPr>
        <w:tc>
          <w:tcPr>
            <w:tcW w:w="9009" w:type="dxa"/>
            <w:gridSpan w:val="8"/>
            <w:shd w:val="clear" w:color="auto" w:fill="auto"/>
            <w:vAlign w:val="center"/>
          </w:tcPr>
          <w:p w:rsidR="004609D2" w:rsidRPr="006B37D6" w:rsidRDefault="009E0C9D" w:rsidP="00307273">
            <w:pPr>
              <w:spacing w:after="0" w:line="240" w:lineRule="auto"/>
              <w:jc w:val="left"/>
              <w:rPr>
                <w:rFonts w:eastAsia="Times New Roman" w:cs="Times New Roman"/>
                <w:color w:val="000000"/>
                <w:sz w:val="18"/>
                <w:szCs w:val="18"/>
                <w:lang w:val="es-ES" w:eastAsia="es-ES"/>
              </w:rPr>
            </w:pPr>
            <w:r w:rsidRPr="006B37D6">
              <w:rPr>
                <w:rFonts w:eastAsia="Times New Roman" w:cs="Times New Roman"/>
                <w:color w:val="000000"/>
                <w:sz w:val="18"/>
                <w:szCs w:val="18"/>
                <w:lang w:val="es-ES" w:eastAsia="es-ES"/>
              </w:rPr>
              <w:t>Se estimó el esfuerzo (</w:t>
            </w:r>
            <w:proofErr w:type="spellStart"/>
            <w:r w:rsidRPr="006B37D6">
              <w:rPr>
                <w:rFonts w:eastAsia="Times New Roman" w:cs="Times New Roman"/>
                <w:color w:val="000000"/>
                <w:sz w:val="18"/>
                <w:szCs w:val="18"/>
                <w:lang w:val="es-ES" w:eastAsia="es-ES"/>
              </w:rPr>
              <w:t>hh</w:t>
            </w:r>
            <w:proofErr w:type="spellEnd"/>
            <w:r w:rsidRPr="006B37D6">
              <w:rPr>
                <w:rFonts w:eastAsia="Times New Roman" w:cs="Times New Roman"/>
                <w:color w:val="000000"/>
                <w:sz w:val="18"/>
                <w:szCs w:val="18"/>
                <w:lang w:val="es-ES" w:eastAsia="es-ES"/>
              </w:rPr>
              <w:t xml:space="preserve">) para construir el Plan de Acción Interinstitucional, cuyo detalle se presenta a continuación. </w:t>
            </w:r>
          </w:p>
          <w:p w:rsidR="009E0C9D" w:rsidRPr="006B37D6" w:rsidRDefault="009E0C9D" w:rsidP="00307273">
            <w:pPr>
              <w:spacing w:after="0" w:line="240" w:lineRule="auto"/>
              <w:jc w:val="left"/>
              <w:rPr>
                <w:rFonts w:eastAsia="Times New Roman" w:cs="Times New Roman"/>
                <w:color w:val="000000"/>
                <w:sz w:val="18"/>
                <w:szCs w:val="18"/>
                <w:lang w:val="es-ES" w:eastAsia="es-ES"/>
              </w:rPr>
            </w:pPr>
          </w:p>
          <w:tbl>
            <w:tblPr>
              <w:tblW w:w="7102" w:type="dxa"/>
              <w:jc w:val="center"/>
              <w:tblCellMar>
                <w:left w:w="70" w:type="dxa"/>
                <w:right w:w="70" w:type="dxa"/>
              </w:tblCellMar>
              <w:tblLook w:val="04A0" w:firstRow="1" w:lastRow="0" w:firstColumn="1" w:lastColumn="0" w:noHBand="0" w:noVBand="1"/>
            </w:tblPr>
            <w:tblGrid>
              <w:gridCol w:w="2402"/>
              <w:gridCol w:w="800"/>
              <w:gridCol w:w="1200"/>
              <w:gridCol w:w="1500"/>
              <w:gridCol w:w="1200"/>
            </w:tblGrid>
            <w:tr w:rsidR="009E0C9D" w:rsidRPr="006B37D6" w:rsidTr="0060705C">
              <w:trPr>
                <w:trHeight w:val="465"/>
                <w:jc w:val="center"/>
              </w:trPr>
              <w:tc>
                <w:tcPr>
                  <w:tcW w:w="2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0C9D" w:rsidRPr="0060705C" w:rsidRDefault="009E0C9D" w:rsidP="009E0C9D">
                  <w:pPr>
                    <w:spacing w:after="0" w:line="240" w:lineRule="auto"/>
                    <w:jc w:val="center"/>
                    <w:rPr>
                      <w:rFonts w:eastAsia="Times New Roman" w:cs="Times New Roman"/>
                      <w:color w:val="000000"/>
                      <w:sz w:val="16"/>
                      <w:szCs w:val="18"/>
                    </w:rPr>
                  </w:pPr>
                  <w:r w:rsidRPr="0060705C">
                    <w:rPr>
                      <w:rFonts w:eastAsia="Times New Roman" w:cs="Times New Roman"/>
                      <w:color w:val="000000"/>
                      <w:sz w:val="16"/>
                      <w:szCs w:val="18"/>
                    </w:rPr>
                    <w:t>Actividades</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E0C9D" w:rsidRPr="0060705C" w:rsidRDefault="009E0C9D" w:rsidP="009E0C9D">
                  <w:pPr>
                    <w:spacing w:after="0" w:line="240" w:lineRule="auto"/>
                    <w:jc w:val="center"/>
                    <w:rPr>
                      <w:rFonts w:eastAsia="Times New Roman" w:cs="Times New Roman"/>
                      <w:color w:val="000000"/>
                      <w:sz w:val="16"/>
                      <w:szCs w:val="18"/>
                    </w:rPr>
                  </w:pPr>
                  <w:r w:rsidRPr="0060705C">
                    <w:rPr>
                      <w:rFonts w:eastAsia="Times New Roman" w:cs="Times New Roman"/>
                      <w:color w:val="000000"/>
                      <w:sz w:val="16"/>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0C9D" w:rsidRPr="0060705C" w:rsidRDefault="009E0C9D" w:rsidP="009E0C9D">
                  <w:pPr>
                    <w:spacing w:after="0" w:line="240" w:lineRule="auto"/>
                    <w:jc w:val="center"/>
                    <w:rPr>
                      <w:rFonts w:eastAsia="Times New Roman" w:cs="Times New Roman"/>
                      <w:color w:val="000000"/>
                      <w:sz w:val="16"/>
                      <w:szCs w:val="18"/>
                    </w:rPr>
                  </w:pPr>
                  <w:r w:rsidRPr="0060705C">
                    <w:rPr>
                      <w:rFonts w:eastAsia="Times New Roman" w:cs="Times New Roman"/>
                      <w:color w:val="000000"/>
                      <w:sz w:val="16"/>
                      <w:szCs w:val="18"/>
                    </w:rPr>
                    <w:t>Cantidad (</w:t>
                  </w:r>
                  <w:proofErr w:type="spellStart"/>
                  <w:r w:rsidRPr="0060705C">
                    <w:rPr>
                      <w:rFonts w:eastAsia="Times New Roman" w:cs="Times New Roman"/>
                      <w:color w:val="000000"/>
                      <w:sz w:val="16"/>
                      <w:szCs w:val="18"/>
                    </w:rPr>
                    <w:t>hh</w:t>
                  </w:r>
                  <w:proofErr w:type="spellEnd"/>
                  <w:r w:rsidRPr="0060705C">
                    <w:rPr>
                      <w:rFonts w:eastAsia="Times New Roman" w:cs="Times New Roman"/>
                      <w:color w:val="000000"/>
                      <w:sz w:val="16"/>
                      <w:szCs w:val="18"/>
                    </w:rP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9E0C9D" w:rsidRPr="0060705C" w:rsidRDefault="009E0C9D" w:rsidP="009E0C9D">
                  <w:pPr>
                    <w:spacing w:after="0" w:line="240" w:lineRule="auto"/>
                    <w:jc w:val="center"/>
                    <w:rPr>
                      <w:rFonts w:eastAsia="Times New Roman" w:cs="Times New Roman"/>
                      <w:color w:val="000000"/>
                      <w:sz w:val="16"/>
                      <w:szCs w:val="18"/>
                    </w:rPr>
                  </w:pPr>
                  <w:r w:rsidRPr="0060705C">
                    <w:rPr>
                      <w:rFonts w:eastAsia="Times New Roman" w:cs="Times New Roman"/>
                      <w:color w:val="000000"/>
                      <w:sz w:val="16"/>
                      <w:szCs w:val="18"/>
                    </w:rPr>
                    <w:t>Precio Unitario</w:t>
                  </w:r>
                  <w:r w:rsidRPr="0060705C">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0C9D" w:rsidRPr="0060705C" w:rsidRDefault="009E0C9D" w:rsidP="009E0C9D">
                  <w:pPr>
                    <w:spacing w:after="0" w:line="240" w:lineRule="auto"/>
                    <w:jc w:val="center"/>
                    <w:rPr>
                      <w:rFonts w:eastAsia="Times New Roman" w:cs="Times New Roman"/>
                      <w:color w:val="000000"/>
                      <w:sz w:val="16"/>
                      <w:szCs w:val="18"/>
                    </w:rPr>
                  </w:pPr>
                  <w:r w:rsidRPr="0060705C">
                    <w:rPr>
                      <w:rFonts w:eastAsia="Times New Roman" w:cs="Times New Roman"/>
                      <w:color w:val="000000"/>
                      <w:sz w:val="16"/>
                      <w:szCs w:val="18"/>
                    </w:rPr>
                    <w:t>Precio Total</w:t>
                  </w:r>
                  <w:r w:rsidRPr="0060705C">
                    <w:rPr>
                      <w:rFonts w:eastAsia="Times New Roman" w:cs="Times New Roman"/>
                      <w:color w:val="000000"/>
                      <w:sz w:val="16"/>
                      <w:szCs w:val="16"/>
                    </w:rPr>
                    <w:t xml:space="preserve"> (Millones de $)</w:t>
                  </w:r>
                </w:p>
              </w:tc>
            </w:tr>
            <w:tr w:rsidR="009E0C9D" w:rsidRPr="006B37D6" w:rsidTr="0060705C">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Jefe de Proyecto</w:t>
                  </w:r>
                </w:p>
              </w:tc>
              <w:tc>
                <w:tcPr>
                  <w:tcW w:w="8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proofErr w:type="spellStart"/>
                  <w:r w:rsidRPr="0060705C">
                    <w:rPr>
                      <w:rFonts w:eastAsia="Times New Roman" w:cs="Times New Roman"/>
                      <w:color w:val="000000"/>
                      <w:sz w:val="16"/>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29 </w:t>
                  </w:r>
                </w:p>
              </w:tc>
            </w:tr>
            <w:tr w:rsidR="009E0C9D" w:rsidRPr="006B37D6" w:rsidTr="0060705C">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Coordinador</w:t>
                  </w:r>
                </w:p>
              </w:tc>
              <w:tc>
                <w:tcPr>
                  <w:tcW w:w="8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proofErr w:type="spellStart"/>
                  <w:r w:rsidRPr="0060705C">
                    <w:rPr>
                      <w:rFonts w:eastAsia="Times New Roman" w:cs="Times New Roman"/>
                      <w:color w:val="000000"/>
                      <w:sz w:val="16"/>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0,01869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40 </w:t>
                  </w:r>
                </w:p>
              </w:tc>
            </w:tr>
            <w:tr w:rsidR="009E0C9D" w:rsidRPr="006B37D6" w:rsidTr="0060705C">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Especialista Legal</w:t>
                  </w:r>
                </w:p>
              </w:tc>
              <w:tc>
                <w:tcPr>
                  <w:tcW w:w="8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proofErr w:type="spellStart"/>
                  <w:r w:rsidRPr="0060705C">
                    <w:rPr>
                      <w:rFonts w:eastAsia="Times New Roman" w:cs="Times New Roman"/>
                      <w:color w:val="000000"/>
                      <w:sz w:val="16"/>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29 </w:t>
                  </w:r>
                </w:p>
              </w:tc>
            </w:tr>
            <w:tr w:rsidR="009E0C9D" w:rsidRPr="006B37D6" w:rsidTr="0060705C">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Profesionales de Apoyo</w:t>
                  </w:r>
                </w:p>
              </w:tc>
              <w:tc>
                <w:tcPr>
                  <w:tcW w:w="8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proofErr w:type="spellStart"/>
                  <w:r w:rsidRPr="0060705C">
                    <w:rPr>
                      <w:rFonts w:eastAsia="Times New Roman" w:cs="Times New Roman"/>
                      <w:color w:val="000000"/>
                      <w:sz w:val="16"/>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4.320 </w:t>
                  </w:r>
                </w:p>
              </w:tc>
              <w:tc>
                <w:tcPr>
                  <w:tcW w:w="15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0,01335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58 </w:t>
                  </w:r>
                </w:p>
              </w:tc>
            </w:tr>
            <w:tr w:rsidR="009E0C9D" w:rsidRPr="006B37D6" w:rsidTr="0060705C">
              <w:trPr>
                <w:trHeight w:val="300"/>
                <w:jc w:val="center"/>
              </w:trPr>
              <w:tc>
                <w:tcPr>
                  <w:tcW w:w="2402" w:type="dxa"/>
                  <w:tcBorders>
                    <w:top w:val="nil"/>
                    <w:left w:val="single" w:sz="4" w:space="0" w:color="auto"/>
                    <w:bottom w:val="nil"/>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Costos Operacionales</w:t>
                  </w:r>
                </w:p>
              </w:tc>
              <w:tc>
                <w:tcPr>
                  <w:tcW w:w="800" w:type="dxa"/>
                  <w:tcBorders>
                    <w:top w:val="nil"/>
                    <w:left w:val="nil"/>
                    <w:bottom w:val="nil"/>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mes</w:t>
                  </w:r>
                </w:p>
              </w:tc>
              <w:tc>
                <w:tcPr>
                  <w:tcW w:w="1200" w:type="dxa"/>
                  <w:tcBorders>
                    <w:top w:val="nil"/>
                    <w:left w:val="nil"/>
                    <w:bottom w:val="nil"/>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24 </w:t>
                  </w:r>
                </w:p>
              </w:tc>
            </w:tr>
            <w:tr w:rsidR="009E0C9D" w:rsidRPr="006B37D6" w:rsidTr="0060705C">
              <w:trPr>
                <w:trHeight w:val="300"/>
                <w:jc w:val="center"/>
              </w:trPr>
              <w:tc>
                <w:tcPr>
                  <w:tcW w:w="2402" w:type="dxa"/>
                  <w:tcBorders>
                    <w:top w:val="single" w:sz="4" w:space="0" w:color="auto"/>
                    <w:left w:val="single" w:sz="4" w:space="0" w:color="auto"/>
                    <w:bottom w:val="nil"/>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Gastos Generales y Utilidades</w:t>
                  </w:r>
                </w:p>
              </w:tc>
              <w:tc>
                <w:tcPr>
                  <w:tcW w:w="800" w:type="dxa"/>
                  <w:tcBorders>
                    <w:top w:val="single" w:sz="4" w:space="0" w:color="auto"/>
                    <w:left w:val="nil"/>
                    <w:bottom w:val="nil"/>
                    <w:right w:val="single" w:sz="4" w:space="0" w:color="auto"/>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proofErr w:type="spellStart"/>
                  <w:r w:rsidRPr="0060705C">
                    <w:rPr>
                      <w:rFonts w:eastAsia="Times New Roman" w:cs="Times New Roman"/>
                      <w:color w:val="000000"/>
                      <w:sz w:val="16"/>
                      <w:szCs w:val="18"/>
                    </w:rPr>
                    <w:t>gl</w:t>
                  </w:r>
                  <w:proofErr w:type="spellEnd"/>
                </w:p>
              </w:tc>
              <w:tc>
                <w:tcPr>
                  <w:tcW w:w="1200" w:type="dxa"/>
                  <w:tcBorders>
                    <w:top w:val="single" w:sz="4" w:space="0" w:color="auto"/>
                    <w:left w:val="nil"/>
                    <w:bottom w:val="nil"/>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1 </w:t>
                  </w:r>
                </w:p>
              </w:tc>
              <w:tc>
                <w:tcPr>
                  <w:tcW w:w="1500" w:type="dxa"/>
                  <w:tcBorders>
                    <w:top w:val="single" w:sz="4" w:space="0" w:color="auto"/>
                    <w:left w:val="nil"/>
                    <w:bottom w:val="nil"/>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35 </w:t>
                  </w:r>
                </w:p>
              </w:tc>
              <w:tc>
                <w:tcPr>
                  <w:tcW w:w="1200" w:type="dxa"/>
                  <w:tcBorders>
                    <w:top w:val="nil"/>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xml:space="preserve">                    35 </w:t>
                  </w:r>
                </w:p>
              </w:tc>
            </w:tr>
            <w:tr w:rsidR="009E0C9D" w:rsidRPr="006B37D6" w:rsidTr="0060705C">
              <w:trPr>
                <w:trHeight w:val="300"/>
                <w:jc w:val="center"/>
              </w:trPr>
              <w:tc>
                <w:tcPr>
                  <w:tcW w:w="2402" w:type="dxa"/>
                  <w:tcBorders>
                    <w:top w:val="single" w:sz="4" w:space="0" w:color="auto"/>
                    <w:left w:val="single" w:sz="4" w:space="0" w:color="auto"/>
                    <w:bottom w:val="single" w:sz="4" w:space="0" w:color="auto"/>
                    <w:right w:val="nil"/>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Total</w:t>
                  </w:r>
                </w:p>
              </w:tc>
              <w:tc>
                <w:tcPr>
                  <w:tcW w:w="800" w:type="dxa"/>
                  <w:tcBorders>
                    <w:top w:val="single" w:sz="4" w:space="0" w:color="auto"/>
                    <w:left w:val="nil"/>
                    <w:bottom w:val="single" w:sz="4" w:space="0" w:color="auto"/>
                    <w:right w:val="nil"/>
                  </w:tcBorders>
                  <w:shd w:val="clear" w:color="auto" w:fill="auto"/>
                  <w:noWrap/>
                  <w:vAlign w:val="bottom"/>
                  <w:hideMark/>
                </w:tcPr>
                <w:p w:rsidR="009E0C9D" w:rsidRPr="0060705C" w:rsidRDefault="009E0C9D" w:rsidP="009E0C9D">
                  <w:pPr>
                    <w:spacing w:after="0" w:line="240" w:lineRule="auto"/>
                    <w:jc w:val="left"/>
                    <w:rPr>
                      <w:rFonts w:eastAsia="Times New Roman" w:cs="Times New Roman"/>
                      <w:color w:val="000000"/>
                      <w:sz w:val="16"/>
                      <w:szCs w:val="18"/>
                    </w:rPr>
                  </w:pPr>
                  <w:r w:rsidRPr="0060705C">
                    <w:rPr>
                      <w:rFonts w:eastAsia="Times New Roman" w:cs="Times New Roman"/>
                      <w:color w:val="000000"/>
                      <w:sz w:val="16"/>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9E0C9D" w:rsidRPr="0060705C" w:rsidRDefault="009E0C9D" w:rsidP="00316BAA">
                  <w:pPr>
                    <w:spacing w:after="0" w:line="240" w:lineRule="auto"/>
                    <w:jc w:val="right"/>
                    <w:rPr>
                      <w:rFonts w:eastAsia="Times New Roman" w:cs="Times New Roman"/>
                      <w:color w:val="000000"/>
                      <w:sz w:val="16"/>
                      <w:szCs w:val="18"/>
                    </w:rPr>
                  </w:pPr>
                  <w:r w:rsidRPr="0060705C">
                    <w:rPr>
                      <w:rFonts w:eastAsia="Times New Roman" w:cs="Times New Roman"/>
                      <w:color w:val="000000"/>
                      <w:sz w:val="16"/>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9E0C9D" w:rsidRPr="0060705C" w:rsidRDefault="009E0C9D" w:rsidP="00316BAA">
                  <w:pPr>
                    <w:spacing w:after="0" w:line="240" w:lineRule="auto"/>
                    <w:jc w:val="right"/>
                    <w:rPr>
                      <w:rFonts w:eastAsia="Times New Roman" w:cs="Times New Roman"/>
                      <w:b/>
                      <w:bCs/>
                      <w:color w:val="000000"/>
                      <w:sz w:val="16"/>
                      <w:szCs w:val="18"/>
                    </w:rPr>
                  </w:pPr>
                  <w:r w:rsidRPr="0060705C">
                    <w:rPr>
                      <w:rFonts w:eastAsia="Times New Roman" w:cs="Times New Roman"/>
                      <w:b/>
                      <w:bCs/>
                      <w:color w:val="000000"/>
                      <w:sz w:val="16"/>
                      <w:szCs w:val="18"/>
                    </w:rPr>
                    <w:t xml:space="preserve">                  215 </w:t>
                  </w:r>
                </w:p>
              </w:tc>
            </w:tr>
          </w:tbl>
          <w:p w:rsidR="009E0C9D" w:rsidRPr="006B37D6" w:rsidRDefault="009E0C9D" w:rsidP="00307273">
            <w:pPr>
              <w:spacing w:after="0" w:line="240" w:lineRule="auto"/>
              <w:jc w:val="left"/>
              <w:rPr>
                <w:rFonts w:eastAsia="Times New Roman" w:cs="Times New Roman"/>
                <w:color w:val="000000"/>
                <w:sz w:val="18"/>
                <w:szCs w:val="18"/>
                <w:lang w:val="es-ES" w:eastAsia="es-ES"/>
              </w:rPr>
            </w:pPr>
          </w:p>
          <w:p w:rsidR="009E0C9D" w:rsidRPr="006B37D6" w:rsidRDefault="009E0C9D" w:rsidP="00307273">
            <w:pPr>
              <w:spacing w:after="0" w:line="240" w:lineRule="auto"/>
              <w:jc w:val="left"/>
              <w:rPr>
                <w:rFonts w:eastAsia="Times New Roman" w:cs="Times New Roman"/>
                <w:color w:val="000000"/>
                <w:sz w:val="18"/>
                <w:szCs w:val="18"/>
                <w:lang w:val="es-ES" w:eastAsia="es-ES"/>
              </w:rPr>
            </w:pPr>
          </w:p>
        </w:tc>
      </w:tr>
      <w:tr w:rsidR="0060705C" w:rsidRPr="009F2FC1" w:rsidTr="00316BAA">
        <w:trPr>
          <w:gridAfter w:val="1"/>
          <w:wAfter w:w="14" w:type="dxa"/>
          <w:trHeight w:val="586"/>
        </w:trPr>
        <w:tc>
          <w:tcPr>
            <w:tcW w:w="2223" w:type="dxa"/>
            <w:shd w:val="clear" w:color="auto" w:fill="auto"/>
            <w:vAlign w:val="center"/>
          </w:tcPr>
          <w:p w:rsidR="0060705C" w:rsidRPr="009F2FC1" w:rsidRDefault="0060705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60705C" w:rsidRPr="009F2FC1" w:rsidRDefault="0060705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203 millones de pesos </w:t>
            </w:r>
          </w:p>
        </w:tc>
        <w:tc>
          <w:tcPr>
            <w:tcW w:w="1794" w:type="dxa"/>
            <w:gridSpan w:val="2"/>
            <w:shd w:val="clear" w:color="auto" w:fill="auto"/>
            <w:vAlign w:val="center"/>
          </w:tcPr>
          <w:p w:rsidR="0060705C" w:rsidRPr="009F2FC1" w:rsidRDefault="0060705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60705C" w:rsidRDefault="0060705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60705C" w:rsidRPr="009F2FC1" w:rsidRDefault="0060705C" w:rsidP="0060705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D03C86" w:rsidRPr="006B37D6" w:rsidRDefault="00D03C86" w:rsidP="00FB2027">
      <w:pPr>
        <w:rPr>
          <w:highlight w:val="cyan"/>
          <w:lang w:eastAsia="es-ES"/>
        </w:rPr>
      </w:pPr>
    </w:p>
    <w:sectPr w:rsidR="00D03C86" w:rsidRPr="006B37D6"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966" w:rsidRDefault="00AD4966" w:rsidP="00C47A64">
      <w:r>
        <w:separator/>
      </w:r>
    </w:p>
    <w:p w:rsidR="00AD4966" w:rsidRDefault="00AD4966" w:rsidP="00C47A64"/>
  </w:endnote>
  <w:endnote w:type="continuationSeparator" w:id="0">
    <w:p w:rsidR="00AD4966" w:rsidRDefault="00AD4966" w:rsidP="00C47A64">
      <w:r>
        <w:continuationSeparator/>
      </w:r>
    </w:p>
    <w:p w:rsidR="00AD4966" w:rsidRDefault="00AD496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D6" w:rsidRPr="00BE37F7" w:rsidRDefault="006B37D6" w:rsidP="006B37D6">
    <w:pPr>
      <w:pStyle w:val="EncabezadoPie"/>
      <w:pBdr>
        <w:top w:val="single" w:sz="4" w:space="11" w:color="auto"/>
      </w:pBdr>
    </w:pPr>
    <w:r w:rsidRPr="00BE37F7">
      <w:t xml:space="preserve">PLAN MAESTRO DE RECURSOS HÍDRICOS REGIÓN DEL MAULE   </w:t>
    </w:r>
  </w:p>
  <w:p w:rsidR="006B37D6" w:rsidRPr="00BE37F7" w:rsidRDefault="006B37D6" w:rsidP="006B37D6">
    <w:pPr>
      <w:pStyle w:val="EncabezadoPie"/>
    </w:pPr>
    <w:r w:rsidRPr="00BE37F7">
      <w:t>Etapa 4. Propuesta del Plan Regional</w:t>
    </w:r>
    <w:r w:rsidRPr="00BE37F7">
      <w:rPr>
        <w:rFonts w:ascii="Arial Narrow" w:hAnsi="Arial Narrow"/>
        <w:sz w:val="18"/>
        <w:szCs w:val="18"/>
      </w:rPr>
      <w:tab/>
    </w:r>
  </w:p>
  <w:p w:rsidR="006B37D6" w:rsidRDefault="006B37D6" w:rsidP="006B37D6">
    <w:pPr>
      <w:pStyle w:val="EncabezadoPie"/>
      <w:tabs>
        <w:tab w:val="right" w:pos="9072"/>
      </w:tabs>
    </w:pPr>
    <w:r>
      <w:t>FICHAS DE INICIATIVAS</w:t>
    </w:r>
  </w:p>
  <w:p w:rsidR="00B07C12" w:rsidRPr="006B37D6" w:rsidRDefault="006B37D6" w:rsidP="006B37D6">
    <w:pPr>
      <w:pStyle w:val="EncabezadoPie"/>
      <w:tabs>
        <w:tab w:val="right" w:pos="9072"/>
      </w:tabs>
      <w:jc w:val="right"/>
    </w:pPr>
    <w:r>
      <w:t xml:space="preserve">Página </w:t>
    </w:r>
    <w:r>
      <w:fldChar w:fldCharType="begin"/>
    </w:r>
    <w:r>
      <w:instrText>PAGE   \* MERGEFORMAT</w:instrText>
    </w:r>
    <w:r>
      <w:fldChar w:fldCharType="separate"/>
    </w:r>
    <w:r w:rsidR="00316BAA" w:rsidRPr="00316BAA">
      <w:rPr>
        <w:noProof/>
        <w:lang w:val="es-ES"/>
      </w:rPr>
      <w:t>4</w:t>
    </w:r>
    <w:r>
      <w:fldChar w:fldCharType="end"/>
    </w:r>
    <w:r>
      <w:t>/</w:t>
    </w:r>
    <w:fldSimple w:instr=" NUMPAGES   \* MERGEFORMAT ">
      <w:r w:rsidR="00316BAA">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966" w:rsidRDefault="00AD4966" w:rsidP="00C47A64">
      <w:r>
        <w:separator/>
      </w:r>
    </w:p>
    <w:p w:rsidR="00AD4966" w:rsidRDefault="00AD4966" w:rsidP="00C47A64"/>
  </w:footnote>
  <w:footnote w:type="continuationSeparator" w:id="0">
    <w:p w:rsidR="00AD4966" w:rsidRDefault="00AD4966" w:rsidP="00C47A64">
      <w:r>
        <w:continuationSeparator/>
      </w:r>
    </w:p>
    <w:p w:rsidR="00AD4966" w:rsidRDefault="00AD496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6B37D6" w:rsidTr="00806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6B37D6" w:rsidRDefault="006B37D6"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1pt" o:ole="">
                <v:imagedata r:id="rId1" o:title=""/>
              </v:shape>
              <o:OLEObject Type="Embed" ProgID="PBrush" ShapeID="_x0000_i1025" DrawAspect="Content" ObjectID="_1606321282" r:id="rId2"/>
            </w:object>
          </w:r>
        </w:p>
      </w:tc>
      <w:tc>
        <w:tcPr>
          <w:tcW w:w="7126" w:type="dxa"/>
          <w:shd w:val="clear" w:color="auto" w:fill="auto"/>
        </w:tcPr>
        <w:p w:rsidR="006B37D6" w:rsidRPr="00B31517" w:rsidRDefault="006B37D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6B37D6" w:rsidRPr="00B31517" w:rsidRDefault="006B37D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6B37D6" w:rsidRDefault="006B37D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6B37D6" w:rsidRPr="00B31517" w:rsidRDefault="006B37D6" w:rsidP="00A54186">
          <w:pPr>
            <w:pStyle w:val="EncabezadoPie"/>
            <w:cnfStyle w:val="100000000000" w:firstRow="1" w:lastRow="0" w:firstColumn="0" w:lastColumn="0" w:oddVBand="0" w:evenVBand="0" w:oddHBand="0" w:evenHBand="0" w:firstRowFirstColumn="0" w:firstRowLastColumn="0" w:lastRowFirstColumn="0" w:lastRowLastColumn="0"/>
          </w:pPr>
        </w:p>
        <w:p w:rsidR="006B37D6" w:rsidRPr="00B31517" w:rsidRDefault="006B37D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6B37D6" w:rsidRDefault="006B37D6"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B07C12" w:rsidRPr="001B0220" w:rsidRDefault="00B07C12"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080C61"/>
    <w:multiLevelType w:val="hybridMultilevel"/>
    <w:tmpl w:val="0C349156"/>
    <w:lvl w:ilvl="0" w:tplc="827441FE">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7DD1E9C"/>
    <w:multiLevelType w:val="hybridMultilevel"/>
    <w:tmpl w:val="0C16ED4C"/>
    <w:lvl w:ilvl="0" w:tplc="45CE607C">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055CB4"/>
    <w:multiLevelType w:val="hybridMultilevel"/>
    <w:tmpl w:val="4984AFBE"/>
    <w:lvl w:ilvl="0" w:tplc="F7B440C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8D509D3"/>
    <w:multiLevelType w:val="hybridMultilevel"/>
    <w:tmpl w:val="20A0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8"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9"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EBE43BC"/>
    <w:multiLevelType w:val="hybridMultilevel"/>
    <w:tmpl w:val="363C02F2"/>
    <w:lvl w:ilvl="0" w:tplc="9ED49442">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2"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4970C0"/>
    <w:multiLevelType w:val="hybridMultilevel"/>
    <w:tmpl w:val="02D4C716"/>
    <w:lvl w:ilvl="0" w:tplc="F4981B26">
      <w:start w:val="320"/>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8"/>
  </w:num>
  <w:num w:numId="4">
    <w:abstractNumId w:val="14"/>
  </w:num>
  <w:num w:numId="5">
    <w:abstractNumId w:val="31"/>
  </w:num>
  <w:num w:numId="6">
    <w:abstractNumId w:val="27"/>
  </w:num>
  <w:num w:numId="7">
    <w:abstractNumId w:val="1"/>
  </w:num>
  <w:num w:numId="8">
    <w:abstractNumId w:val="0"/>
  </w:num>
  <w:num w:numId="9">
    <w:abstractNumId w:val="17"/>
  </w:num>
  <w:num w:numId="10">
    <w:abstractNumId w:val="24"/>
  </w:num>
  <w:num w:numId="11">
    <w:abstractNumId w:val="9"/>
  </w:num>
  <w:num w:numId="12">
    <w:abstractNumId w:val="22"/>
  </w:num>
  <w:num w:numId="13">
    <w:abstractNumId w:val="33"/>
  </w:num>
  <w:num w:numId="14">
    <w:abstractNumId w:val="18"/>
  </w:num>
  <w:num w:numId="15">
    <w:abstractNumId w:val="13"/>
  </w:num>
  <w:num w:numId="16">
    <w:abstractNumId w:val="35"/>
  </w:num>
  <w:num w:numId="17">
    <w:abstractNumId w:val="8"/>
  </w:num>
  <w:num w:numId="18">
    <w:abstractNumId w:val="36"/>
  </w:num>
  <w:num w:numId="19">
    <w:abstractNumId w:val="25"/>
  </w:num>
  <w:num w:numId="20">
    <w:abstractNumId w:val="32"/>
  </w:num>
  <w:num w:numId="21">
    <w:abstractNumId w:val="21"/>
  </w:num>
  <w:num w:numId="22">
    <w:abstractNumId w:val="21"/>
    <w:lvlOverride w:ilvl="0">
      <w:startOverride w:val="1"/>
    </w:lvlOverride>
  </w:num>
  <w:num w:numId="23">
    <w:abstractNumId w:val="19"/>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num>
  <w:num w:numId="31">
    <w:abstractNumId w:val="21"/>
    <w:lvlOverride w:ilvl="0">
      <w:startOverride w:val="1"/>
    </w:lvlOverride>
  </w:num>
  <w:num w:numId="32">
    <w:abstractNumId w:val="16"/>
  </w:num>
  <w:num w:numId="33">
    <w:abstractNumId w:val="20"/>
  </w:num>
  <w:num w:numId="34">
    <w:abstractNumId w:val="2"/>
  </w:num>
  <w:num w:numId="35">
    <w:abstractNumId w:val="23"/>
  </w:num>
  <w:num w:numId="36">
    <w:abstractNumId w:val="34"/>
  </w:num>
  <w:num w:numId="37">
    <w:abstractNumId w:val="11"/>
  </w:num>
  <w:num w:numId="38">
    <w:abstractNumId w:val="26"/>
  </w:num>
  <w:num w:numId="39">
    <w:abstractNumId w:val="21"/>
    <w:lvlOverride w:ilvl="0">
      <w:startOverride w:val="1"/>
    </w:lvlOverride>
  </w:num>
  <w:num w:numId="40">
    <w:abstractNumId w:val="13"/>
  </w:num>
  <w:num w:numId="41">
    <w:abstractNumId w:val="4"/>
  </w:num>
  <w:num w:numId="42">
    <w:abstractNumId w:val="10"/>
  </w:num>
  <w:num w:numId="43">
    <w:abstractNumId w:val="29"/>
  </w:num>
  <w:num w:numId="44">
    <w:abstractNumId w:val="12"/>
  </w:num>
  <w:num w:numId="45">
    <w:abstractNumId w:val="30"/>
  </w:num>
  <w:num w:numId="46">
    <w:abstractNumId w:val="5"/>
  </w:num>
  <w:num w:numId="47">
    <w:abstractNumId w:val="37"/>
  </w:num>
  <w:num w:numId="48">
    <w:abstractNumId w:val="7"/>
  </w:num>
  <w:num w:numId="49">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0F4"/>
    <w:rsid w:val="0003430A"/>
    <w:rsid w:val="0003545B"/>
    <w:rsid w:val="00043F93"/>
    <w:rsid w:val="00045FE3"/>
    <w:rsid w:val="00046792"/>
    <w:rsid w:val="00050539"/>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2F0"/>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D6F11"/>
    <w:rsid w:val="001E1658"/>
    <w:rsid w:val="001E3619"/>
    <w:rsid w:val="001E4CD2"/>
    <w:rsid w:val="001E506B"/>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3727"/>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6038"/>
    <w:rsid w:val="002860E3"/>
    <w:rsid w:val="002877A8"/>
    <w:rsid w:val="00293448"/>
    <w:rsid w:val="002942CB"/>
    <w:rsid w:val="0029707C"/>
    <w:rsid w:val="002A0185"/>
    <w:rsid w:val="002A019F"/>
    <w:rsid w:val="002A18B1"/>
    <w:rsid w:val="002A195B"/>
    <w:rsid w:val="002A4B52"/>
    <w:rsid w:val="002A7DE0"/>
    <w:rsid w:val="002B02A4"/>
    <w:rsid w:val="002B036E"/>
    <w:rsid w:val="002B0726"/>
    <w:rsid w:val="002B47F1"/>
    <w:rsid w:val="002B4AAA"/>
    <w:rsid w:val="002B4AC0"/>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EF1"/>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BAA"/>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B7E"/>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09D2"/>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22A"/>
    <w:rsid w:val="005F1B16"/>
    <w:rsid w:val="005F277B"/>
    <w:rsid w:val="005F63D2"/>
    <w:rsid w:val="005F6D95"/>
    <w:rsid w:val="005F70DA"/>
    <w:rsid w:val="00600297"/>
    <w:rsid w:val="00601EA6"/>
    <w:rsid w:val="00605F0B"/>
    <w:rsid w:val="0060705C"/>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3F42"/>
    <w:rsid w:val="00654F6E"/>
    <w:rsid w:val="0065575D"/>
    <w:rsid w:val="006602A8"/>
    <w:rsid w:val="006602B7"/>
    <w:rsid w:val="0066046B"/>
    <w:rsid w:val="006604D8"/>
    <w:rsid w:val="00661503"/>
    <w:rsid w:val="00662F0D"/>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37D6"/>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12483"/>
    <w:rsid w:val="00720809"/>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6DC6"/>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337"/>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641C"/>
    <w:rsid w:val="00887321"/>
    <w:rsid w:val="00890A0C"/>
    <w:rsid w:val="0089124B"/>
    <w:rsid w:val="008930FE"/>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6F8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0C9D"/>
    <w:rsid w:val="009E1AFA"/>
    <w:rsid w:val="009E1FF6"/>
    <w:rsid w:val="009E4A96"/>
    <w:rsid w:val="009E50AD"/>
    <w:rsid w:val="009E5498"/>
    <w:rsid w:val="009E56C4"/>
    <w:rsid w:val="009E5BD5"/>
    <w:rsid w:val="009E5CAE"/>
    <w:rsid w:val="009E6253"/>
    <w:rsid w:val="009E6D0C"/>
    <w:rsid w:val="009F0666"/>
    <w:rsid w:val="009F2EBC"/>
    <w:rsid w:val="009F3EA0"/>
    <w:rsid w:val="009F574D"/>
    <w:rsid w:val="009F7196"/>
    <w:rsid w:val="00A00094"/>
    <w:rsid w:val="00A00A00"/>
    <w:rsid w:val="00A01DCF"/>
    <w:rsid w:val="00A02257"/>
    <w:rsid w:val="00A024F7"/>
    <w:rsid w:val="00A02A72"/>
    <w:rsid w:val="00A03649"/>
    <w:rsid w:val="00A05B82"/>
    <w:rsid w:val="00A05C00"/>
    <w:rsid w:val="00A0646E"/>
    <w:rsid w:val="00A06DC6"/>
    <w:rsid w:val="00A07A97"/>
    <w:rsid w:val="00A07E2B"/>
    <w:rsid w:val="00A10F93"/>
    <w:rsid w:val="00A11044"/>
    <w:rsid w:val="00A12258"/>
    <w:rsid w:val="00A14B81"/>
    <w:rsid w:val="00A15B35"/>
    <w:rsid w:val="00A15D0E"/>
    <w:rsid w:val="00A170F7"/>
    <w:rsid w:val="00A17974"/>
    <w:rsid w:val="00A17B15"/>
    <w:rsid w:val="00A20ABE"/>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4966"/>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1402"/>
    <w:rsid w:val="00B01621"/>
    <w:rsid w:val="00B02B7B"/>
    <w:rsid w:val="00B03D1B"/>
    <w:rsid w:val="00B041A6"/>
    <w:rsid w:val="00B04915"/>
    <w:rsid w:val="00B06188"/>
    <w:rsid w:val="00B068ED"/>
    <w:rsid w:val="00B076CF"/>
    <w:rsid w:val="00B0790F"/>
    <w:rsid w:val="00B07C12"/>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716D"/>
    <w:rsid w:val="00C27D69"/>
    <w:rsid w:val="00C30B4B"/>
    <w:rsid w:val="00C30E7D"/>
    <w:rsid w:val="00C31162"/>
    <w:rsid w:val="00C3138E"/>
    <w:rsid w:val="00C3244A"/>
    <w:rsid w:val="00C328A0"/>
    <w:rsid w:val="00C32B49"/>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4919"/>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0D9F"/>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194"/>
    <w:rsid w:val="00E6557A"/>
    <w:rsid w:val="00E662CF"/>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0F99"/>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2726"/>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3970533">
      <w:bodyDiv w:val="1"/>
      <w:marLeft w:val="0"/>
      <w:marRight w:val="0"/>
      <w:marTop w:val="0"/>
      <w:marBottom w:val="0"/>
      <w:divBdr>
        <w:top w:val="none" w:sz="0" w:space="0" w:color="auto"/>
        <w:left w:val="none" w:sz="0" w:space="0" w:color="auto"/>
        <w:bottom w:val="none" w:sz="0" w:space="0" w:color="auto"/>
        <w:right w:val="none" w:sz="0" w:space="0" w:color="auto"/>
      </w:divBdr>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3972055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062944423">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8396A-305F-4E30-9E3F-CEB27E38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11</cp:revision>
  <cp:lastPrinted>2017-09-22T12:45:00Z</cp:lastPrinted>
  <dcterms:created xsi:type="dcterms:W3CDTF">2017-10-15T21:02:00Z</dcterms:created>
  <dcterms:modified xsi:type="dcterms:W3CDTF">2018-12-14T22:33:00Z</dcterms:modified>
</cp:coreProperties>
</file>