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tblInd w:w="11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3565"/>
        <w:gridCol w:w="2806"/>
        <w:gridCol w:w="2629"/>
      </w:tblGrid>
      <w:tr w:rsidR="00254434" w:rsidRPr="0019177F" w:rsidTr="00D012F8">
        <w:trPr>
          <w:trHeight w:val="330"/>
          <w:tblHeader/>
        </w:trPr>
        <w:tc>
          <w:tcPr>
            <w:tcW w:w="3565" w:type="dxa"/>
            <w:vMerge w:val="restart"/>
            <w:shd w:val="clear" w:color="auto" w:fill="8DB3E2" w:themeFill="text2" w:themeFillTint="66"/>
            <w:noWrap/>
          </w:tcPr>
          <w:p w:rsidR="00254434" w:rsidRDefault="00254434" w:rsidP="00254434">
            <w:pPr>
              <w:spacing w:after="0" w:line="240" w:lineRule="auto"/>
              <w:jc w:val="left"/>
              <w:rPr>
                <w:rFonts w:eastAsia="Times New Roman" w:cs="Times New Roman"/>
                <w:b/>
                <w:bCs/>
                <w:color w:val="000000"/>
                <w:sz w:val="18"/>
                <w:szCs w:val="18"/>
                <w:lang w:val="es-ES" w:eastAsia="es-ES"/>
              </w:rPr>
            </w:pPr>
          </w:p>
          <w:p w:rsidR="00254434" w:rsidRPr="0019177F" w:rsidRDefault="00774646" w:rsidP="00254434">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 xml:space="preserve">FUNCIONAL E INSTITUCIONAL </w:t>
            </w:r>
          </w:p>
        </w:tc>
        <w:tc>
          <w:tcPr>
            <w:tcW w:w="5435" w:type="dxa"/>
            <w:gridSpan w:val="2"/>
            <w:shd w:val="clear" w:color="auto" w:fill="8DB3E2" w:themeFill="text2" w:themeFillTint="66"/>
            <w:vAlign w:val="center"/>
          </w:tcPr>
          <w:p w:rsidR="00254434" w:rsidRDefault="00254434" w:rsidP="00254434">
            <w:pPr>
              <w:spacing w:after="0"/>
              <w:jc w:val="left"/>
              <w:rPr>
                <w:rFonts w:ascii="Calibri" w:eastAsia="Times New Roman" w:hAnsi="Calibri"/>
                <w:color w:val="000000"/>
                <w:sz w:val="16"/>
                <w:szCs w:val="16"/>
              </w:rPr>
            </w:pPr>
            <w:r>
              <w:rPr>
                <w:rFonts w:ascii="Calibri" w:hAnsi="Calibri"/>
                <w:color w:val="000000"/>
                <w:sz w:val="16"/>
                <w:szCs w:val="16"/>
              </w:rPr>
              <w:t>OBJETIVO 13.3 DARH: "Mejorar la situación legal de los derechos de aprovechamiento de agua en la región".</w:t>
            </w:r>
          </w:p>
        </w:tc>
      </w:tr>
      <w:tr w:rsidR="00254434" w:rsidRPr="0019177F" w:rsidTr="00D012F8">
        <w:trPr>
          <w:trHeight w:val="330"/>
          <w:tblHeader/>
        </w:trPr>
        <w:tc>
          <w:tcPr>
            <w:tcW w:w="3565" w:type="dxa"/>
            <w:vMerge/>
            <w:shd w:val="clear" w:color="auto" w:fill="8DB3E2" w:themeFill="text2" w:themeFillTint="66"/>
            <w:noWrap/>
          </w:tcPr>
          <w:p w:rsidR="00254434" w:rsidRDefault="00254434" w:rsidP="00254434">
            <w:pPr>
              <w:spacing w:after="0" w:line="240" w:lineRule="auto"/>
              <w:jc w:val="left"/>
              <w:rPr>
                <w:rFonts w:eastAsia="Times New Roman" w:cs="Times New Roman"/>
                <w:b/>
                <w:bCs/>
                <w:color w:val="000000"/>
                <w:sz w:val="18"/>
                <w:szCs w:val="18"/>
                <w:lang w:val="es-ES" w:eastAsia="es-ES"/>
              </w:rPr>
            </w:pPr>
          </w:p>
        </w:tc>
        <w:tc>
          <w:tcPr>
            <w:tcW w:w="5435" w:type="dxa"/>
            <w:gridSpan w:val="2"/>
            <w:shd w:val="clear" w:color="auto" w:fill="8DB3E2" w:themeFill="text2" w:themeFillTint="66"/>
            <w:vAlign w:val="center"/>
          </w:tcPr>
          <w:p w:rsidR="00254434" w:rsidRDefault="00254434" w:rsidP="00254434">
            <w:pPr>
              <w:rPr>
                <w:rFonts w:ascii="Calibri" w:hAnsi="Calibri"/>
                <w:color w:val="000000"/>
                <w:sz w:val="16"/>
                <w:szCs w:val="16"/>
              </w:rPr>
            </w:pPr>
            <w:r>
              <w:rPr>
                <w:rFonts w:ascii="Calibri" w:hAnsi="Calibri"/>
                <w:color w:val="000000"/>
                <w:sz w:val="16"/>
                <w:szCs w:val="16"/>
              </w:rPr>
              <w:t>L-I-06. Mejorar la situación legal de los derechos de aprovechamiento de aguas en la región</w:t>
            </w:r>
          </w:p>
        </w:tc>
      </w:tr>
      <w:tr w:rsidR="002E42D3" w:rsidRPr="0019177F" w:rsidTr="00D012F8">
        <w:trPr>
          <w:trHeight w:val="420"/>
          <w:tblHeader/>
        </w:trPr>
        <w:tc>
          <w:tcPr>
            <w:tcW w:w="6371" w:type="dxa"/>
            <w:gridSpan w:val="2"/>
            <w:shd w:val="clear" w:color="auto" w:fill="F2F2F2" w:themeFill="background1" w:themeFillShade="F2"/>
            <w:noWrap/>
          </w:tcPr>
          <w:p w:rsidR="002E42D3" w:rsidRPr="00B726E2" w:rsidRDefault="002E42D3" w:rsidP="00B726E2">
            <w:pPr>
              <w:spacing w:after="0" w:line="240" w:lineRule="auto"/>
              <w:jc w:val="left"/>
              <w:rPr>
                <w:rFonts w:ascii="Calibri" w:eastAsia="Times New Roman" w:hAnsi="Calibri" w:cs="Times New Roman"/>
                <w:b/>
                <w:color w:val="000000"/>
                <w:sz w:val="22"/>
                <w:szCs w:val="18"/>
                <w:lang w:val="es-ES" w:eastAsia="es-ES"/>
              </w:rPr>
            </w:pPr>
            <w:r w:rsidRPr="00254434">
              <w:rPr>
                <w:rFonts w:ascii="Calibri" w:eastAsia="Times New Roman" w:hAnsi="Calibri" w:cs="Times New Roman"/>
                <w:b/>
                <w:color w:val="000000"/>
                <w:sz w:val="22"/>
                <w:szCs w:val="18"/>
                <w:lang w:val="es-ES" w:eastAsia="es-ES"/>
              </w:rPr>
              <w:t>Simplificación de los procesos para regularización de derechos de aprovechamiento de aguas</w:t>
            </w:r>
          </w:p>
        </w:tc>
        <w:tc>
          <w:tcPr>
            <w:tcW w:w="2629" w:type="dxa"/>
            <w:shd w:val="clear" w:color="auto" w:fill="F2F2F2" w:themeFill="background1" w:themeFillShade="F2"/>
          </w:tcPr>
          <w:p w:rsidR="002E42D3" w:rsidRPr="00B726E2" w:rsidRDefault="002E42D3" w:rsidP="00DF5D60">
            <w:pPr>
              <w:spacing w:after="0" w:line="240" w:lineRule="auto"/>
              <w:jc w:val="center"/>
              <w:rPr>
                <w:rFonts w:ascii="Calibri" w:eastAsia="Times New Roman" w:hAnsi="Calibri" w:cs="Times New Roman"/>
                <w:b/>
                <w:color w:val="000000"/>
                <w:sz w:val="22"/>
                <w:szCs w:val="18"/>
                <w:lang w:val="es-ES" w:eastAsia="es-ES"/>
              </w:rPr>
            </w:pPr>
            <w:r>
              <w:rPr>
                <w:rFonts w:ascii="Calibri" w:eastAsia="Times New Roman" w:hAnsi="Calibri" w:cs="Times New Roman"/>
                <w:b/>
                <w:color w:val="000000"/>
                <w:sz w:val="52"/>
                <w:szCs w:val="18"/>
                <w:lang w:val="es-ES" w:eastAsia="es-ES"/>
              </w:rPr>
              <w:t>SL-I-11</w:t>
            </w:r>
          </w:p>
        </w:tc>
      </w:tr>
      <w:tr w:rsidR="00501739" w:rsidRPr="00501739" w:rsidTr="00D012F8">
        <w:trPr>
          <w:trHeight w:val="128"/>
          <w:tblHeader/>
        </w:trPr>
        <w:tc>
          <w:tcPr>
            <w:tcW w:w="9000" w:type="dxa"/>
            <w:gridSpan w:val="3"/>
            <w:shd w:val="clear" w:color="auto" w:fill="auto"/>
            <w:noWrap/>
          </w:tcPr>
          <w:p w:rsidR="00501739" w:rsidRPr="00501739" w:rsidRDefault="00501739" w:rsidP="0019177F">
            <w:pPr>
              <w:spacing w:after="0" w:line="240" w:lineRule="auto"/>
              <w:jc w:val="left"/>
              <w:rPr>
                <w:rFonts w:ascii="Calibri" w:eastAsia="Times New Roman" w:hAnsi="Calibri" w:cs="Times New Roman"/>
                <w:b/>
                <w:color w:val="000000"/>
                <w:sz w:val="4"/>
                <w:szCs w:val="4"/>
                <w:lang w:val="es-ES" w:eastAsia="es-ES"/>
              </w:rPr>
            </w:pPr>
          </w:p>
        </w:tc>
      </w:tr>
      <w:tr w:rsidR="00254434" w:rsidRPr="0019177F" w:rsidTr="00D012F8">
        <w:trPr>
          <w:trHeight w:val="300"/>
        </w:trPr>
        <w:tc>
          <w:tcPr>
            <w:tcW w:w="9000" w:type="dxa"/>
            <w:gridSpan w:val="3"/>
            <w:shd w:val="clear" w:color="auto" w:fill="F2F2F2" w:themeFill="background1" w:themeFillShade="F2"/>
            <w:noWrap/>
            <w:hideMark/>
          </w:tcPr>
          <w:p w:rsidR="00254434" w:rsidRPr="0019177F" w:rsidRDefault="00254434" w:rsidP="00307273">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Antecedentes</w:t>
            </w:r>
            <w:r>
              <w:rPr>
                <w:rFonts w:eastAsia="Times New Roman" w:cs="Times New Roman"/>
                <w:b/>
                <w:bCs/>
                <w:color w:val="000000"/>
                <w:sz w:val="18"/>
                <w:szCs w:val="18"/>
                <w:lang w:val="es-ES" w:eastAsia="es-ES"/>
              </w:rPr>
              <w:t xml:space="preserve"> Generales de la Sub Línea de Acción</w:t>
            </w:r>
          </w:p>
        </w:tc>
      </w:tr>
      <w:tr w:rsidR="00254434" w:rsidRPr="001340C7" w:rsidTr="00D012F8">
        <w:trPr>
          <w:trHeight w:val="310"/>
        </w:trPr>
        <w:tc>
          <w:tcPr>
            <w:tcW w:w="9000" w:type="dxa"/>
            <w:gridSpan w:val="3"/>
            <w:shd w:val="clear" w:color="auto" w:fill="auto"/>
            <w:noWrap/>
          </w:tcPr>
          <w:p w:rsidR="00254434" w:rsidRDefault="0062565C" w:rsidP="00307273">
            <w:pPr>
              <w:rPr>
                <w:rFonts w:eastAsia="Times New Roman"/>
                <w:sz w:val="18"/>
                <w:lang w:val="es-ES" w:eastAsia="es-ES"/>
              </w:rPr>
            </w:pPr>
            <w:r>
              <w:rPr>
                <w:rFonts w:eastAsia="Times New Roman"/>
                <w:sz w:val="18"/>
                <w:lang w:val="es-ES" w:eastAsia="es-ES"/>
              </w:rPr>
              <w:t xml:space="preserve">En las distintas actividades de participación ciudadana realizadas en el marco del Plan Maestro de Recursos Hídricos, los usuarios consultados indicaron que los trámites asociados a los derechos de aprovechamiento de aguas tienen una complejidad tal que resulta en que muchos usuarios </w:t>
            </w:r>
            <w:r w:rsidR="003B601A">
              <w:rPr>
                <w:rFonts w:eastAsia="Times New Roman"/>
                <w:sz w:val="18"/>
                <w:lang w:val="es-ES" w:eastAsia="es-ES"/>
              </w:rPr>
              <w:t xml:space="preserve">no realicen, por desconocimiento, las actuaciones necesarias para mantener sus derechos al día. </w:t>
            </w:r>
          </w:p>
          <w:p w:rsidR="003B601A" w:rsidRDefault="003B601A" w:rsidP="00307273">
            <w:pPr>
              <w:rPr>
                <w:rFonts w:eastAsia="Times New Roman"/>
                <w:sz w:val="18"/>
                <w:lang w:val="es-ES" w:eastAsia="es-ES"/>
              </w:rPr>
            </w:pPr>
            <w:r>
              <w:rPr>
                <w:rFonts w:eastAsia="Times New Roman"/>
                <w:sz w:val="18"/>
                <w:lang w:val="es-ES" w:eastAsia="es-ES"/>
              </w:rPr>
              <w:t xml:space="preserve">Esto se suma a que los canales de apoyo son pocos, no necesariamente adecuados para los trámites de mayor complejidad, y con costos legales asociados. </w:t>
            </w:r>
          </w:p>
          <w:p w:rsidR="0062565C" w:rsidRPr="001340C7" w:rsidRDefault="0062565C" w:rsidP="00307273">
            <w:pPr>
              <w:rPr>
                <w:rFonts w:eastAsia="Times New Roman"/>
                <w:sz w:val="18"/>
                <w:lang w:val="es-ES" w:eastAsia="es-ES"/>
              </w:rPr>
            </w:pPr>
          </w:p>
        </w:tc>
      </w:tr>
      <w:tr w:rsidR="00254434" w:rsidRPr="0019177F" w:rsidTr="00D012F8">
        <w:trPr>
          <w:trHeight w:val="300"/>
        </w:trPr>
        <w:tc>
          <w:tcPr>
            <w:tcW w:w="9000" w:type="dxa"/>
            <w:gridSpan w:val="3"/>
            <w:shd w:val="clear" w:color="auto" w:fill="F2F2F2" w:themeFill="background1" w:themeFillShade="F2"/>
            <w:noWrap/>
            <w:hideMark/>
          </w:tcPr>
          <w:p w:rsidR="00254434" w:rsidRPr="0019177F" w:rsidRDefault="00254434" w:rsidP="00307273">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 xml:space="preserve">Objetivo General de la Sub Línea de Acción </w:t>
            </w:r>
          </w:p>
        </w:tc>
      </w:tr>
      <w:tr w:rsidR="00254434" w:rsidRPr="001340C7" w:rsidTr="00D012F8">
        <w:trPr>
          <w:trHeight w:val="310"/>
        </w:trPr>
        <w:tc>
          <w:tcPr>
            <w:tcW w:w="9000" w:type="dxa"/>
            <w:gridSpan w:val="3"/>
            <w:shd w:val="clear" w:color="auto" w:fill="auto"/>
            <w:noWrap/>
          </w:tcPr>
          <w:p w:rsidR="00254434" w:rsidRPr="001340C7" w:rsidRDefault="003B601A" w:rsidP="003B601A">
            <w:pPr>
              <w:rPr>
                <w:rFonts w:eastAsia="Times New Roman"/>
                <w:sz w:val="18"/>
                <w:lang w:val="es-ES" w:eastAsia="es-ES"/>
              </w:rPr>
            </w:pPr>
            <w:r>
              <w:rPr>
                <w:rFonts w:eastAsia="Times New Roman"/>
                <w:sz w:val="18"/>
                <w:lang w:val="es-ES" w:eastAsia="es-ES"/>
              </w:rPr>
              <w:t xml:space="preserve">Promover el mejoramiento de la situación legal de los derechos de aprovechamiento de aguas mediante una simplificación del proceso de regularización de derechos de aprovechamiento de aguas. </w:t>
            </w:r>
          </w:p>
        </w:tc>
      </w:tr>
      <w:tr w:rsidR="00254434" w:rsidRPr="0019177F" w:rsidTr="00D012F8">
        <w:trPr>
          <w:trHeight w:val="300"/>
        </w:trPr>
        <w:tc>
          <w:tcPr>
            <w:tcW w:w="9000" w:type="dxa"/>
            <w:gridSpan w:val="3"/>
            <w:shd w:val="clear" w:color="auto" w:fill="F2F2F2" w:themeFill="background1" w:themeFillShade="F2"/>
            <w:noWrap/>
            <w:hideMark/>
          </w:tcPr>
          <w:p w:rsidR="00254434" w:rsidRPr="0019177F" w:rsidRDefault="00254434" w:rsidP="00254434">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Descripción General de la Sub Línea de Acción</w:t>
            </w:r>
          </w:p>
        </w:tc>
      </w:tr>
      <w:tr w:rsidR="00254434" w:rsidRPr="001340C7" w:rsidTr="00D012F8">
        <w:trPr>
          <w:trHeight w:val="310"/>
        </w:trPr>
        <w:tc>
          <w:tcPr>
            <w:tcW w:w="9000" w:type="dxa"/>
            <w:gridSpan w:val="3"/>
            <w:shd w:val="clear" w:color="auto" w:fill="auto"/>
            <w:noWrap/>
          </w:tcPr>
          <w:p w:rsidR="003B601A" w:rsidRPr="00AE2340" w:rsidRDefault="00AE2340" w:rsidP="00307273">
            <w:pPr>
              <w:rPr>
                <w:rFonts w:eastAsia="Times New Roman"/>
                <w:sz w:val="18"/>
                <w:lang w:eastAsia="es-ES"/>
              </w:rPr>
            </w:pPr>
            <w:r>
              <w:rPr>
                <w:rFonts w:eastAsia="Times New Roman"/>
                <w:sz w:val="18"/>
                <w:lang w:eastAsia="es-ES"/>
              </w:rPr>
              <w:t xml:space="preserve">En este punto se acoge íntegramente la discusión legislativa impulsada por la Dirección General de Aguas respecto de la simplificación de los procesos de regularización de derechos de aprovechamiento de aguas, principalmente el hecho de que sean un acto administrativo y no un acto judicial. </w:t>
            </w:r>
          </w:p>
        </w:tc>
      </w:tr>
    </w:tbl>
    <w:p w:rsidR="00254434" w:rsidRDefault="00254434" w:rsidP="00FB2027">
      <w:pPr>
        <w:rPr>
          <w:highlight w:val="cyan"/>
          <w:lang w:val="es-ES_tradnl" w:eastAsia="es-ES"/>
        </w:rPr>
      </w:pPr>
    </w:p>
    <w:p w:rsidR="00254434" w:rsidRDefault="00254434">
      <w:pPr>
        <w:spacing w:after="200"/>
        <w:jc w:val="left"/>
        <w:rPr>
          <w:highlight w:val="cyan"/>
          <w:lang w:val="es-ES_tradnl" w:eastAsia="es-ES"/>
        </w:rPr>
      </w:pPr>
      <w:r>
        <w:rPr>
          <w:highlight w:val="cyan"/>
          <w:lang w:val="es-ES_tradnl" w:eastAsia="es-ES"/>
        </w:rPr>
        <w:br w:type="page"/>
      </w:r>
    </w:p>
    <w:tbl>
      <w:tblPr>
        <w:tblW w:w="9103"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254434" w:rsidRPr="0019177F" w:rsidTr="00D012F8">
        <w:trPr>
          <w:trHeight w:val="300"/>
          <w:tblHeader/>
        </w:trPr>
        <w:tc>
          <w:tcPr>
            <w:tcW w:w="6801" w:type="dxa"/>
            <w:gridSpan w:val="6"/>
            <w:shd w:val="clear" w:color="auto" w:fill="D9D9D9" w:themeFill="background1" w:themeFillShade="D9"/>
            <w:noWrap/>
          </w:tcPr>
          <w:p w:rsidR="00254434" w:rsidRPr="00384FF3" w:rsidRDefault="002E42D3" w:rsidP="00307273">
            <w:pPr>
              <w:spacing w:after="0" w:line="240" w:lineRule="auto"/>
              <w:jc w:val="left"/>
              <w:rPr>
                <w:rFonts w:eastAsia="Times New Roman" w:cs="Times New Roman"/>
                <w:b/>
                <w:bCs/>
                <w:color w:val="000000"/>
                <w:sz w:val="18"/>
                <w:szCs w:val="18"/>
                <w:lang w:val="es-ES" w:eastAsia="es-ES"/>
              </w:rPr>
            </w:pPr>
            <w:bookmarkStart w:id="0" w:name="_GoBack"/>
            <w:r w:rsidRPr="00254434">
              <w:rPr>
                <w:rFonts w:ascii="Calibri" w:eastAsia="Times New Roman" w:hAnsi="Calibri" w:cs="Times New Roman"/>
                <w:b/>
                <w:color w:val="000000"/>
                <w:sz w:val="22"/>
                <w:szCs w:val="18"/>
                <w:lang w:val="es-ES" w:eastAsia="es-ES"/>
              </w:rPr>
              <w:lastRenderedPageBreak/>
              <w:t>Simplificación de los procesos para regularización de derechos de aprovechamiento de aguas</w:t>
            </w:r>
          </w:p>
        </w:tc>
        <w:tc>
          <w:tcPr>
            <w:tcW w:w="2302" w:type="dxa"/>
            <w:gridSpan w:val="2"/>
            <w:shd w:val="clear" w:color="auto" w:fill="D9D9D9" w:themeFill="background1" w:themeFillShade="D9"/>
          </w:tcPr>
          <w:p w:rsidR="00254434" w:rsidRPr="00384FF3" w:rsidRDefault="00254434" w:rsidP="00780338">
            <w:pPr>
              <w:spacing w:after="0" w:line="240" w:lineRule="auto"/>
              <w:jc w:val="right"/>
              <w:rPr>
                <w:rFonts w:eastAsia="Times New Roman" w:cs="Times New Roman"/>
                <w:b/>
                <w:bCs/>
                <w:color w:val="000000"/>
                <w:sz w:val="18"/>
                <w:szCs w:val="18"/>
                <w:lang w:val="es-ES" w:eastAsia="es-ES"/>
              </w:rPr>
            </w:pPr>
            <w:r>
              <w:rPr>
                <w:rFonts w:eastAsia="Times New Roman" w:cs="Times New Roman"/>
                <w:b/>
                <w:bCs/>
                <w:color w:val="000000"/>
                <w:sz w:val="36"/>
                <w:szCs w:val="18"/>
                <w:lang w:val="es-ES" w:eastAsia="es-ES"/>
              </w:rPr>
              <w:t>IN7</w:t>
            </w:r>
            <w:r w:rsidR="00780338">
              <w:rPr>
                <w:rFonts w:eastAsia="Times New Roman" w:cs="Times New Roman"/>
                <w:b/>
                <w:bCs/>
                <w:color w:val="000000"/>
                <w:sz w:val="36"/>
                <w:szCs w:val="18"/>
                <w:lang w:val="es-ES" w:eastAsia="es-ES"/>
              </w:rPr>
              <w:t>2</w:t>
            </w:r>
          </w:p>
        </w:tc>
      </w:tr>
      <w:tr w:rsidR="00AE2340" w:rsidRPr="0019177F" w:rsidTr="00D012F8">
        <w:trPr>
          <w:trHeight w:val="300"/>
        </w:trPr>
        <w:tc>
          <w:tcPr>
            <w:tcW w:w="2400" w:type="dxa"/>
            <w:gridSpan w:val="2"/>
            <w:shd w:val="clear" w:color="auto" w:fill="auto"/>
            <w:noWrap/>
            <w:hideMark/>
          </w:tcPr>
          <w:p w:rsidR="00AE2340" w:rsidRPr="0019177F" w:rsidRDefault="00AE2340" w:rsidP="00AE2340">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AE2340" w:rsidRDefault="00AE2340" w:rsidP="00AE2340">
            <w:r w:rsidRPr="003D248F">
              <w:rPr>
                <w:rFonts w:eastAsia="Times New Roman" w:cs="Times New Roman"/>
                <w:bCs/>
                <w:color w:val="000000"/>
                <w:sz w:val="18"/>
                <w:szCs w:val="18"/>
                <w:lang w:val="es-ES" w:eastAsia="es-ES"/>
              </w:rPr>
              <w:t>Institucional</w:t>
            </w:r>
          </w:p>
        </w:tc>
        <w:tc>
          <w:tcPr>
            <w:tcW w:w="2167" w:type="dxa"/>
            <w:gridSpan w:val="2"/>
            <w:shd w:val="clear" w:color="auto" w:fill="auto"/>
          </w:tcPr>
          <w:p w:rsidR="00AE2340" w:rsidRPr="00AF5B97" w:rsidRDefault="00AE2340" w:rsidP="00AE2340">
            <w:pPr>
              <w:spacing w:after="0" w:line="240" w:lineRule="auto"/>
              <w:jc w:val="left"/>
              <w:rPr>
                <w:rFonts w:eastAsia="Times New Roman" w:cs="Times New Roman"/>
                <w:bCs/>
                <w:color w:val="000000"/>
                <w:sz w:val="18"/>
                <w:szCs w:val="18"/>
                <w:lang w:val="es-ES" w:eastAsia="es-ES"/>
              </w:rPr>
            </w:pPr>
            <w:r>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AE2340" w:rsidRPr="00AF5B97" w:rsidRDefault="00AE2340" w:rsidP="00AE234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r>
      <w:tr w:rsidR="00AE2340" w:rsidRPr="0019177F" w:rsidTr="00D012F8">
        <w:trPr>
          <w:trHeight w:val="300"/>
        </w:trPr>
        <w:tc>
          <w:tcPr>
            <w:tcW w:w="2400" w:type="dxa"/>
            <w:gridSpan w:val="2"/>
            <w:shd w:val="clear" w:color="auto" w:fill="auto"/>
            <w:noWrap/>
          </w:tcPr>
          <w:p w:rsidR="00AE2340" w:rsidRPr="0019177F" w:rsidRDefault="00AE2340" w:rsidP="00AE2340">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Cartera Sectorial</w:t>
            </w:r>
          </w:p>
        </w:tc>
        <w:tc>
          <w:tcPr>
            <w:tcW w:w="2234" w:type="dxa"/>
            <w:gridSpan w:val="2"/>
            <w:shd w:val="clear" w:color="auto" w:fill="auto"/>
          </w:tcPr>
          <w:p w:rsidR="00AE2340" w:rsidRDefault="00AE2340" w:rsidP="00AE2340">
            <w:r w:rsidRPr="003D248F">
              <w:rPr>
                <w:rFonts w:eastAsia="Times New Roman" w:cs="Times New Roman"/>
                <w:bCs/>
                <w:color w:val="000000"/>
                <w:sz w:val="18"/>
                <w:szCs w:val="18"/>
                <w:lang w:val="es-ES" w:eastAsia="es-ES"/>
              </w:rPr>
              <w:t>Institucional</w:t>
            </w:r>
          </w:p>
        </w:tc>
        <w:tc>
          <w:tcPr>
            <w:tcW w:w="2167" w:type="dxa"/>
            <w:gridSpan w:val="2"/>
            <w:shd w:val="clear" w:color="auto" w:fill="auto"/>
          </w:tcPr>
          <w:p w:rsidR="00AE2340" w:rsidRPr="000E714F" w:rsidRDefault="00AE2340" w:rsidP="00AE2340">
            <w:pPr>
              <w:spacing w:after="0" w:line="240" w:lineRule="auto"/>
              <w:jc w:val="left"/>
              <w:rPr>
                <w:rFonts w:eastAsia="Times New Roman" w:cs="Times New Roman"/>
                <w:b/>
                <w:bCs/>
                <w:color w:val="000000"/>
                <w:sz w:val="18"/>
                <w:szCs w:val="18"/>
                <w:lang w:val="es-ES" w:eastAsia="es-ES"/>
              </w:rPr>
            </w:pPr>
            <w:r w:rsidRPr="000E714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AE2340" w:rsidRPr="00AF5B97" w:rsidRDefault="00AE2340" w:rsidP="00AE234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DGA</w:t>
            </w:r>
          </w:p>
        </w:tc>
      </w:tr>
      <w:tr w:rsidR="00AE2340" w:rsidRPr="0019177F" w:rsidTr="00D012F8">
        <w:trPr>
          <w:trHeight w:val="300"/>
        </w:trPr>
        <w:tc>
          <w:tcPr>
            <w:tcW w:w="2400" w:type="dxa"/>
            <w:gridSpan w:val="2"/>
            <w:shd w:val="clear" w:color="auto" w:fill="auto"/>
            <w:noWrap/>
          </w:tcPr>
          <w:p w:rsidR="00AE2340" w:rsidRPr="0022681B" w:rsidRDefault="00AE2340" w:rsidP="00AE2340">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AE2340" w:rsidRPr="0022681B" w:rsidRDefault="00AE2340" w:rsidP="00AE2340">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67" w:type="dxa"/>
            <w:gridSpan w:val="2"/>
            <w:shd w:val="clear" w:color="auto" w:fill="auto"/>
          </w:tcPr>
          <w:p w:rsidR="00AE2340" w:rsidRPr="0022681B" w:rsidRDefault="00AE2340" w:rsidP="00AE2340">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AE2340" w:rsidRPr="0022681B" w:rsidRDefault="00AE2340" w:rsidP="00AE2340">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254434" w:rsidRPr="0019177F" w:rsidTr="00D012F8">
        <w:trPr>
          <w:trHeight w:val="300"/>
        </w:trPr>
        <w:tc>
          <w:tcPr>
            <w:tcW w:w="2400" w:type="dxa"/>
            <w:gridSpan w:val="2"/>
            <w:shd w:val="clear" w:color="auto" w:fill="auto"/>
            <w:noWrap/>
            <w:hideMark/>
          </w:tcPr>
          <w:p w:rsidR="00254434" w:rsidRPr="0019177F" w:rsidRDefault="00254434" w:rsidP="00307273">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254434" w:rsidRPr="005418C5" w:rsidRDefault="00780338" w:rsidP="00307273">
            <w:pPr>
              <w:rPr>
                <w:rFonts w:eastAsia="Times New Roman"/>
                <w:sz w:val="18"/>
                <w:lang w:val="es-ES" w:eastAsia="es-ES"/>
              </w:rPr>
            </w:pPr>
            <w:r>
              <w:rPr>
                <w:rFonts w:eastAsia="Times New Roman"/>
                <w:sz w:val="18"/>
                <w:lang w:val="es-ES" w:eastAsia="es-ES"/>
              </w:rPr>
              <w:t>Promover el mejoramiento de la situación legal de los derechos de aprovechamiento de aguas mediante una simplificación del proceso de regularización de derechos de aprovechamiento de aguas.</w:t>
            </w:r>
          </w:p>
        </w:tc>
      </w:tr>
      <w:tr w:rsidR="00254434" w:rsidRPr="0019177F" w:rsidTr="00D012F8">
        <w:trPr>
          <w:trHeight w:val="300"/>
        </w:trPr>
        <w:tc>
          <w:tcPr>
            <w:tcW w:w="2400" w:type="dxa"/>
            <w:gridSpan w:val="2"/>
            <w:shd w:val="clear" w:color="auto" w:fill="auto"/>
            <w:noWrap/>
          </w:tcPr>
          <w:p w:rsidR="00254434" w:rsidRPr="0019177F" w:rsidRDefault="00254434" w:rsidP="00307273">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254434" w:rsidRDefault="002E42D3" w:rsidP="0030727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Todos los usuarios de la región.</w:t>
            </w:r>
          </w:p>
        </w:tc>
      </w:tr>
      <w:tr w:rsidR="00254434" w:rsidRPr="0019177F" w:rsidTr="00D012F8">
        <w:trPr>
          <w:trHeight w:val="300"/>
        </w:trPr>
        <w:tc>
          <w:tcPr>
            <w:tcW w:w="2400" w:type="dxa"/>
            <w:gridSpan w:val="2"/>
            <w:shd w:val="clear" w:color="auto" w:fill="auto"/>
            <w:noWrap/>
          </w:tcPr>
          <w:p w:rsidR="00254434" w:rsidRPr="0019177F" w:rsidRDefault="00254434" w:rsidP="00307273">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254434" w:rsidRDefault="002E42D3" w:rsidP="00307273">
            <w:pPr>
              <w:spacing w:after="0" w:line="240" w:lineRule="auto"/>
              <w:jc w:val="left"/>
              <w:rPr>
                <w:rFonts w:eastAsia="Times New Roman" w:cs="Times New Roman"/>
                <w:bCs/>
                <w:color w:val="000000"/>
                <w:sz w:val="18"/>
                <w:szCs w:val="18"/>
                <w:lang w:val="es-ES" w:eastAsia="es-ES"/>
              </w:rPr>
            </w:pPr>
            <w:r>
              <w:rPr>
                <w:rFonts w:eastAsia="Times New Roman" w:cs="Times New Roman"/>
                <w:bCs/>
                <w:sz w:val="18"/>
                <w:szCs w:val="18"/>
                <w:lang w:val="es-ES" w:eastAsia="es-ES"/>
              </w:rPr>
              <w:t>Regional (nacional)</w:t>
            </w:r>
            <w:r w:rsidR="00254434">
              <w:rPr>
                <w:rFonts w:eastAsia="Times New Roman" w:cs="Times New Roman"/>
                <w:bCs/>
                <w:sz w:val="18"/>
                <w:szCs w:val="18"/>
                <w:lang w:val="es-ES" w:eastAsia="es-ES"/>
              </w:rPr>
              <w:t xml:space="preserve">  </w:t>
            </w:r>
          </w:p>
        </w:tc>
      </w:tr>
      <w:tr w:rsidR="00254434" w:rsidRPr="0019177F" w:rsidTr="00D012F8">
        <w:trPr>
          <w:trHeight w:val="300"/>
        </w:trPr>
        <w:tc>
          <w:tcPr>
            <w:tcW w:w="2400" w:type="dxa"/>
            <w:gridSpan w:val="2"/>
            <w:shd w:val="clear" w:color="auto" w:fill="auto"/>
            <w:noWrap/>
          </w:tcPr>
          <w:p w:rsidR="00254434" w:rsidRDefault="00254434" w:rsidP="00307273">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254434" w:rsidRPr="00B31AD5" w:rsidRDefault="00AE2340" w:rsidP="00307273">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No aplica.</w:t>
            </w:r>
            <w:r w:rsidR="00254434">
              <w:rPr>
                <w:rFonts w:eastAsia="Times New Roman" w:cs="Times New Roman"/>
                <w:bCs/>
                <w:sz w:val="18"/>
                <w:szCs w:val="18"/>
                <w:lang w:val="es-ES" w:eastAsia="es-ES"/>
              </w:rPr>
              <w:t xml:space="preserve"> </w:t>
            </w:r>
          </w:p>
        </w:tc>
      </w:tr>
      <w:tr w:rsidR="00254434" w:rsidRPr="0019177F" w:rsidTr="00D012F8">
        <w:trPr>
          <w:trHeight w:val="300"/>
        </w:trPr>
        <w:tc>
          <w:tcPr>
            <w:tcW w:w="2400" w:type="dxa"/>
            <w:gridSpan w:val="2"/>
            <w:shd w:val="clear" w:color="auto" w:fill="auto"/>
            <w:noWrap/>
          </w:tcPr>
          <w:p w:rsidR="00254434" w:rsidRPr="00867F77" w:rsidRDefault="00254434" w:rsidP="00307273">
            <w:pPr>
              <w:spacing w:after="0" w:line="240" w:lineRule="auto"/>
              <w:jc w:val="left"/>
              <w:rPr>
                <w:rFonts w:eastAsia="Times New Roman" w:cs="Times New Roman"/>
                <w:b/>
                <w:bCs/>
                <w:color w:val="000000"/>
                <w:sz w:val="18"/>
                <w:szCs w:val="18"/>
                <w:lang w:val="es-ES" w:eastAsia="es-ES"/>
              </w:rPr>
            </w:pPr>
            <w:r w:rsidRPr="00867F77">
              <w:rPr>
                <w:rFonts w:eastAsia="Times New Roman" w:cs="Times New Roman"/>
                <w:b/>
                <w:bCs/>
                <w:color w:val="000000"/>
                <w:sz w:val="18"/>
                <w:szCs w:val="18"/>
                <w:lang w:val="es-ES" w:eastAsia="es-ES"/>
              </w:rPr>
              <w:t xml:space="preserve">Monto Total de Inversión </w:t>
            </w:r>
            <w:r w:rsidRPr="00867F77">
              <w:rPr>
                <w:rFonts w:eastAsia="Times New Roman" w:cs="Times New Roman"/>
                <w:bCs/>
                <w:color w:val="000000"/>
                <w:sz w:val="14"/>
                <w:szCs w:val="18"/>
                <w:lang w:val="es-ES" w:eastAsia="es-ES"/>
              </w:rPr>
              <w:t>Millones de $</w:t>
            </w:r>
          </w:p>
        </w:tc>
        <w:tc>
          <w:tcPr>
            <w:tcW w:w="6703" w:type="dxa"/>
            <w:gridSpan w:val="6"/>
            <w:shd w:val="clear" w:color="auto" w:fill="auto"/>
            <w:noWrap/>
          </w:tcPr>
          <w:p w:rsidR="00254434" w:rsidRPr="00867F77" w:rsidRDefault="002E42D3" w:rsidP="0030727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No aplica. </w:t>
            </w:r>
          </w:p>
        </w:tc>
      </w:tr>
      <w:tr w:rsidR="00254434" w:rsidRPr="0019177F" w:rsidTr="00D012F8">
        <w:trPr>
          <w:trHeight w:val="300"/>
        </w:trPr>
        <w:tc>
          <w:tcPr>
            <w:tcW w:w="9103" w:type="dxa"/>
            <w:gridSpan w:val="8"/>
            <w:shd w:val="clear" w:color="auto" w:fill="auto"/>
            <w:noWrap/>
            <w:vAlign w:val="center"/>
            <w:hideMark/>
          </w:tcPr>
          <w:p w:rsidR="00254434" w:rsidRPr="0019177F" w:rsidRDefault="00254434" w:rsidP="00307273">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Descripción</w:t>
            </w:r>
          </w:p>
        </w:tc>
      </w:tr>
      <w:tr w:rsidR="00AE2340" w:rsidRPr="00181136" w:rsidTr="00D012F8">
        <w:trPr>
          <w:trHeight w:val="586"/>
        </w:trPr>
        <w:tc>
          <w:tcPr>
            <w:tcW w:w="9103" w:type="dxa"/>
            <w:gridSpan w:val="8"/>
            <w:shd w:val="clear" w:color="auto" w:fill="auto"/>
          </w:tcPr>
          <w:p w:rsidR="00AE2340" w:rsidRPr="00AE2340" w:rsidRDefault="00AE2340" w:rsidP="00AE2340">
            <w:pPr>
              <w:rPr>
                <w:rFonts w:eastAsia="Times New Roman"/>
                <w:sz w:val="18"/>
                <w:lang w:eastAsia="es-ES"/>
              </w:rPr>
            </w:pPr>
            <w:r>
              <w:rPr>
                <w:rFonts w:eastAsia="Times New Roman"/>
                <w:sz w:val="18"/>
                <w:lang w:eastAsia="es-ES"/>
              </w:rPr>
              <w:t xml:space="preserve">En este punto se acoge íntegramente la discusión legislativa impulsada por la Dirección General de Aguas respecto de la simplificación de los procesos de regularización de derechos de aprovechamiento de aguas, principalmente el hecho de que sean un acto administrativo y no un acto judicial. </w:t>
            </w:r>
          </w:p>
        </w:tc>
      </w:tr>
      <w:tr w:rsidR="00254434" w:rsidRPr="00236F47" w:rsidTr="00D012F8">
        <w:trPr>
          <w:trHeight w:val="586"/>
        </w:trPr>
        <w:tc>
          <w:tcPr>
            <w:tcW w:w="9103" w:type="dxa"/>
            <w:gridSpan w:val="8"/>
            <w:shd w:val="clear" w:color="auto" w:fill="auto"/>
            <w:vAlign w:val="center"/>
          </w:tcPr>
          <w:p w:rsidR="00254434" w:rsidRPr="00236F47" w:rsidRDefault="00254434" w:rsidP="00307273">
            <w:pPr>
              <w:spacing w:after="0" w:line="240" w:lineRule="auto"/>
              <w:jc w:val="left"/>
              <w:rPr>
                <w:rFonts w:eastAsia="Times New Roman" w:cs="Times New Roman"/>
                <w:b/>
                <w:color w:val="000000"/>
                <w:sz w:val="18"/>
                <w:szCs w:val="18"/>
                <w:lang w:val="es-ES" w:eastAsia="es-ES"/>
              </w:rPr>
            </w:pPr>
            <w:r w:rsidRPr="00236F47">
              <w:rPr>
                <w:rFonts w:eastAsia="Times New Roman" w:cs="Times New Roman"/>
                <w:b/>
                <w:color w:val="000000"/>
                <w:sz w:val="18"/>
                <w:szCs w:val="18"/>
                <w:lang w:val="es-ES" w:eastAsia="es-ES"/>
              </w:rPr>
              <w:t>Presupuesto</w:t>
            </w:r>
          </w:p>
        </w:tc>
      </w:tr>
      <w:tr w:rsidR="00254434" w:rsidRPr="0019177F" w:rsidTr="00D012F8">
        <w:trPr>
          <w:trHeight w:val="586"/>
        </w:trPr>
        <w:tc>
          <w:tcPr>
            <w:tcW w:w="9103" w:type="dxa"/>
            <w:gridSpan w:val="8"/>
            <w:shd w:val="clear" w:color="auto" w:fill="auto"/>
            <w:vAlign w:val="center"/>
          </w:tcPr>
          <w:p w:rsidR="00254434" w:rsidRDefault="00780338" w:rsidP="0030727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No aplica. </w:t>
            </w:r>
          </w:p>
        </w:tc>
      </w:tr>
      <w:tr w:rsidR="00AE2340" w:rsidRPr="009F2FC1" w:rsidTr="00D012F8">
        <w:trPr>
          <w:gridAfter w:val="1"/>
          <w:wAfter w:w="14" w:type="dxa"/>
          <w:trHeight w:val="586"/>
        </w:trPr>
        <w:tc>
          <w:tcPr>
            <w:tcW w:w="2317" w:type="dxa"/>
            <w:shd w:val="clear" w:color="auto" w:fill="auto"/>
            <w:vAlign w:val="center"/>
          </w:tcPr>
          <w:p w:rsidR="00AE2340" w:rsidRPr="009F2FC1" w:rsidRDefault="00AE234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AE2340" w:rsidRPr="009F2FC1" w:rsidRDefault="00AE2340" w:rsidP="00AE2340">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0 </w:t>
            </w:r>
          </w:p>
        </w:tc>
        <w:tc>
          <w:tcPr>
            <w:tcW w:w="1794" w:type="dxa"/>
            <w:gridSpan w:val="2"/>
            <w:shd w:val="clear" w:color="auto" w:fill="auto"/>
            <w:vAlign w:val="center"/>
          </w:tcPr>
          <w:p w:rsidR="00AE2340" w:rsidRPr="009F2FC1" w:rsidRDefault="00AE234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AE2340" w:rsidRPr="009F2FC1" w:rsidRDefault="00AE234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No aplica  </w:t>
            </w:r>
          </w:p>
        </w:tc>
      </w:tr>
      <w:bookmarkEnd w:id="0"/>
    </w:tbl>
    <w:p w:rsidR="001D529D" w:rsidRPr="00254434" w:rsidRDefault="001D529D" w:rsidP="00FB2027">
      <w:pPr>
        <w:rPr>
          <w:highlight w:val="cyan"/>
          <w:lang w:eastAsia="es-ES"/>
        </w:rPr>
      </w:pPr>
    </w:p>
    <w:sectPr w:rsidR="001D529D" w:rsidRPr="00254434"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684" w:rsidRDefault="00D52684" w:rsidP="00C47A64">
      <w:r>
        <w:separator/>
      </w:r>
    </w:p>
    <w:p w:rsidR="00D52684" w:rsidRDefault="00D52684" w:rsidP="00C47A64"/>
  </w:endnote>
  <w:endnote w:type="continuationSeparator" w:id="0">
    <w:p w:rsidR="00D52684" w:rsidRDefault="00D52684" w:rsidP="00C47A64">
      <w:r>
        <w:continuationSeparator/>
      </w:r>
    </w:p>
    <w:p w:rsidR="00D52684" w:rsidRDefault="00D52684"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340" w:rsidRPr="00BE37F7" w:rsidRDefault="00AE2340" w:rsidP="00AE2340">
    <w:pPr>
      <w:pStyle w:val="EncabezadoPie"/>
      <w:pBdr>
        <w:top w:val="single" w:sz="4" w:space="11" w:color="auto"/>
      </w:pBdr>
    </w:pPr>
    <w:r w:rsidRPr="00BE37F7">
      <w:t xml:space="preserve">PLAN MAESTRO DE RECURSOS HÍDRICOS REGIÓN DEL MAULE   </w:t>
    </w:r>
  </w:p>
  <w:p w:rsidR="00AE2340" w:rsidRPr="00BE37F7" w:rsidRDefault="00AE2340" w:rsidP="00AE2340">
    <w:pPr>
      <w:pStyle w:val="EncabezadoPie"/>
    </w:pPr>
    <w:r w:rsidRPr="00BE37F7">
      <w:t>Etapa 4. Propuesta del Plan Regional</w:t>
    </w:r>
    <w:r w:rsidRPr="00BE37F7">
      <w:rPr>
        <w:rFonts w:ascii="Arial Narrow" w:hAnsi="Arial Narrow"/>
        <w:sz w:val="18"/>
        <w:szCs w:val="18"/>
      </w:rPr>
      <w:tab/>
    </w:r>
  </w:p>
  <w:p w:rsidR="00AE2340" w:rsidRDefault="00AE2340" w:rsidP="00AE2340">
    <w:pPr>
      <w:pStyle w:val="EncabezadoPie"/>
      <w:tabs>
        <w:tab w:val="right" w:pos="9072"/>
      </w:tabs>
    </w:pPr>
    <w:r>
      <w:t>FICHAS DE INICIATIVAS</w:t>
    </w:r>
  </w:p>
  <w:p w:rsidR="00172077" w:rsidRPr="00AE2340" w:rsidRDefault="00AE2340" w:rsidP="00AE2340">
    <w:pPr>
      <w:pStyle w:val="EncabezadoPie"/>
      <w:tabs>
        <w:tab w:val="right" w:pos="9072"/>
      </w:tabs>
      <w:jc w:val="right"/>
    </w:pPr>
    <w:r>
      <w:t xml:space="preserve">Página </w:t>
    </w:r>
    <w:r>
      <w:fldChar w:fldCharType="begin"/>
    </w:r>
    <w:r>
      <w:instrText>PAGE   \* MERGEFORMAT</w:instrText>
    </w:r>
    <w:r>
      <w:fldChar w:fldCharType="separate"/>
    </w:r>
    <w:r w:rsidR="00D012F8" w:rsidRPr="00D012F8">
      <w:rPr>
        <w:noProof/>
        <w:lang w:val="es-ES"/>
      </w:rPr>
      <w:t>1</w:t>
    </w:r>
    <w:r>
      <w:fldChar w:fldCharType="end"/>
    </w:r>
    <w:r>
      <w:t>/</w:t>
    </w:r>
    <w:fldSimple w:instr=" NUMPAGES   \* MERGEFORMAT ">
      <w:r w:rsidR="00D012F8">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684" w:rsidRDefault="00D52684" w:rsidP="00C47A64">
      <w:r>
        <w:separator/>
      </w:r>
    </w:p>
    <w:p w:rsidR="00D52684" w:rsidRDefault="00D52684" w:rsidP="00C47A64"/>
  </w:footnote>
  <w:footnote w:type="continuationSeparator" w:id="0">
    <w:p w:rsidR="00D52684" w:rsidRDefault="00D52684" w:rsidP="00C47A64">
      <w:r>
        <w:continuationSeparator/>
      </w:r>
    </w:p>
    <w:p w:rsidR="00D52684" w:rsidRDefault="00D52684"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AE2340" w:rsidTr="009E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AE2340" w:rsidRDefault="00AE2340"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pt;height:56.1pt" o:ole="">
                <v:imagedata r:id="rId1" o:title=""/>
              </v:shape>
              <o:OLEObject Type="Embed" ProgID="PBrush" ShapeID="_x0000_i1025" DrawAspect="Content" ObjectID="_1606321356" r:id="rId2"/>
            </w:object>
          </w:r>
        </w:p>
      </w:tc>
      <w:tc>
        <w:tcPr>
          <w:tcW w:w="7126" w:type="dxa"/>
          <w:shd w:val="clear" w:color="auto" w:fill="auto"/>
        </w:tcPr>
        <w:p w:rsidR="00AE2340" w:rsidRPr="00B31517" w:rsidRDefault="00AE234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AE2340" w:rsidRPr="00B31517" w:rsidRDefault="00AE234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AE2340" w:rsidRDefault="00AE234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AE2340" w:rsidRPr="00B31517" w:rsidRDefault="00AE2340" w:rsidP="00A54186">
          <w:pPr>
            <w:pStyle w:val="EncabezadoPie"/>
            <w:cnfStyle w:val="100000000000" w:firstRow="1" w:lastRow="0" w:firstColumn="0" w:lastColumn="0" w:oddVBand="0" w:evenVBand="0" w:oddHBand="0" w:evenHBand="0" w:firstRowFirstColumn="0" w:firstRowLastColumn="0" w:lastRowFirstColumn="0" w:lastRowLastColumn="0"/>
          </w:pPr>
        </w:p>
        <w:p w:rsidR="00AE2340" w:rsidRPr="00B31517" w:rsidRDefault="00AE234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AE2340" w:rsidRDefault="00AE2340"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7DD1E9C"/>
    <w:multiLevelType w:val="hybridMultilevel"/>
    <w:tmpl w:val="0C16ED4C"/>
    <w:lvl w:ilvl="0" w:tplc="45CE607C">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8D509D3"/>
    <w:multiLevelType w:val="hybridMultilevel"/>
    <w:tmpl w:val="20A0EC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4"/>
  </w:num>
  <w:num w:numId="4">
    <w:abstractNumId w:val="10"/>
  </w:num>
  <w:num w:numId="5">
    <w:abstractNumId w:val="25"/>
  </w:num>
  <w:num w:numId="6">
    <w:abstractNumId w:val="23"/>
  </w:num>
  <w:num w:numId="7">
    <w:abstractNumId w:val="1"/>
  </w:num>
  <w:num w:numId="8">
    <w:abstractNumId w:val="0"/>
  </w:num>
  <w:num w:numId="9">
    <w:abstractNumId w:val="13"/>
  </w:num>
  <w:num w:numId="10">
    <w:abstractNumId w:val="20"/>
  </w:num>
  <w:num w:numId="11">
    <w:abstractNumId w:val="7"/>
  </w:num>
  <w:num w:numId="12">
    <w:abstractNumId w:val="18"/>
  </w:num>
  <w:num w:numId="13">
    <w:abstractNumId w:val="27"/>
  </w:num>
  <w:num w:numId="14">
    <w:abstractNumId w:val="14"/>
  </w:num>
  <w:num w:numId="15">
    <w:abstractNumId w:val="9"/>
  </w:num>
  <w:num w:numId="16">
    <w:abstractNumId w:val="29"/>
  </w:num>
  <w:num w:numId="17">
    <w:abstractNumId w:val="6"/>
  </w:num>
  <w:num w:numId="18">
    <w:abstractNumId w:val="30"/>
  </w:num>
  <w:num w:numId="19">
    <w:abstractNumId w:val="21"/>
  </w:num>
  <w:num w:numId="20">
    <w:abstractNumId w:val="26"/>
  </w:num>
  <w:num w:numId="21">
    <w:abstractNumId w:val="17"/>
  </w:num>
  <w:num w:numId="22">
    <w:abstractNumId w:val="17"/>
    <w:lvlOverride w:ilvl="0">
      <w:startOverride w:val="1"/>
    </w:lvlOverride>
  </w:num>
  <w:num w:numId="23">
    <w:abstractNumId w:val="15"/>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num>
  <w:num w:numId="31">
    <w:abstractNumId w:val="17"/>
    <w:lvlOverride w:ilvl="0">
      <w:startOverride w:val="1"/>
    </w:lvlOverride>
  </w:num>
  <w:num w:numId="32">
    <w:abstractNumId w:val="12"/>
  </w:num>
  <w:num w:numId="33">
    <w:abstractNumId w:val="16"/>
  </w:num>
  <w:num w:numId="34">
    <w:abstractNumId w:val="2"/>
  </w:num>
  <w:num w:numId="35">
    <w:abstractNumId w:val="19"/>
  </w:num>
  <w:num w:numId="36">
    <w:abstractNumId w:val="28"/>
  </w:num>
  <w:num w:numId="37">
    <w:abstractNumId w:val="8"/>
  </w:num>
  <w:num w:numId="38">
    <w:abstractNumId w:val="22"/>
  </w:num>
  <w:num w:numId="39">
    <w:abstractNumId w:val="17"/>
    <w:lvlOverride w:ilvl="0">
      <w:startOverride w:val="1"/>
    </w:lvlOverride>
  </w:num>
  <w:num w:numId="40">
    <w:abstractNumId w:val="9"/>
  </w:num>
  <w:num w:numId="41">
    <w:abstractNumId w:val="5"/>
  </w:num>
  <w:num w:numId="42">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1F48"/>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434"/>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42D3"/>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5FCF"/>
    <w:rsid w:val="003B601A"/>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1AF1"/>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60"/>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3575"/>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13BC"/>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565C"/>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6A0"/>
    <w:rsid w:val="00762712"/>
    <w:rsid w:val="0076298A"/>
    <w:rsid w:val="00762A70"/>
    <w:rsid w:val="00763C4F"/>
    <w:rsid w:val="00764616"/>
    <w:rsid w:val="00764DE4"/>
    <w:rsid w:val="00765273"/>
    <w:rsid w:val="00765A1F"/>
    <w:rsid w:val="00765F79"/>
    <w:rsid w:val="007709B7"/>
    <w:rsid w:val="00770C70"/>
    <w:rsid w:val="00774069"/>
    <w:rsid w:val="00774646"/>
    <w:rsid w:val="00774A10"/>
    <w:rsid w:val="00780338"/>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21FC"/>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1144"/>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BC5"/>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00A"/>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2FA4"/>
    <w:rsid w:val="00AC4F22"/>
    <w:rsid w:val="00AC5719"/>
    <w:rsid w:val="00AD7329"/>
    <w:rsid w:val="00AE037E"/>
    <w:rsid w:val="00AE176E"/>
    <w:rsid w:val="00AE1E69"/>
    <w:rsid w:val="00AE2340"/>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12F8"/>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684"/>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C03"/>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5D60"/>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5522"/>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D513A1-1774-41C8-9DEC-A1FC19BA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16</cp:revision>
  <cp:lastPrinted>2017-09-22T12:45:00Z</cp:lastPrinted>
  <dcterms:created xsi:type="dcterms:W3CDTF">2017-10-10T11:47:00Z</dcterms:created>
  <dcterms:modified xsi:type="dcterms:W3CDTF">2018-12-14T22:34:00Z</dcterms:modified>
</cp:coreProperties>
</file>