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812" w:rsidRDefault="007B3812"/>
    <w:p w:rsidR="005B7181" w:rsidRPr="005B7181" w:rsidRDefault="005B7181" w:rsidP="005B7181">
      <w:pPr>
        <w:jc w:val="center"/>
        <w:rPr>
          <w:b/>
          <w:sz w:val="24"/>
        </w:rPr>
      </w:pPr>
      <w:r w:rsidRPr="005B7181">
        <w:rPr>
          <w:b/>
          <w:sz w:val="24"/>
        </w:rPr>
        <w:t>ANEXO</w:t>
      </w:r>
    </w:p>
    <w:p w:rsidR="005B7181" w:rsidRPr="005B7181" w:rsidRDefault="005B7181" w:rsidP="005B7181">
      <w:pPr>
        <w:pStyle w:val="Tabla"/>
        <w:cnfStyle w:val="100000000000" w:firstRow="1" w:lastRow="0" w:firstColumn="0" w:lastColumn="0" w:oddVBand="0" w:evenVBand="0" w:oddHBand="0" w:evenHBand="0" w:firstRowFirstColumn="0" w:firstRowLastColumn="0" w:lastRowFirstColumn="0" w:lastRowLastColumn="0"/>
        <w:rPr>
          <w:sz w:val="22"/>
        </w:rPr>
      </w:pPr>
      <w:bookmarkStart w:id="0" w:name="_Toc464552400"/>
      <w:r w:rsidRPr="005B7181">
        <w:rPr>
          <w:sz w:val="22"/>
        </w:rPr>
        <w:t>Documentos revisados análisis situación ambiental Región del Maule</w:t>
      </w:r>
      <w:bookmarkEnd w:id="0"/>
    </w:p>
    <w:p w:rsidR="005B7181" w:rsidRDefault="005B7181"/>
    <w:tbl>
      <w:tblPr>
        <w:tblStyle w:val="dga"/>
        <w:tblW w:w="12879" w:type="dxa"/>
        <w:tblLook w:val="04A0" w:firstRow="1" w:lastRow="0" w:firstColumn="1" w:lastColumn="0" w:noHBand="0" w:noVBand="1"/>
      </w:tblPr>
      <w:tblGrid>
        <w:gridCol w:w="1517"/>
        <w:gridCol w:w="2194"/>
        <w:gridCol w:w="777"/>
        <w:gridCol w:w="1790"/>
        <w:gridCol w:w="3920"/>
        <w:gridCol w:w="2681"/>
      </w:tblGrid>
      <w:tr w:rsidR="005B7181" w:rsidRPr="00902425" w:rsidTr="005B7181">
        <w:trPr>
          <w:cnfStyle w:val="100000000000" w:firstRow="1" w:lastRow="0" w:firstColumn="0" w:lastColumn="0" w:oddVBand="0" w:evenVBand="0" w:oddHBand="0" w:evenHBand="0" w:firstRowFirstColumn="0" w:firstRowLastColumn="0" w:lastRowFirstColumn="0" w:lastRowLastColumn="0"/>
          <w:trHeight w:val="20"/>
          <w:tblHeader/>
        </w:trPr>
        <w:tc>
          <w:tcPr>
            <w:tcW w:w="1517" w:type="dxa"/>
            <w:hideMark/>
          </w:tcPr>
          <w:p w:rsidR="005B7181" w:rsidRPr="00902425" w:rsidRDefault="005B7181" w:rsidP="00306CB7">
            <w:pPr>
              <w:spacing w:after="0"/>
              <w:jc w:val="center"/>
              <w:rPr>
                <w:rFonts w:eastAsia="Times New Roman"/>
                <w:b w:val="0"/>
                <w:bCs/>
                <w:sz w:val="18"/>
                <w:szCs w:val="18"/>
              </w:rPr>
            </w:pPr>
            <w:r w:rsidRPr="00902425">
              <w:rPr>
                <w:rFonts w:eastAsia="Times New Roman"/>
                <w:b w:val="0"/>
                <w:bCs/>
                <w:sz w:val="18"/>
                <w:szCs w:val="18"/>
              </w:rPr>
              <w:t>TIPO DE DOCUMENTO</w:t>
            </w:r>
          </w:p>
        </w:tc>
        <w:tc>
          <w:tcPr>
            <w:tcW w:w="2194" w:type="dxa"/>
            <w:hideMark/>
          </w:tcPr>
          <w:p w:rsidR="005B7181" w:rsidRPr="00902425" w:rsidRDefault="005B7181" w:rsidP="00306CB7">
            <w:pPr>
              <w:spacing w:after="0"/>
              <w:jc w:val="center"/>
              <w:rPr>
                <w:rFonts w:eastAsia="Times New Roman"/>
                <w:b w:val="0"/>
                <w:bCs/>
                <w:sz w:val="18"/>
                <w:szCs w:val="18"/>
              </w:rPr>
            </w:pPr>
            <w:r w:rsidRPr="00902425">
              <w:rPr>
                <w:rFonts w:eastAsia="Times New Roman"/>
                <w:b w:val="0"/>
                <w:bCs/>
                <w:sz w:val="18"/>
                <w:szCs w:val="18"/>
              </w:rPr>
              <w:t>TÍTULO</w:t>
            </w:r>
          </w:p>
        </w:tc>
        <w:tc>
          <w:tcPr>
            <w:tcW w:w="777" w:type="dxa"/>
            <w:hideMark/>
          </w:tcPr>
          <w:p w:rsidR="005B7181" w:rsidRPr="00902425" w:rsidRDefault="005B7181" w:rsidP="00306CB7">
            <w:pPr>
              <w:spacing w:after="0"/>
              <w:jc w:val="center"/>
              <w:rPr>
                <w:rFonts w:eastAsia="Times New Roman"/>
                <w:b w:val="0"/>
                <w:bCs/>
                <w:sz w:val="18"/>
                <w:szCs w:val="18"/>
              </w:rPr>
            </w:pPr>
            <w:r w:rsidRPr="00902425">
              <w:rPr>
                <w:rFonts w:eastAsia="Times New Roman"/>
                <w:b w:val="0"/>
                <w:bCs/>
                <w:sz w:val="18"/>
                <w:szCs w:val="18"/>
              </w:rPr>
              <w:t>AÑO</w:t>
            </w:r>
          </w:p>
        </w:tc>
        <w:tc>
          <w:tcPr>
            <w:tcW w:w="1790" w:type="dxa"/>
            <w:hideMark/>
          </w:tcPr>
          <w:p w:rsidR="005B7181" w:rsidRPr="00902425" w:rsidRDefault="005B7181" w:rsidP="00306CB7">
            <w:pPr>
              <w:spacing w:after="0"/>
              <w:jc w:val="center"/>
              <w:rPr>
                <w:rFonts w:eastAsia="Times New Roman"/>
                <w:b w:val="0"/>
                <w:bCs/>
                <w:sz w:val="18"/>
                <w:szCs w:val="18"/>
              </w:rPr>
            </w:pPr>
            <w:r w:rsidRPr="00902425">
              <w:rPr>
                <w:rFonts w:eastAsia="Times New Roman"/>
                <w:b w:val="0"/>
                <w:bCs/>
                <w:sz w:val="18"/>
                <w:szCs w:val="18"/>
              </w:rPr>
              <w:t>AUTOR</w:t>
            </w:r>
          </w:p>
        </w:tc>
        <w:tc>
          <w:tcPr>
            <w:tcW w:w="3920" w:type="dxa"/>
            <w:hideMark/>
          </w:tcPr>
          <w:p w:rsidR="005B7181" w:rsidRPr="00902425" w:rsidRDefault="005B7181" w:rsidP="00306CB7">
            <w:pPr>
              <w:spacing w:after="0"/>
              <w:jc w:val="center"/>
              <w:rPr>
                <w:rFonts w:eastAsia="Times New Roman"/>
                <w:b w:val="0"/>
                <w:bCs/>
                <w:sz w:val="18"/>
                <w:szCs w:val="18"/>
              </w:rPr>
            </w:pPr>
            <w:r w:rsidRPr="00902425">
              <w:rPr>
                <w:rFonts w:eastAsia="Times New Roman"/>
                <w:b w:val="0"/>
                <w:bCs/>
                <w:sz w:val="18"/>
                <w:szCs w:val="18"/>
              </w:rPr>
              <w:t>RESUMEN</w:t>
            </w:r>
          </w:p>
        </w:tc>
        <w:tc>
          <w:tcPr>
            <w:tcW w:w="2681" w:type="dxa"/>
            <w:hideMark/>
          </w:tcPr>
          <w:p w:rsidR="005B7181" w:rsidRPr="00902425" w:rsidRDefault="005B7181" w:rsidP="00306CB7">
            <w:pPr>
              <w:spacing w:after="0"/>
              <w:jc w:val="center"/>
              <w:rPr>
                <w:rFonts w:eastAsia="Times New Roman"/>
                <w:b w:val="0"/>
                <w:bCs/>
                <w:sz w:val="18"/>
                <w:szCs w:val="18"/>
              </w:rPr>
            </w:pPr>
            <w:r w:rsidRPr="00902425">
              <w:rPr>
                <w:rFonts w:eastAsia="Times New Roman"/>
                <w:b w:val="0"/>
                <w:bCs/>
                <w:sz w:val="18"/>
                <w:szCs w:val="18"/>
              </w:rPr>
              <w:t>INFORMACIÓN RELEVANTE PARA EL PLAN</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PROBLEMAS AMBIENTALES EN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1990</w:t>
            </w:r>
          </w:p>
        </w:tc>
        <w:tc>
          <w:tcPr>
            <w:tcW w:w="1790" w:type="dxa"/>
            <w:hideMark/>
          </w:tcPr>
          <w:p w:rsidR="005B7181" w:rsidRPr="004E7A7A" w:rsidRDefault="005B7181" w:rsidP="00306CB7">
            <w:pPr>
              <w:spacing w:after="0"/>
              <w:jc w:val="center"/>
              <w:rPr>
                <w:rFonts w:eastAsia="Times New Roman"/>
                <w:color w:val="000000"/>
                <w:sz w:val="18"/>
                <w:szCs w:val="18"/>
                <w:lang w:val="it-IT"/>
              </w:rPr>
            </w:pPr>
            <w:r w:rsidRPr="004E7A7A">
              <w:rPr>
                <w:rFonts w:eastAsia="Times New Roman"/>
                <w:color w:val="000000"/>
                <w:sz w:val="18"/>
                <w:szCs w:val="18"/>
                <w:lang w:val="it-IT"/>
              </w:rPr>
              <w:t xml:space="preserve">ERNST R.HAJEK- PATRIClO GROSS- GUILLERMO A.ESPINOZA </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Los contenidos de este documento se originan de una investigación desarrollada c</w:t>
            </w:r>
            <w:bookmarkStart w:id="1" w:name="_GoBack"/>
            <w:bookmarkEnd w:id="1"/>
            <w:r w:rsidRPr="00902425">
              <w:rPr>
                <w:rFonts w:eastAsia="Times New Roman"/>
                <w:color w:val="000000"/>
                <w:sz w:val="18"/>
                <w:szCs w:val="18"/>
              </w:rPr>
              <w:t>omo Proyecto DIUC 95/87, financiado par la Dirección de Investigación de la Pontificia Universidad Católica de Chile, y cuyos objetivos fueron: a)Definir los problemas ambientales de Chile y reconocer los principales parámetros que permiten identificarlos. b)Ordenación de los problemas ambientales, por su importancia y por la posibilidad de intervenir en ellos mediante medidas de control. c)Establecer para cada uno de los problemas ambientales identificados su distribución geográfica regional y el grado de importancia relativa de los mismos, d) Construir un Atlas de la percepción de los problemas ambientales del país por región y por tipo de problemas. Se hace una descripción detallada de estos conceptos para todas las regiones del país.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relevante en el diagnóstico ambiental de la Región del Maule</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Plan, Política, Programa</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Planes de Manejo de: Plan de Manejo Parque Nacional Radal Siete Tazas; Plan de Manejo Reserva Nacional Los Ruiles; Reserva Nacional Los Queules; Reserva Nacional Los Bellotos del Melado; Reserva Nacional Laguna Torca; Reserva Nacional Federico Albert; Reserva Nacional Altos de Lircay.</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Varios</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Agricultura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Estos documentos corresponde a los Planes de Manejo que por normativa debe tener cada ASP pública. En el PM se fijan las pautas necesarias para el uso, manejo y desarrollo de la Unidad, durante un período de 10 años. En este documento se definen zonas de uso especial, de uso primitivo y de manejo de recursos, dentro de las cuales se desarrollarán los distintos subprogramas de apoyo administrativo, protección, obras y mantenimiento, investigación y manejo de recursos.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sobre el área silvestre protegida, en cuanto caracterización de la unidad</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LAS AREAS SILVESTRES PROTEGIDAS PRIVADAS EN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1999</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CODEFF</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Se entrega una revisión sobre la normativa acerca de las ASP privadas, como se estructura en Chile este modelo de protección. Además, entrega una primera aproximación sobre el listado y caracterización de las unidades de áreas privadas en el país.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que permite complementar lo entregado por CONAF respecto a las ASP públicas.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Plan, Política, Programa</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POLÍTICA AMBIENTAL DE LA REGIÓN DEL MAULE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2002</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Gobierno de Chile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La política de la Región del Maule tiene por objetivo hacer ambientalmente sustentable el proceso de desarrollo, velando por el derecho a vivir en un medio ambiente libre de contaminación, la protección del medio ambiente, la preservación de la naturaleza y la </w:t>
            </w:r>
            <w:r w:rsidRPr="00902425">
              <w:rPr>
                <w:rFonts w:eastAsia="Times New Roman"/>
                <w:color w:val="000000"/>
                <w:sz w:val="18"/>
                <w:szCs w:val="18"/>
              </w:rPr>
              <w:lastRenderedPageBreak/>
              <w:t>conservación del patrimonio ambiental. El fin último de ella es la calidad de vida de todos los chilenos y de las generaciones futuras. Para la versión final de la política se recogieron antecedentes y opiniones de los diversos sectores ciudadanos e institucionales de la región</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Entrega antecedentes respecto los lineamientos medio ambientales de la VII Región</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Plan, Política, Programa</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ESTRATEGIA Y PLAN DE ACCION PARA LA BIODIVERSIDAD EN LA VII REGIÓN DEL MAULE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2002</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CONAMA-CONAF-SAG-INIA-DGA-SERNAPESCA-UTAL-UCM</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La Estrategia corresponde a un cuerpo estructurado de objetivos y prioridades que consideren el rol de los diversos protagonistas involucrados en la conservación y el uso sustentable de la biodiversidad, interesados en disminuir o evitar la pérdida de diversidad biológica de nuestro territorio. Su objetivo principal corresponde a "conservar la biodiversidad nativa regional a través de la mantención de la sustentabilidad de los ecosistemas y sus especies".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Se recogen antecedentes sobre análisis de áreas de protección o conservación existentes, así como se toman en cuenta las propuestas para nuevas superficies de protección.</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Artículo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FRAGMENTACIÓN Y DINÁMICA DE REGENERACIÓN DEL BOSQUE MAULINO: DIAGNÓSTICO ACTUAL Y PERSPECTIVAS FUTURAS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2004</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Entendiendo a la fragmentación como un fenómeno derivado de actividades antrópicas, este documento es relevante en cuanto revisa un estudio de caso sobre los efectos de la fragmentación en el bosque maulino. La importancia de revisar estos antecedentes corresponde a que se ha reconocido un alto grado de fragmentación en las áreas silvestres de la Región del Maule.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Se considera para identificación de uno de los efectos generados por las presiones antrópicas y naturales sobre la vegetación, y con ellos sobre  los recursos hídricos.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DETERMINACIÓN DE CAUDALES ECOLÓGICOS EN CUENCAS CON FAUNA ÍCTICA NATIVA Y EN ESTADO DE CONSERVACIÓN</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2008</w:t>
            </w:r>
          </w:p>
        </w:tc>
        <w:tc>
          <w:tcPr>
            <w:tcW w:w="1790" w:type="dxa"/>
            <w:hideMark/>
          </w:tcPr>
          <w:p w:rsidR="005B7181" w:rsidRPr="004E7A7A" w:rsidRDefault="005B7181" w:rsidP="00306CB7">
            <w:pPr>
              <w:spacing w:after="0"/>
              <w:jc w:val="center"/>
              <w:rPr>
                <w:rFonts w:eastAsia="Times New Roman"/>
                <w:color w:val="000000"/>
                <w:sz w:val="18"/>
                <w:szCs w:val="18"/>
                <w:lang w:val="pt-BR"/>
              </w:rPr>
            </w:pPr>
            <w:r w:rsidRPr="004E7A7A">
              <w:rPr>
                <w:rFonts w:eastAsia="Times New Roman"/>
                <w:color w:val="000000"/>
                <w:sz w:val="18"/>
                <w:szCs w:val="18"/>
                <w:lang w:val="pt-BR"/>
              </w:rPr>
              <w:t>CENTRO DE ECOLOGIA APLICADA LTDA.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documento propone un modelo para determinar el caudal ecológico de un río incorporando un enfoque multiescalado y jerárquico. Se considera cuatro escalas de análisis: i) Hidroecoregiones, definida por condiciones climáticas e hidrológicas específicas; ii) Sistema, definido por el río en toda su extensión; iii) Tramo de río, definido por la presencia de Áreas con Importancia Ambiental (AIA) y iv) Sección, definido por áreas donde se realiza el control local de los requerimientos de caudal por cada AIA.</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relevante en el diagnóstico ambiental, Caudal ecológico.</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ANÁLISIS DE REPRESENTATIVIDAD ECOSISTÉMICA DE LAS ÁREAS PROTEGIDAS PÚBLICAS Y PRIVADAS EN CHILE. INFORME FINAL</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2008</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MMA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documento identifica la representación actual del sistema de protección oficial existente y de evaluar el aporte del resto de los sistemas de protección existentes en Chile, se desarrolló un análisis de representatividad ecosistémica, utilizando para la parte terrestres a la vegetación zonal como descriptor de ecosistemas y a la parte marina una clasificación de zonas zoogeográficas.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Antecedentes y análisis sobre áreas de protección o conservación existentes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CONTROL Y SEGUIMIENTO DEL CUMPLIMIENTO DE RESOLUCIONES DE CALIFICACIÓN AMBIENTAL, FASE I. INFORME FINAL</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2009</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GISMA CONSULTORES</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El presente estudio se enmarca dentro de los compromisos adquiridos en cada una de las RCA de proyectos donde la DGA ha tenido competencia ambiental directa, respecto de la conservación y protección de los recursos hídricos, superficiales y subterráneos, teniendo como idea </w:t>
            </w:r>
            <w:r w:rsidRPr="00902425">
              <w:rPr>
                <w:rFonts w:eastAsia="Times New Roman"/>
                <w:color w:val="000000"/>
                <w:sz w:val="18"/>
                <w:szCs w:val="18"/>
              </w:rPr>
              <w:lastRenderedPageBreak/>
              <w:t>central levantar y conocer toda la información generada desde el año 1997 hasta la actualidad, en las variables ambientales que dicen relación con la competencia de la DGA, siendo necesario el análisis de la información levantada para cada proyecto.</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Antecedentes sobre los compromisos que los proyectos han listado para la compensación o mitigación de impactos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Evaluación preliminar de contingencia en Tranque de Relaves Las Palmas, Sector Pencahue, Región del Maule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2010</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DICTUC (Pontificia Universidad Católica)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Estudio técnico de los efectos del colapso del tranque de relave Las Palmas, posterior al terremoto de febrero de 2010.</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Antecedentes de contaminación de suelo y aguas en la zona del tranque Las Palmas.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LA OCDE Y EL MEDIO AMBIENTE EN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2010</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Universidad de Talca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estudio fue realizado por la Universidad de Talca, en el cual se ha levantado información primaria sobre la percepción de los principales focos de contaminación y elementos perjudiciales para el medio natural y urbano de la región del Maule.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Se recogen antecedentes sobre contaminación en la Región del Maule.</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Contaminación Del Aire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2010</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del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Documento preparado por el Ministerio de Medio Ambiente, donde este capítulo se refiere a la contaminación del aire, primero desde una perspectiva general y luego para centrarse en las regiones del país. De esto, hace referencia sobre los impactos de la región del Maule.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 Información relevante en el diagnóstico Ambiental sobre la contaminación.</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Artículo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 xml:space="preserve">Deforestación en Ecosistemas Templados de la Precordillera Andina </w:t>
            </w:r>
            <w:r w:rsidRPr="00902425">
              <w:rPr>
                <w:rFonts w:eastAsia="Times New Roman"/>
                <w:color w:val="000000"/>
                <w:sz w:val="18"/>
                <w:szCs w:val="18"/>
              </w:rPr>
              <w:lastRenderedPageBreak/>
              <w:t>del Centro-Sur de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2010</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Adison Altamirano y Antonio Lara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Este documento da cuenta de un análisis multitemporal para determinar los cambios en la cobertura del suelo en una zona de la precordillera andina de la </w:t>
            </w:r>
            <w:r w:rsidRPr="00902425">
              <w:rPr>
                <w:rFonts w:eastAsia="Times New Roman"/>
                <w:color w:val="000000"/>
                <w:sz w:val="18"/>
                <w:szCs w:val="18"/>
              </w:rPr>
              <w:lastRenderedPageBreak/>
              <w:t>Región del Maule, Chile. Para ello se utilizaron imágenes satelitales de los años 1989 y 2003, y se analizaron las causas probables de la deforestación del bosque nativo presente en estos ecosistemas.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Información relevante en el análisis de la situación ambiental concretamente en la identificación de </w:t>
            </w:r>
            <w:r w:rsidRPr="00902425">
              <w:rPr>
                <w:rFonts w:eastAsia="Times New Roman"/>
                <w:color w:val="000000"/>
                <w:sz w:val="18"/>
                <w:szCs w:val="18"/>
              </w:rPr>
              <w:lastRenderedPageBreak/>
              <w:t xml:space="preserve">presiones antrópicas y naturales sobre los recursos hídricos. Cambios de cobertura del suelo, datos de deforestación, presión sobre recursos naturales incluidos los recursos hídricos. </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Contaminación de Suelos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2010</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del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Documento preparado por el Ministerio de Medio Ambiente, donde este capítulo se refiere a la contaminación de los suelos, primero desde una perspectiva general y luego para centrarse en las regiones del país. De esto, hace referencia sobre los impactos de la región del Maule.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 Información relevante en el diagnóstico Ambiental sobre la contaminación.</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Conflictos por Agua en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2010</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Sara Larraín y Pamela Poo - Chile Sustentable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El documento hace revisión sobre casos en los cuales proyectos han generado presión desmedida sobre los recursos naturales y con ello oposición de las organizaciones sociales locales. Para el caso del Plan Maestro destaca la revisión del proyecto de generación hidroeléctrica, denominado Centinela, el cual estará instalado en el Sitio Prioritario Alto de Achibueno.</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Se recogen antecedentes sobre casos puntuales de conflictos en la Región del Maule, relativos al uso y aprovechamiento de los recursos hídricos.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Informe Del Estado Del Medio Ambiente Resumen Ejecutivo</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2011</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El presente informe da respuesta al requerimiento establecido en la legislación vigente y marca un importante avance para la gestión ambiental, como también respecto a la </w:t>
            </w:r>
            <w:r w:rsidRPr="00902425">
              <w:rPr>
                <w:rFonts w:eastAsia="Times New Roman"/>
                <w:color w:val="000000"/>
                <w:sz w:val="18"/>
                <w:szCs w:val="18"/>
              </w:rPr>
              <w:lastRenderedPageBreak/>
              <w:t xml:space="preserve">transparencia y el acceso público a la información. </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Se entiende como necesario para revisar estado de la situación ambiental en la región del </w:t>
            </w:r>
            <w:r w:rsidRPr="00902425">
              <w:rPr>
                <w:rFonts w:eastAsia="Times New Roman"/>
                <w:color w:val="000000"/>
                <w:sz w:val="18"/>
                <w:szCs w:val="18"/>
              </w:rPr>
              <w:lastRenderedPageBreak/>
              <w:t>medio ambiente, y su evaluación en el tiempo.</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sz w:val="18"/>
                <w:szCs w:val="18"/>
              </w:rPr>
            </w:pPr>
            <w:r w:rsidRPr="00902425">
              <w:rPr>
                <w:rFonts w:eastAsia="Times New Roman"/>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sz w:val="18"/>
                <w:szCs w:val="18"/>
              </w:rPr>
            </w:pPr>
            <w:r w:rsidRPr="00902425">
              <w:rPr>
                <w:rFonts w:eastAsia="Times New Roman"/>
                <w:sz w:val="18"/>
                <w:szCs w:val="18"/>
              </w:rPr>
              <w:t>Criterios y Metodología para la Determinación del Caudal Ecológico en el Marco del SEIA</w:t>
            </w:r>
          </w:p>
        </w:tc>
        <w:tc>
          <w:tcPr>
            <w:tcW w:w="777" w:type="dxa"/>
            <w:hideMark/>
          </w:tcPr>
          <w:p w:rsidR="005B7181" w:rsidRPr="00902425" w:rsidRDefault="005B7181" w:rsidP="00306CB7">
            <w:pPr>
              <w:spacing w:after="0"/>
              <w:jc w:val="center"/>
              <w:rPr>
                <w:rFonts w:eastAsia="Times New Roman"/>
                <w:sz w:val="18"/>
                <w:szCs w:val="18"/>
              </w:rPr>
            </w:pPr>
            <w:r w:rsidRPr="00902425">
              <w:rPr>
                <w:rFonts w:eastAsia="Times New Roman"/>
                <w:sz w:val="18"/>
                <w:szCs w:val="18"/>
              </w:rPr>
              <w:t>2011</w:t>
            </w:r>
          </w:p>
        </w:tc>
        <w:tc>
          <w:tcPr>
            <w:tcW w:w="1790" w:type="dxa"/>
            <w:hideMark/>
          </w:tcPr>
          <w:p w:rsidR="005B7181" w:rsidRPr="00902425" w:rsidRDefault="005B7181" w:rsidP="00306CB7">
            <w:pPr>
              <w:spacing w:after="0"/>
              <w:jc w:val="center"/>
              <w:rPr>
                <w:rFonts w:eastAsia="Times New Roman"/>
                <w:sz w:val="18"/>
                <w:szCs w:val="18"/>
              </w:rPr>
            </w:pPr>
            <w:r w:rsidRPr="00902425">
              <w:rPr>
                <w:rFonts w:eastAsia="Times New Roman"/>
                <w:sz w:val="18"/>
                <w:szCs w:val="18"/>
              </w:rPr>
              <w:t>Departamento de Conservación y Protección de Recursos Hídricos</w:t>
            </w:r>
          </w:p>
        </w:tc>
        <w:tc>
          <w:tcPr>
            <w:tcW w:w="3920" w:type="dxa"/>
            <w:hideMark/>
          </w:tcPr>
          <w:p w:rsidR="005B7181" w:rsidRPr="00902425" w:rsidRDefault="005B7181" w:rsidP="00306CB7">
            <w:pPr>
              <w:spacing w:after="0"/>
              <w:rPr>
                <w:rFonts w:eastAsia="Times New Roman"/>
                <w:sz w:val="18"/>
                <w:szCs w:val="18"/>
              </w:rPr>
            </w:pPr>
            <w:r w:rsidRPr="00902425">
              <w:rPr>
                <w:rFonts w:eastAsia="Times New Roman"/>
                <w:sz w:val="18"/>
                <w:szCs w:val="18"/>
              </w:rPr>
              <w:t>Minuta DCPRH Nº 267 en la que se define lo que se entiende por caudal ecológico, se establecen las atribuciones para su determinación, desde el punto de vista sectorial y ambiental y se describen las metodologías para su determinación en el marco del SEIA</w:t>
            </w:r>
          </w:p>
        </w:tc>
        <w:tc>
          <w:tcPr>
            <w:tcW w:w="2681" w:type="dxa"/>
            <w:hideMark/>
          </w:tcPr>
          <w:p w:rsidR="005B7181" w:rsidRPr="00902425" w:rsidRDefault="005B7181" w:rsidP="00306CB7">
            <w:pPr>
              <w:spacing w:after="0"/>
              <w:rPr>
                <w:rFonts w:eastAsia="Times New Roman"/>
                <w:sz w:val="18"/>
                <w:szCs w:val="18"/>
              </w:rPr>
            </w:pPr>
            <w:r w:rsidRPr="00902425">
              <w:rPr>
                <w:rFonts w:eastAsia="Times New Roman"/>
                <w:sz w:val="18"/>
                <w:szCs w:val="18"/>
              </w:rPr>
              <w:t>Información relevante en el diagnóstico ambiental, Caudal ecológico.</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Las Áreas Protegidas De Chile  Antecedentes, Institucionalidad, Estadísticas Y Desafíos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2011</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Este documento es una síntesis de la historia, institucionalidad e información sobre las áreas protegidas de Chile. Contiene información sobre todos los tipos de iniciativas de protección del patrimonio ambiental en zonas marino-costeras y terrestres, emprendidas por la administración pública y una breve descripción de su institucionalidad. El documento está organizado en 3 ejes y 12 capítulos respecto a distintos temas y componentes del medio ambiente. Cada capítulo sigue el modelo Presión-Estado-Respuesta, propuesto por la OCDE para el desarrollo de políticas ambientales e informes </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Información relevante en el análisis de las de áreas de protección o conservación existentes. Contiene información de los sistemas de protección oficial existentes y evaluar el aporte del resto de los sistemas de protección en Chile, como el escenario actual áreas protegidas. </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Atlas de Faenas Mineras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2012</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Servicio Nacional de Geología y Minería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Mapas y estadísticas de Faenas Mineras, para las regiones del Maule, Biobío, Araucanía, Los Ríos, Los Lagos, Aysén y Magallanes.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Listado de faenas mineras por tipo, para la región del Maule</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Anfibios de Chile,</w:t>
            </w:r>
            <w:r w:rsidRPr="00902425">
              <w:rPr>
                <w:rFonts w:eastAsia="Times New Roman"/>
                <w:color w:val="000000"/>
                <w:sz w:val="18"/>
                <w:szCs w:val="18"/>
              </w:rPr>
              <w:br/>
              <w:t>un desafío para la conservación</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2013</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LOBOS G, VIDAL M, CORREA C, LABRA A, DÍAZ - PÁEZ H, CHARRIER A, RABANAL F, DÍAZ S &amp;</w:t>
            </w:r>
            <w:r w:rsidRPr="00902425">
              <w:rPr>
                <w:rFonts w:eastAsia="Times New Roman"/>
                <w:color w:val="000000"/>
                <w:sz w:val="18"/>
                <w:szCs w:val="18"/>
              </w:rPr>
              <w:br/>
              <w:t>TALA C.</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El libro permite adentrarse en el conocimiento de los anfibios priorizando que el lector pueda participar activamente en la conservación y protección de estas especies de Chile. A lo largo del todo el texto destaca que los anfibios son un grupo endémico altamente amenazado en el país. Entrega información sobre la biología, diversidad, valor ambiental y cultural de los anfibios, estado de conservación y amenazas, conocimiento generado en los últimos 15 años, acciones de conservación que se están desarrollando en nuestro país, así como una muestra de imágenes y texto relativo a algunas de las especies presentes en Chile.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relevante en el diagnóstico ambiental conocimiento de los anfibios en la región.</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Informe Anual de Medio Ambiente Regional, Endesa  2012</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2013</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ENDESA CHILE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documento es una revisión sobre los pasivos de la empresa eléctrica en todas sus actividades. De esto, se menciona los pasivos medio ambientales en la región  del Maule, se caracterizan y se revisa la manera en como la empresa ha actuado en cada caso descrito. De lo anterior, se refiere a las obras que la empresa tienen en la cuenca del Maule y cuantifica la existencia de áridos.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Revisión de antecedentes sobre los impactos que la empresa hidroelectrica reconoce sobre el entorno natural.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Sustentabilidad Ambiental Para el Desarrollo</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2013</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El estudio se enmarca en el contexto del proyecto Visión, Logros y Desafíos del Ministerio de Agricultura, 2010-2014. Esta iniciativa fue impulsada por la </w:t>
            </w:r>
            <w:r w:rsidRPr="00902425">
              <w:rPr>
                <w:rFonts w:eastAsia="Times New Roman"/>
                <w:color w:val="000000"/>
                <w:sz w:val="18"/>
                <w:szCs w:val="18"/>
              </w:rPr>
              <w:lastRenderedPageBreak/>
              <w:t>misma cartera, en conjunto con FIA, y consta de seis partes: un texto inicial de introducción y síntesis, seguido de cinco documentos para cubrir cada uno de los pilares que han orientado el trabajo de la institución.</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Entrega Información para el análisis de la situación del agua y otros recursos y sobre todo de la presión </w:t>
            </w:r>
            <w:r w:rsidRPr="00902425">
              <w:rPr>
                <w:rFonts w:eastAsia="Times New Roman"/>
                <w:color w:val="000000"/>
                <w:sz w:val="18"/>
                <w:szCs w:val="18"/>
              </w:rPr>
              <w:lastRenderedPageBreak/>
              <w:t>antrópica de la actividad agrícola sobre estos recursos.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Especies en Estado De Conservación</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2013</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Clasificación de la flora y de la fauna silvestre permite evaluar el estado de conservación de nuestra diversidad biológica. De paso, contribuye a disminuir el riesgo de su extinción al permitir priorizar recursos y esfuerzos en aquellas especies más amenazadas. Mandatado por el artículo 37 de la ley General de Bases del Medio Ambiente (Ley 19.300), entró en operaciones el año 2005, mediante el Decreto Supremo Nº 75 de 2004 del Ministerio Secretaría General de la Presidencia, que fue remplazado en abril de 2011 por el Decreto Supremo Nº 29 de 2011 del Ministerio del Medio Ambiente, que corresponde al actual Reglamento para la Clasificación de Especies Silvestres según Estado de Conservación (RCE).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Permite la caracterización de la flora y fauna de acuerdo a los criterios ambientales de la normativa nacional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Balance Ambiental 2014. Sacrificando Chile por la Inversión</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2014</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Fundación Terram</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Este documento, elaborado por Fundación Terram, entrega un exhaustivo detalle de todos los acontecimiento ambientales que marcaron el año 2014. Hace una revisión de los peores casos, entre los cuales </w:t>
            </w:r>
            <w:r w:rsidRPr="00902425">
              <w:rPr>
                <w:rFonts w:eastAsia="Times New Roman"/>
                <w:color w:val="000000"/>
                <w:sz w:val="18"/>
                <w:szCs w:val="18"/>
              </w:rPr>
              <w:lastRenderedPageBreak/>
              <w:t>destaca: Derrame de petróleo en la Bahía de Quintero; El Plan de Adaptación de Cambio Climático y Biodiversidad; Propuesta de reforma al Código de Aguas ingresada por el gobierno al Congreso que no incluye la problemática de los glaciares y debilita funciones del Estado; los resultados del Proyecto MAPS; que considera el impulso a la utilización de gas, represas y energía nuclear en lugar de priorizar las ERNC y la eficiencia energética; Planes de Cierre Faenas Mineras, entre otros.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Antecedentes sobre situación ambiental específicamente en impactos y consecuencias ambientales. </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Plan, Política, Programa</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Plan de Recuperación, Conservación y Gestión de los Anfibios de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2014</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del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De conformidad a las clasificaciones de especies silvestres y su categoría de conservación, el Ministerio del Medio Ambiente deberá aprobar planes de recuperación, conservación y gestión para estas especies. El reglamento definirá el procedimiento de elaboración, el sistema de información pública y el contenido de cada uno de ellos.  Por su parte, el Plan se define como instrumento administrativo que contiene el conjunto de metas, objetivos y acciones que deberán ejecutarse para recuperar, conservar y manejar una o más especies que hayan sido clasificadas en el marco del Reglamento para la Clasificación de Especies Silvestres según Estado de Conservación. Destaca además que el </w:t>
            </w:r>
            <w:r w:rsidRPr="00902425">
              <w:rPr>
                <w:rFonts w:eastAsia="Times New Roman"/>
                <w:color w:val="000000"/>
                <w:sz w:val="18"/>
                <w:szCs w:val="18"/>
              </w:rPr>
              <w:lastRenderedPageBreak/>
              <w:t>reglamento es explícito en mencionar que planes podrán elaborarse para cada especie en particular o para un grupo de especies, cuando éstas presenten características similares en términos de su categoría de conservación, biología, amenazas o distribución, de igual modo, los planes podrán elaborarse para su aplicación sobre la totalidad del área de distribución de las especies respectivas, o para una parte de ella, según corresponda. Todo plan que tenga por objeto recursos hidrobiológicos sometidos a medidas de conservación y a los regímenes de administración de la Ley General de Pesca y Acuicultura Nº 18.892 y sus modificaciones, deberá ser compatible con el plan de manejo establecido de conformidad con dicho cuerpo legal</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Antecedentes en el plan de recuperación de anfibios desarrollados en el marco  del Reglamento para la Elaboración de Planes de Recuperación, Conservación y Gestión de Especies.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Evaluación Ambiental Estratégica. Plan Regional de Ordenamiento Territorial del Maule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2014</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Gobierno Regional Maule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Este informe considera los Problemas Ambientales y Criterios de Sustentabilidad de la Región del Maule, los cuales entregan el marco de sustentabilidad del plan, para luego sobre la base de éstos, generar los Objetivos Ambientales del Plan, los cuales consideran los aspectos que son normados en este instrumento y que cuentan con un enfoque ambiental. Asimismo, se analizan las alternativas de </w:t>
            </w:r>
            <w:r w:rsidRPr="00902425">
              <w:rPr>
                <w:rFonts w:eastAsia="Times New Roman"/>
                <w:color w:val="000000"/>
                <w:sz w:val="18"/>
                <w:szCs w:val="18"/>
              </w:rPr>
              <w:lastRenderedPageBreak/>
              <w:t>estructuración territorial (Escenarios Territoriales) que forman parte de la imagen objetivo que permite el diseño completo de la zonificación y la definición de las normas que forman parte del Plan, generando la respectiva evaluación de éstas, permitiendo analizar además, el escenario que será la base del proyecto de Plan.</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Permite recoger información sobre identificación de presiones antrópicas y naturales sobre los recursos hídricos. El documento incluye información relevante respecto a una perspectiva de ordenamiento territorial con incorporación medioambiental.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 de Depósitos de Relave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2015</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Servicio Nacional de Geología y Minería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Catastro de depósitos de relave según estado operacional, a nivel nacional</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Listado de depósitos de relave para la región del Maule (2), y su estado operacional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 de Descargas de RILES, Región del Maule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2015</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Superintendencia de Servicios Sanitarios</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Listado de descargas autorizadas por la SISS, bajo decretos DS 46/2002 y DS 90/2000.</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Se incluye listado de descargas autorizadas, código CIIU de emisores, lo que permite clasificar los tipos de descarga efectivas.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Segundo Reporte del Estado Medio Ambiente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2015</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del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El Segundo Reporte del Estado del Medio Ambiente, que constituye una de las nuevas obligaciones legales, ha sido elaborado con la colaboración de distintos servicios públicos con competencia ambiental. En esta publicación se puede rescatar las principales tendencias en el ámbito de la gestión ambiental, en la cual además se da cuenta del catastro de puntos de conflictos existentes a nivel nacional, por </w:t>
            </w:r>
            <w:r w:rsidRPr="00902425">
              <w:rPr>
                <w:rFonts w:eastAsia="Times New Roman"/>
                <w:color w:val="000000"/>
                <w:sz w:val="18"/>
                <w:szCs w:val="18"/>
              </w:rPr>
              <w:lastRenderedPageBreak/>
              <w:t>lo cual existe información relevante sobre la región del Maule.</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Información relevante en el análisis de la situación ambiental, pasivos ambientales.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Presentación</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Experiencia en el Establecimiento de Caudales Ambientales en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2015</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Francisco Javier Riestra Miranda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El exponente entrega primeramente una revisión sobre el concepto de caudal ecológico. Continua con una reseña histórica del tema en Chile, realizando además un análisis de la normativa actual vigente. Continua con  los aspectos relevantes en área de ciencia e investigación en Ecohidrología en Chile, terminando con la presentación de metodología Guía Caudales Ambientales para Determinar Caudales Ambientales para Centrales Hidroeléctricas en el Sistema de Evaluación de Impacto Ambiental.</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Apoyo en la caracterización de los caudales ambientales en la Región del Maule</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Aplicación de los Criterios de la Unión Internacional Para La Conservación de la Naturaleza (IUCN) Para la Evaluación de Riesgo de los Ecosistemas Terrestres De Chile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2015</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Patricio Pliscoff Varas</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documento presentar una primera prueba a escala nacional de la aplicación de los criterios de la metodología de evaluación del estado de conservación de los ecosistemas de la Unión Internacional para la Conservación para la Naturaleza (IUCN), en los ecosistemas terrestres de Chile, para evaluar su aplicabilidad en el país.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 Información relevante en el diagnóstico Ambiental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Plan, Política, Programa</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 Gestión Medio Ambiente Región del Maule. Cuenta Pública 2015</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2016</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del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Este documento es un recuento de las acciones que los estamentos públicos desarrollarán en el país, y en específico en la Región del Maule. Se listan los proyectos, programas, planes, etc., </w:t>
            </w:r>
            <w:r w:rsidRPr="00902425">
              <w:rPr>
                <w:rFonts w:eastAsia="Times New Roman"/>
                <w:color w:val="000000"/>
                <w:sz w:val="18"/>
                <w:szCs w:val="18"/>
              </w:rPr>
              <w:lastRenderedPageBreak/>
              <w:t>destinados a mejorar la gestión medio ambiental de la zona de estudio.</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Información para identificación de presiones antrópicas y naturales sobre los recursos hídricos como conjunto de resultados de la gestión </w:t>
            </w:r>
            <w:r w:rsidRPr="00902425">
              <w:rPr>
                <w:rFonts w:eastAsia="Times New Roman"/>
                <w:color w:val="000000"/>
                <w:sz w:val="18"/>
                <w:szCs w:val="18"/>
              </w:rPr>
              <w:lastRenderedPageBreak/>
              <w:t xml:space="preserve">ambiental en el año considerado,2014. Los ámbitos son equidad ambiental, regulación ambiental, cambio climático, entre otros. </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 de Rellenos Sanitarios, Estaciones de Transferencia y Vertederos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2016</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Directorio y Observatorio de Residuos de Chile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Directorio de empresas responsables de administración de rellenos sanitarios, estaciones de transferencia y vertederos en la región del Maule. Revisado en www.directorioresiduos.cl</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Desde el listado de empresas que operan en la región, se permite analizar y caracterizar</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Sistema de Evaluación de Impacto Ambiental</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2016</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Servicio de Evaluación Ambiental (SEA)</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Corresponde a la revisión del SEIA y contiene todos los EIA que se hayan aprobado en la región del Maule,  y revisar, analizar y concluir sobre las medidas de mitigación y compensación propuestas relacionadas con los recursos hídricos.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relevante en el análisis de la situación ambiental, más específicamente en estimación del caudal ecológico.</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Plan, Política, Programa</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Plan de Recuperación Conservación y Gestión del Ruil</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2016</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del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documento tiene relación con el comienzo del Plan de Recuperación, Conservación y Gestión del Ruil. Así, se especifica que el Ministerio del Medio Ambiente (MMA) informa que mediante la Resolución Exenta N° 0107 del 12 de febrero de 2016 ha dado inicio al proceso de elaboración del Plan de Recuperación, Conservación y Gestión de Ruil, árbol declarado En Peligro</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Este documento permite obtener antecedentes específicos sobre especie endémica de la región, la cual además se presenta con una distribución limitada y altamente presionada</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Medio Ambiente. Informe Anual  2015</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2016</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INE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El Instituto Nacional de Estadísticas (INE), entrega  a disposición de la comunidad nacional e internacional la </w:t>
            </w:r>
            <w:r w:rsidRPr="00902425">
              <w:rPr>
                <w:rFonts w:eastAsia="Times New Roman"/>
                <w:color w:val="000000"/>
                <w:sz w:val="18"/>
                <w:szCs w:val="18"/>
              </w:rPr>
              <w:lastRenderedPageBreak/>
              <w:t>versión 2015 del Informe Anual de Estadísticas del Medio Ambiente. El procesamiento de los datos que se presentan, es riguroso en su presentación, validación y procesamiento, especialmente si se trata de construir series estadísticas comparables.</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 Información relevante en el diagnóstico Ambiental, estadística ambiental.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Reglamento de Caudal Ecológico Mínimo</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2012</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Obras publicas</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El Reglamento de Caudal Ecológico Mínimo fue elaborado en conjunto por el Ministerio de Obras Públicas y del Medio Ambiente, el cual tuvo como objetivo principal asegurar la biodiversidad. Se espera que el Reglamento entregue el marco que permita asegurar la preservación de la naturaleza y proteger el medio ambiente, a través de fijar una serie de criterios para el establecimiento del Caudal Ecológico Mínimo. Este documento menciona que el caudal ecológico no podrá ser superior a un 20% del caudal medio anual de la respectiva fuente superficial y en casos calificados el Presidente de la República, previo informe del Ministerio del Medio Ambiente, podrá fijar caudales diferentes a un 20%, no pudiendo superar un 40%.</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Permite acreditar los criterios públicos de acuerdo al caudal ecológico</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Reforma Constitucional al Código de Aguas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Obras publicas</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El Gobierno ha presentado una reforma al Código de Aguas vigente. Éste se encuentra, actualmente, en discusión en la Comisión de Recursos Hídricos y </w:t>
            </w:r>
            <w:r w:rsidRPr="00902425">
              <w:rPr>
                <w:rFonts w:eastAsia="Times New Roman"/>
                <w:color w:val="000000"/>
                <w:sz w:val="18"/>
                <w:szCs w:val="18"/>
              </w:rPr>
              <w:lastRenderedPageBreak/>
              <w:t>Desertificación de la Cámara de Diputados de Chile. Entre otros objetivos, lo que se persigue es modificar el concepto de derechos de aprovechamiento de aguas, limitar su uso, darles un carácter temporal a los derechos a particulares, limitar algunos derechos en situaciones especiales, como por ejemplo, temporadas de sequía, establecer causales de caducidad, facilitar la intervención de las cuencas por el Estado y reformar el sistema de pago de patente por no uso</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 xml:space="preserve">Antecedentes sobre los cambios al Código de Aguas que actualmente se </w:t>
            </w:r>
            <w:r w:rsidRPr="00902425">
              <w:rPr>
                <w:rFonts w:eastAsia="Times New Roman"/>
                <w:color w:val="000000"/>
                <w:sz w:val="18"/>
                <w:szCs w:val="18"/>
              </w:rPr>
              <w:lastRenderedPageBreak/>
              <w:t>legisla en el parlamento nacional</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Estudio o Informe Técnico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Introducción al Cálculo de Caudales Ecológicos Endesa Chile, Un análisis de las tendencias actuales</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2011</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ENDESA CHILE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 xml:space="preserve">Analiza las observaciones efectuadas por la Autoridad a las propuestas de caudal ecológico de cuatro proyectos hidroeléctricos de Chile (tres aprobados y uno en proceso). Los resultados indican lo siguiente: a) Las “megacentrales” reciben menos observaciones a sus estimaciones de caudal ecológico (Qeco) que las centrales medianas o pequeñas. Es probable que mientras menos agua disponible tenga el titular, éste trate de optimizarla, estableciendo menos Qeco en virtud de turbinar mayor volumen de agua; b) Existe una relación inversa entre el caudal que el Titular destine a Qeco, con la cantidad de observaciones que emite la Autoridad al respecto, lo que –finalmente- repercute en la duración del </w:t>
            </w:r>
            <w:r w:rsidRPr="00902425">
              <w:rPr>
                <w:rFonts w:eastAsia="Times New Roman"/>
                <w:color w:val="000000"/>
                <w:sz w:val="18"/>
                <w:szCs w:val="18"/>
              </w:rPr>
              <w:lastRenderedPageBreak/>
              <w:t>proceso de evaluación ambiental; c) El análisis de 160 observaciones efectuadas por la Autoridad a los estudios de Qeco de los cuatro proyectos estudiados, indica que corresponden básicamente a trece tipos. De ellas, siete presentan una frecuencia mayor a 5%, además, requieren tiempo y recursos para ser aclaradas. Otras seis, presentan frecuencia menor a 5% y requieren pocos recursos y tiempo. El porcentaje en el cual se presentan estas observaciones tipo (“difíciles” o “fáciles”), aumenta o disminuye según el modelo empleado por el Titular para definir Qeco; y d) La Autoridad es más afín a la propuesta del titular, cuando los métodos para definir Qeco se basan en las sugerencias de la DGA</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lastRenderedPageBreak/>
              <w:t>El documento entrega los criterios de la empresa privada, de alta injerencia en la Región  del Maule, sobre la determinación de caudales ecológicos.</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lastRenderedPageBreak/>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Sistema Nacional de Información de Fiscalización Ambiental</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Ministerio de Medio Ambiente</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Revisando antecedentes de este sistema, se obtiene información sobre los procesos de fiscalización, en relación con los instrumentos de carácter ambiental de competencia de la SMA</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La revisión de estos antecedentes permite determinar los procesos de fiscalización en la Región del Maule.</w:t>
            </w:r>
          </w:p>
        </w:tc>
      </w:tr>
      <w:tr w:rsidR="005B7181" w:rsidRPr="00902425" w:rsidTr="00306CB7">
        <w:trPr>
          <w:trHeight w:val="20"/>
        </w:trPr>
        <w:tc>
          <w:tcPr>
            <w:tcW w:w="151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Catastro</w:t>
            </w:r>
          </w:p>
        </w:tc>
        <w:tc>
          <w:tcPr>
            <w:tcW w:w="2194"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Áreas Restringidas Maule</w:t>
            </w:r>
          </w:p>
        </w:tc>
        <w:tc>
          <w:tcPr>
            <w:tcW w:w="777"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w:t>
            </w:r>
          </w:p>
        </w:tc>
        <w:tc>
          <w:tcPr>
            <w:tcW w:w="1790" w:type="dxa"/>
            <w:hideMark/>
          </w:tcPr>
          <w:p w:rsidR="005B7181" w:rsidRPr="00902425" w:rsidRDefault="005B7181" w:rsidP="00306CB7">
            <w:pPr>
              <w:spacing w:after="0"/>
              <w:jc w:val="center"/>
              <w:rPr>
                <w:rFonts w:eastAsia="Times New Roman"/>
                <w:color w:val="000000"/>
                <w:sz w:val="18"/>
                <w:szCs w:val="18"/>
              </w:rPr>
            </w:pPr>
            <w:r w:rsidRPr="00902425">
              <w:rPr>
                <w:rFonts w:eastAsia="Times New Roman"/>
                <w:color w:val="000000"/>
                <w:sz w:val="18"/>
                <w:szCs w:val="18"/>
              </w:rPr>
              <w:t>Dirección General de Aguas</w:t>
            </w:r>
          </w:p>
        </w:tc>
        <w:tc>
          <w:tcPr>
            <w:tcW w:w="3920"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Antecedentes obtenidos desde la Dirección General de Aguas, relativos a información sobre las áreas de restricción existentes en la Región del Maule. Estos corresponden a los acuíferos Teno Lontué y Belco Arenal.</w:t>
            </w:r>
          </w:p>
        </w:tc>
        <w:tc>
          <w:tcPr>
            <w:tcW w:w="2681" w:type="dxa"/>
            <w:hideMark/>
          </w:tcPr>
          <w:p w:rsidR="005B7181" w:rsidRPr="00902425" w:rsidRDefault="005B7181" w:rsidP="00306CB7">
            <w:pPr>
              <w:spacing w:after="0"/>
              <w:rPr>
                <w:rFonts w:eastAsia="Times New Roman"/>
                <w:color w:val="000000"/>
                <w:sz w:val="18"/>
                <w:szCs w:val="18"/>
              </w:rPr>
            </w:pPr>
            <w:r w:rsidRPr="00902425">
              <w:rPr>
                <w:rFonts w:eastAsia="Times New Roman"/>
                <w:color w:val="000000"/>
                <w:sz w:val="18"/>
                <w:szCs w:val="18"/>
              </w:rPr>
              <w:t>Información  obtenida desde la página web de la DGA, recogiendo antecedentes sobre las fuentes hídricas bajo protección oficial.</w:t>
            </w:r>
          </w:p>
        </w:tc>
      </w:tr>
    </w:tbl>
    <w:p w:rsidR="005B7181" w:rsidRPr="00A8200D" w:rsidRDefault="005B7181" w:rsidP="005B7181">
      <w:pPr>
        <w:jc w:val="left"/>
        <w:rPr>
          <w:sz w:val="16"/>
          <w:szCs w:val="16"/>
        </w:rPr>
      </w:pPr>
      <w:r w:rsidRPr="00A8200D">
        <w:rPr>
          <w:b/>
          <w:sz w:val="16"/>
          <w:szCs w:val="16"/>
        </w:rPr>
        <w:t>Fuente</w:t>
      </w:r>
      <w:r w:rsidRPr="00A8200D">
        <w:rPr>
          <w:sz w:val="16"/>
          <w:szCs w:val="16"/>
        </w:rPr>
        <w:t>: Elaboración propia</w:t>
      </w:r>
    </w:p>
    <w:p w:rsidR="005B7181" w:rsidRDefault="005B7181"/>
    <w:sectPr w:rsidR="005B7181" w:rsidSect="005B7181">
      <w:headerReference w:type="default" r:id="rId6"/>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78CD" w:rsidRDefault="000078CD" w:rsidP="005B7181">
      <w:pPr>
        <w:spacing w:after="0" w:line="240" w:lineRule="auto"/>
      </w:pPr>
      <w:r>
        <w:separator/>
      </w:r>
    </w:p>
  </w:endnote>
  <w:endnote w:type="continuationSeparator" w:id="0">
    <w:p w:rsidR="000078CD" w:rsidRDefault="000078CD" w:rsidP="005B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78CD" w:rsidRDefault="000078CD" w:rsidP="005B7181">
      <w:pPr>
        <w:spacing w:after="0" w:line="240" w:lineRule="auto"/>
      </w:pPr>
      <w:r>
        <w:separator/>
      </w:r>
    </w:p>
  </w:footnote>
  <w:footnote w:type="continuationSeparator" w:id="0">
    <w:p w:rsidR="000078CD" w:rsidRDefault="000078CD" w:rsidP="005B7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5B7181" w:rsidTr="00306CB7">
      <w:tc>
        <w:tcPr>
          <w:tcW w:w="4889"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7"/>
            <w:gridCol w:w="1986"/>
          </w:tblGrid>
          <w:tr w:rsidR="005B7181" w:rsidTr="00306CB7">
            <w:tc>
              <w:tcPr>
                <w:tcW w:w="4889" w:type="dxa"/>
              </w:tcPr>
              <w:p w:rsidR="005B7181" w:rsidRDefault="005B7181" w:rsidP="005B7181">
                <w:pPr>
                  <w:autoSpaceDE w:val="0"/>
                  <w:autoSpaceDN w:val="0"/>
                  <w:adjustRightInd w:val="0"/>
                  <w:spacing w:after="60"/>
                  <w:ind w:left="-108"/>
                  <w:rPr>
                    <w:b/>
                    <w:bCs/>
                    <w:color w:val="84B819"/>
                    <w:sz w:val="14"/>
                    <w:szCs w:val="14"/>
                  </w:rPr>
                </w:pPr>
                <w: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5.5pt" o:ole="">
                      <v:imagedata r:id="rId1" o:title=""/>
                    </v:shape>
                    <o:OLEObject Type="Embed" ProgID="PBrush" ShapeID="_x0000_i1025" DrawAspect="Content" ObjectID="_1540924421" r:id="rId2"/>
                  </w:object>
                </w:r>
                <w:r w:rsidRPr="00D521B6">
                  <w:rPr>
                    <w:b/>
                    <w:bCs/>
                    <w:noProof/>
                    <w:color w:val="84B819"/>
                    <w:sz w:val="14"/>
                    <w:szCs w:val="14"/>
                    <w:lang w:val="es-CL"/>
                  </w:rPr>
                  <mc:AlternateContent>
                    <mc:Choice Requires="wps">
                      <w:drawing>
                        <wp:anchor distT="0" distB="0" distL="114300" distR="114300" simplePos="0" relativeHeight="251659264" behindDoc="0" locked="0" layoutInCell="1" allowOverlap="1" wp14:anchorId="3CA219A5" wp14:editId="31BEA4CF">
                          <wp:simplePos x="0" y="0"/>
                          <wp:positionH relativeFrom="column">
                            <wp:posOffset>644459</wp:posOffset>
                          </wp:positionH>
                          <wp:positionV relativeFrom="paragraph">
                            <wp:posOffset>12923</wp:posOffset>
                          </wp:positionV>
                          <wp:extent cx="4002404" cy="1097279"/>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2404" cy="1097279"/>
                                  </a:xfrm>
                                  <a:prstGeom prst="rect">
                                    <a:avLst/>
                                  </a:prstGeom>
                                  <a:noFill/>
                                  <a:ln w="9525">
                                    <a:noFill/>
                                    <a:miter lim="800000"/>
                                    <a:headEnd/>
                                    <a:tailEnd/>
                                  </a:ln>
                                </wps:spPr>
                                <wps:txbx>
                                  <w:txbxContent>
                                    <w:p w:rsidR="005B7181" w:rsidRPr="00B31517" w:rsidRDefault="005B7181" w:rsidP="005B7181">
                                      <w:pPr>
                                        <w:pStyle w:val="EncabezadoPie"/>
                                      </w:pPr>
                                      <w:r w:rsidRPr="00B31517">
                                        <w:t>GOBIERNO DE CHILE</w:t>
                                      </w:r>
                                    </w:p>
                                    <w:p w:rsidR="005B7181" w:rsidRPr="00B31517" w:rsidRDefault="005B7181" w:rsidP="005B7181">
                                      <w:pPr>
                                        <w:pStyle w:val="EncabezadoPie"/>
                                      </w:pPr>
                                      <w:r w:rsidRPr="00B31517">
                                        <w:t>MINISTERIO DE OBRAS PÚBLICAS</w:t>
                                      </w:r>
                                    </w:p>
                                    <w:p w:rsidR="005B7181" w:rsidRPr="00B31517" w:rsidRDefault="005B7181" w:rsidP="005B7181">
                                      <w:pPr>
                                        <w:pStyle w:val="EncabezadoPie"/>
                                      </w:pPr>
                                      <w:r w:rsidRPr="00B31517">
                                        <w:t>DIRECCIÓN GENERAL DE AGUAS</w:t>
                                      </w:r>
                                    </w:p>
                                    <w:p w:rsidR="005B7181" w:rsidRPr="00B31517" w:rsidRDefault="005B7181" w:rsidP="005B7181">
                                      <w:pPr>
                                        <w:pStyle w:val="EncabezadoPie"/>
                                      </w:pPr>
                                      <w:r w:rsidRPr="00B31517">
                                        <w:t xml:space="preserve">DIRECCIÓN REGIONAL DE AGUAS – </w:t>
                                      </w:r>
                                      <w:r>
                                        <w:t>REGIÓN DEL MAULE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A219A5" id="_x0000_t202" coordsize="21600,21600" o:spt="202" path="m,l,21600r21600,l21600,xe">
                          <v:stroke joinstyle="miter"/>
                          <v:path gradientshapeok="t" o:connecttype="rect"/>
                        </v:shapetype>
                        <v:shape id="Cuadro de texto 2" o:spid="_x0000_s1026" type="#_x0000_t202" style="position:absolute;left:0;text-align:left;margin-left:50.75pt;margin-top:1pt;width:315.15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" filled="f" stroked="f">
                          <v:textbox>
                            <w:txbxContent>
                              <w:p w:rsidR="005B7181" w:rsidRPr="00B31517" w:rsidRDefault="005B7181" w:rsidP="005B7181">
                                <w:pPr>
                                  <w:pStyle w:val="EncabezadoPie"/>
                                </w:pPr>
                                <w:r w:rsidRPr="00B31517">
                                  <w:t>GOBIERNO DE CHILE</w:t>
                                </w:r>
                              </w:p>
                              <w:p w:rsidR="005B7181" w:rsidRPr="00B31517" w:rsidRDefault="005B7181" w:rsidP="005B7181">
                                <w:pPr>
                                  <w:pStyle w:val="EncabezadoPie"/>
                                </w:pPr>
                                <w:r w:rsidRPr="00B31517">
                                  <w:t>MINISTERIO DE OBRAS PÚBLICAS</w:t>
                                </w:r>
                              </w:p>
                              <w:p w:rsidR="005B7181" w:rsidRPr="00B31517" w:rsidRDefault="005B7181" w:rsidP="005B7181">
                                <w:pPr>
                                  <w:pStyle w:val="EncabezadoPie"/>
                                </w:pPr>
                                <w:r w:rsidRPr="00B31517">
                                  <w:t>DIRECCIÓN GENERAL DE AGUAS</w:t>
                                </w:r>
                              </w:p>
                              <w:p w:rsidR="005B7181" w:rsidRPr="00B31517" w:rsidRDefault="005B7181" w:rsidP="005B7181">
                                <w:pPr>
                                  <w:pStyle w:val="EncabezadoPie"/>
                                </w:pPr>
                                <w:r w:rsidRPr="00B31517">
                                  <w:t xml:space="preserve">DIRECCIÓN REGIONAL DE AGUAS – </w:t>
                                </w:r>
                                <w:r>
                                  <w:t>REGIÓN DEL MAULE</w:t>
                                </w:r>
                              </w:p>
                            </w:txbxContent>
                          </v:textbox>
                        </v:shape>
                      </w:pict>
                    </mc:Fallback>
                  </mc:AlternateContent>
                </w:r>
              </w:p>
            </w:tc>
            <w:tc>
              <w:tcPr>
                <w:tcW w:w="4890" w:type="dxa"/>
              </w:tcPr>
              <w:p w:rsidR="005B7181" w:rsidRDefault="005B7181" w:rsidP="005B7181">
                <w:pPr>
                  <w:autoSpaceDE w:val="0"/>
                  <w:autoSpaceDN w:val="0"/>
                  <w:adjustRightInd w:val="0"/>
                  <w:spacing w:after="60"/>
                  <w:jc w:val="right"/>
                  <w:rPr>
                    <w:b/>
                    <w:bCs/>
                    <w:color w:val="84B819"/>
                    <w:sz w:val="14"/>
                    <w:szCs w:val="14"/>
                  </w:rPr>
                </w:pPr>
              </w:p>
            </w:tc>
          </w:tr>
        </w:tbl>
        <w:p w:rsidR="005B7181" w:rsidRDefault="005B7181" w:rsidP="005B7181"/>
      </w:tc>
      <w:tc>
        <w:tcPr>
          <w:tcW w:w="4890" w:type="dxa"/>
        </w:tcPr>
        <w:p w:rsidR="005B7181" w:rsidRDefault="005B7181" w:rsidP="005B7181">
          <w:pPr>
            <w:jc w:val="right"/>
          </w:pPr>
          <w:r w:rsidRPr="00906EDC">
            <w:rPr>
              <w:noProof/>
              <w:lang w:val="es-CL"/>
            </w:rPr>
            <w:drawing>
              <wp:inline distT="0" distB="0" distL="0" distR="0" wp14:anchorId="79C5792E" wp14:editId="27C6CDB4">
                <wp:extent cx="1007644" cy="571500"/>
                <wp:effectExtent l="0" t="0" r="254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veris.png"/>
                        <pic:cNvPicPr/>
                      </pic:nvPicPr>
                      <pic:blipFill>
                        <a:blip r:embed="rId3">
                          <a:extLst>
                            <a:ext uri="{28A0092B-C50C-407E-A947-70E740481C1C}">
                              <a14:useLocalDpi xmlns:a14="http://schemas.microsoft.com/office/drawing/2010/main" val="0"/>
                            </a:ext>
                          </a:extLst>
                        </a:blip>
                        <a:stretch>
                          <a:fillRect/>
                        </a:stretch>
                      </pic:blipFill>
                      <pic:spPr>
                        <a:xfrm>
                          <a:off x="0" y="0"/>
                          <a:ext cx="1011100" cy="573460"/>
                        </a:xfrm>
                        <a:prstGeom prst="rect">
                          <a:avLst/>
                        </a:prstGeom>
                      </pic:spPr>
                    </pic:pic>
                  </a:graphicData>
                </a:graphic>
              </wp:inline>
            </w:drawing>
          </w:r>
        </w:p>
      </w:tc>
    </w:tr>
  </w:tbl>
  <w:p w:rsidR="005B7181" w:rsidRDefault="005B718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181"/>
    <w:rsid w:val="000078CD"/>
    <w:rsid w:val="000321C4"/>
    <w:rsid w:val="00037899"/>
    <w:rsid w:val="000C55E1"/>
    <w:rsid w:val="001A09BC"/>
    <w:rsid w:val="00306CB7"/>
    <w:rsid w:val="003B0423"/>
    <w:rsid w:val="00450014"/>
    <w:rsid w:val="00466D36"/>
    <w:rsid w:val="005B7181"/>
    <w:rsid w:val="00633A47"/>
    <w:rsid w:val="00731548"/>
    <w:rsid w:val="007B3812"/>
    <w:rsid w:val="0084055A"/>
    <w:rsid w:val="00A14A73"/>
    <w:rsid w:val="00B91C0A"/>
    <w:rsid w:val="00BB3701"/>
    <w:rsid w:val="00C076E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955C7C-7B8D-4FB3-A8FF-2692C5B69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181"/>
    <w:pPr>
      <w:spacing w:after="120" w:line="276" w:lineRule="auto"/>
      <w:jc w:val="both"/>
    </w:pPr>
    <w:rPr>
      <w:rFonts w:ascii="Verdana" w:eastAsiaTheme="minorEastAsia" w:hAnsi="Verdana"/>
      <w:sz w:val="20"/>
      <w:szCs w:val="20"/>
      <w:lang w:val="es-ES"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a">
    <w:name w:val="Tabla"/>
    <w:basedOn w:val="Normal"/>
    <w:qFormat/>
    <w:rsid w:val="005B7181"/>
    <w:pPr>
      <w:keepNext/>
      <w:spacing w:after="0"/>
      <w:jc w:val="center"/>
    </w:pPr>
    <w:rPr>
      <w:rFonts w:eastAsia="Times New Roman" w:cs="U"/>
      <w:b/>
      <w:sz w:val="18"/>
      <w:szCs w:val="22"/>
      <w:lang w:val="es-ES_tradnl" w:eastAsia="es-ES"/>
    </w:rPr>
  </w:style>
  <w:style w:type="table" w:customStyle="1" w:styleId="dga">
    <w:name w:val="dga"/>
    <w:basedOn w:val="Tablanormal"/>
    <w:uiPriority w:val="99"/>
    <w:rsid w:val="005B718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tcPr>
    <w:tblStylePr w:type="firstRow">
      <w:pPr>
        <w:jc w:val="center"/>
      </w:pPr>
      <w:rPr>
        <w:b/>
      </w:rPr>
      <w:tblPr/>
      <w:tcPr>
        <w:shd w:val="clear" w:color="auto" w:fill="D9D9D9" w:themeFill="background1" w:themeFillShade="D9"/>
      </w:tcPr>
    </w:tblStylePr>
  </w:style>
  <w:style w:type="paragraph" w:styleId="Encabezado">
    <w:name w:val="header"/>
    <w:basedOn w:val="Normal"/>
    <w:link w:val="EncabezadoCar"/>
    <w:uiPriority w:val="99"/>
    <w:unhideWhenUsed/>
    <w:rsid w:val="005B71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7181"/>
    <w:rPr>
      <w:rFonts w:ascii="Verdana" w:eastAsiaTheme="minorEastAsia" w:hAnsi="Verdana"/>
      <w:sz w:val="20"/>
      <w:szCs w:val="20"/>
      <w:lang w:val="es-ES" w:eastAsia="es-CL"/>
    </w:rPr>
  </w:style>
  <w:style w:type="paragraph" w:styleId="Piedepgina">
    <w:name w:val="footer"/>
    <w:basedOn w:val="Normal"/>
    <w:link w:val="PiedepginaCar"/>
    <w:uiPriority w:val="99"/>
    <w:unhideWhenUsed/>
    <w:rsid w:val="005B71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7181"/>
    <w:rPr>
      <w:rFonts w:ascii="Verdana" w:eastAsiaTheme="minorEastAsia" w:hAnsi="Verdana"/>
      <w:sz w:val="20"/>
      <w:szCs w:val="20"/>
      <w:lang w:val="es-ES" w:eastAsia="es-CL"/>
    </w:rPr>
  </w:style>
  <w:style w:type="table" w:styleId="Tablaconcuadrcula">
    <w:name w:val="Table Grid"/>
    <w:basedOn w:val="Tablanormal"/>
    <w:uiPriority w:val="39"/>
    <w:rsid w:val="005B7181"/>
    <w:pPr>
      <w:spacing w:after="200" w:line="276" w:lineRule="auto"/>
      <w:jc w:val="both"/>
    </w:pPr>
    <w:rPr>
      <w:rFonts w:eastAsiaTheme="minorEastAsia"/>
      <w:sz w:val="20"/>
      <w:szCs w:val="20"/>
      <w:lang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ncabezadoPie">
    <w:name w:val="EncabezadoPie"/>
    <w:basedOn w:val="Normal"/>
    <w:link w:val="EncabezadoPieCar"/>
    <w:qFormat/>
    <w:rsid w:val="005B7181"/>
    <w:pPr>
      <w:spacing w:after="0"/>
      <w:jc w:val="left"/>
    </w:pPr>
    <w:rPr>
      <w:b/>
      <w:color w:val="44546A" w:themeColor="text2"/>
      <w:sz w:val="16"/>
      <w:szCs w:val="16"/>
    </w:rPr>
  </w:style>
  <w:style w:type="character" w:customStyle="1" w:styleId="EncabezadoPieCar">
    <w:name w:val="EncabezadoPie Car"/>
    <w:basedOn w:val="Fuentedeprrafopredeter"/>
    <w:link w:val="EncabezadoPie"/>
    <w:rsid w:val="005B7181"/>
    <w:rPr>
      <w:rFonts w:ascii="Verdana" w:eastAsiaTheme="minorEastAsia" w:hAnsi="Verdana"/>
      <w:b/>
      <w:color w:val="44546A" w:themeColor="text2"/>
      <w:sz w:val="16"/>
      <w:szCs w:val="16"/>
      <w:lang w:val="es-ES"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4354</Words>
  <Characters>23947</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28245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Fabian Reyes Hurtado</dc:creator>
  <cp:keywords/>
  <dc:description/>
  <cp:lastModifiedBy>Claudio Fabian Reyes Hurtado</cp:lastModifiedBy>
  <cp:revision>1</cp:revision>
  <dcterms:created xsi:type="dcterms:W3CDTF">2016-11-17T14:16:00Z</dcterms:created>
  <dcterms:modified xsi:type="dcterms:W3CDTF">2016-11-18T00:47:00Z</dcterms:modified>
</cp:coreProperties>
</file>