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Helvetica" w:hAnsi="Helvetica" w:cs="Helvetica"/>
          <w:color w:val="333333"/>
          <w:sz w:val="32"/>
          <w:szCs w:val="32"/>
        </w:rPr>
      </w:pPr>
      <w:r>
        <w:rPr>
          <w:rFonts w:hint="eastAsia" w:asciiTheme="minorEastAsia" w:hAnsiTheme="minorEastAsia" w:eastAsiaTheme="minorEastAsia" w:cstheme="minorEastAsia"/>
          <w:b/>
          <w:bCs/>
          <w:color w:val="333333"/>
          <w:sz w:val="32"/>
          <w:szCs w:val="32"/>
        </w:rPr>
        <w:t>M</w:t>
      </w:r>
      <w:r>
        <w:rPr>
          <w:rFonts w:hint="default" w:asciiTheme="minorEastAsia" w:hAnsiTheme="minorEastAsia" w:eastAsiaTheme="minorEastAsia" w:cstheme="minorEastAsia"/>
          <w:b/>
          <w:bCs/>
          <w:color w:val="333333"/>
          <w:sz w:val="32"/>
          <w:szCs w:val="32"/>
          <w:lang w:val="en-US"/>
        </w:rPr>
        <w:t>onetary Incentive</w:t>
      </w:r>
      <w:r>
        <w:rPr>
          <w:rFonts w:ascii="Helvetica" w:hAnsi="Helvetica" w:cs="Helvetica"/>
          <w:b/>
          <w:bCs/>
          <w:color w:val="333333"/>
          <w:sz w:val="32"/>
          <w:szCs w:val="32"/>
        </w:rPr>
        <w:t xml:space="preserve"> Fund</w:t>
      </w:r>
    </w:p>
    <w:p>
      <w:pPr>
        <w:jc w:val="both"/>
        <w:rPr>
          <w:rFonts w:hint="eastAsia" w:asciiTheme="minorEastAsia" w:hAnsiTheme="minorEastAsia" w:eastAsiaTheme="minorEastAsia" w:cstheme="minorEastAsia"/>
          <w:color w:val="333333"/>
          <w:sz w:val="22"/>
          <w:szCs w:val="22"/>
          <w:lang w:val="en-US"/>
        </w:rPr>
      </w:pPr>
      <w:r>
        <w:rPr>
          <w:rFonts w:hint="eastAsia" w:asciiTheme="minorEastAsia" w:hAnsiTheme="minorEastAsia" w:eastAsiaTheme="minorEastAsia" w:cstheme="minorEastAsia"/>
          <w:color w:val="333333"/>
          <w:sz w:val="22"/>
          <w:szCs w:val="22"/>
        </w:rPr>
        <w:t xml:space="preserve">For the long-term benefit of its employees, </w:t>
      </w:r>
      <w:r>
        <w:rPr>
          <w:rFonts w:hint="eastAsia" w:asciiTheme="minorEastAsia" w:hAnsiTheme="minorEastAsia" w:eastAsiaTheme="minorEastAsia" w:cstheme="minorEastAsia"/>
          <w:color w:val="333333"/>
          <w:sz w:val="22"/>
          <w:szCs w:val="22"/>
          <w:lang w:val="en-US"/>
        </w:rPr>
        <w:t xml:space="preserve">Mobi Pixels has initiated the </w:t>
      </w:r>
      <w:r>
        <w:rPr>
          <w:rFonts w:hint="eastAsia" w:asciiTheme="minorEastAsia" w:hAnsiTheme="minorEastAsia" w:eastAsiaTheme="minorEastAsia" w:cstheme="minorEastAsia"/>
          <w:b/>
          <w:bCs/>
          <w:color w:val="333333"/>
          <w:sz w:val="22"/>
          <w:szCs w:val="22"/>
          <w:lang w:val="en-US"/>
        </w:rPr>
        <w:t>Monetary Incentive fund</w:t>
      </w:r>
      <w:r>
        <w:rPr>
          <w:rFonts w:hint="eastAsia" w:asciiTheme="minorEastAsia" w:hAnsiTheme="minorEastAsia" w:eastAsiaTheme="minorEastAsia" w:cstheme="minorEastAsia"/>
          <w:color w:val="333333"/>
          <w:sz w:val="22"/>
          <w:szCs w:val="22"/>
          <w:lang w:val="en-US"/>
        </w:rPr>
        <w:t>.</w:t>
      </w:r>
    </w:p>
    <w:p>
      <w:pPr>
        <w:jc w:val="both"/>
        <w:rPr>
          <w:rFonts w:ascii="Helvetica" w:hAnsi="Helvetica" w:cs="Helvetica"/>
          <w:color w:val="333333"/>
          <w:sz w:val="22"/>
          <w:szCs w:val="22"/>
        </w:rPr>
      </w:pPr>
      <w:bookmarkStart w:id="0" w:name="_Toc454520636"/>
      <w:r>
        <w:rPr>
          <w:rFonts w:ascii="Helvetica" w:hAnsi="Helvetica" w:cs="Helvetica"/>
          <w:b/>
          <w:bCs/>
          <w:color w:val="000000"/>
          <w:sz w:val="22"/>
          <w:szCs w:val="22"/>
        </w:rPr>
        <w:br w:type="textWrapping"/>
      </w:r>
      <w:r>
        <w:rPr>
          <w:rFonts w:ascii="Helvetica" w:hAnsi="Helvetica" w:cs="Helvetica"/>
          <w:b/>
          <w:bCs/>
          <w:color w:val="000000"/>
          <w:sz w:val="22"/>
          <w:szCs w:val="22"/>
        </w:rPr>
        <w:br w:type="textWrapping"/>
      </w:r>
      <w:bookmarkEnd w:id="0"/>
    </w:p>
    <w:p>
      <w:pPr>
        <w:jc w:val="both"/>
        <w:rPr>
          <w:rFonts w:ascii="Helvetica" w:hAnsi="Helvetica" w:cs="Helvetica"/>
          <w:color w:val="333333"/>
          <w:sz w:val="32"/>
          <w:szCs w:val="32"/>
        </w:rPr>
      </w:pPr>
      <w:r>
        <w:rPr>
          <w:rFonts w:ascii="Helvetica" w:hAnsi="Helvetica" w:cs="Helvetica"/>
          <w:b/>
          <w:bCs/>
          <w:color w:val="000000"/>
          <w:sz w:val="32"/>
          <w:szCs w:val="32"/>
        </w:rPr>
        <w:t>Terms and Conditions</w:t>
      </w:r>
    </w:p>
    <w:p>
      <w:pPr>
        <w:jc w:val="both"/>
        <w:rPr>
          <w:rFonts w:hint="eastAsia" w:asciiTheme="minorEastAsia" w:hAnsiTheme="minorEastAsia" w:eastAsiaTheme="minorEastAsia" w:cstheme="minorEastAsia"/>
          <w:color w:val="333333"/>
          <w:sz w:val="22"/>
          <w:szCs w:val="22"/>
        </w:rPr>
      </w:pPr>
      <w:r>
        <w:rPr>
          <w:rFonts w:ascii="Helvetica" w:hAnsi="Helvetica" w:cs="Helvetica"/>
          <w:b/>
          <w:bCs/>
          <w:color w:val="000000"/>
          <w:sz w:val="22"/>
          <w:szCs w:val="22"/>
        </w:rPr>
        <w:br w:type="textWrapping"/>
      </w:r>
      <w:r>
        <w:rPr>
          <w:rFonts w:hint="eastAsia" w:asciiTheme="minorEastAsia" w:hAnsiTheme="minorEastAsia" w:eastAsiaTheme="minorEastAsia" w:cstheme="minorEastAsia"/>
          <w:color w:val="333333"/>
          <w:sz w:val="22"/>
          <w:szCs w:val="22"/>
        </w:rPr>
        <w:t>Equivalent Contribution to the Fund from the employee and the employer will start immediately after the successful completion of the employee’s one-year contract after the probation period, as per the employee's salary</w:t>
      </w:r>
      <w:r>
        <w:rPr>
          <w:rFonts w:hint="eastAsia" w:asciiTheme="minorEastAsia" w:hAnsiTheme="minorEastAsia" w:eastAsiaTheme="minorEastAsia" w:cstheme="minorEastAsia"/>
          <w:color w:val="333333"/>
          <w:sz w:val="22"/>
          <w:szCs w:val="22"/>
          <w:lang w:val="en-US"/>
        </w:rPr>
        <w:t>.</w:t>
      </w: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 </w:t>
      </w: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Employees' contributions to M</w:t>
      </w:r>
      <w:r>
        <w:rPr>
          <w:rFonts w:hint="eastAsia" w:asciiTheme="minorEastAsia" w:hAnsiTheme="minorEastAsia" w:eastAsiaTheme="minorEastAsia" w:cstheme="minorEastAsia"/>
          <w:color w:val="333333"/>
          <w:sz w:val="22"/>
          <w:szCs w:val="22"/>
          <w:lang w:val="en-US"/>
        </w:rPr>
        <w:t>I</w:t>
      </w:r>
      <w:r>
        <w:rPr>
          <w:rFonts w:hint="eastAsia" w:asciiTheme="minorEastAsia" w:hAnsiTheme="minorEastAsia" w:eastAsiaTheme="minorEastAsia" w:cstheme="minorEastAsia"/>
          <w:color w:val="333333"/>
          <w:sz w:val="22"/>
          <w:szCs w:val="22"/>
        </w:rPr>
        <w:t>F shall be deducted from employees’ salaries on a monthly basis.</w:t>
      </w: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 </w:t>
      </w: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The maturity period for the provident fund is</w:t>
      </w:r>
      <w:r>
        <w:rPr>
          <w:rFonts w:hint="eastAsia" w:asciiTheme="minorEastAsia" w:hAnsiTheme="minorEastAsia" w:eastAsiaTheme="minorEastAsia" w:cstheme="minorEastAsia"/>
          <w:b/>
          <w:bCs/>
          <w:color w:val="333333"/>
          <w:sz w:val="22"/>
          <w:szCs w:val="22"/>
        </w:rPr>
        <w:t> one year</w:t>
      </w:r>
      <w:r>
        <w:rPr>
          <w:rFonts w:hint="eastAsia" w:asciiTheme="minorEastAsia" w:hAnsiTheme="minorEastAsia" w:eastAsiaTheme="minorEastAsia" w:cstheme="minorEastAsia"/>
          <w:color w:val="333333"/>
          <w:sz w:val="22"/>
          <w:szCs w:val="22"/>
        </w:rPr>
        <w:t>. The period starts from the date an employee is admitted to membership of the fund. Upon maturity, the employee can withdraw the full 100% provident fund (employee plus employer’s contribution) during the services with the company/renewal of the contract. At maturity, if an employee makes the full withdrawal, a new provident fund shall be opened for him. However, if the employee does not make the withdrawal at maturity, the same fund will continue and an employee shall be able to withdraw anytime for the previous year.</w:t>
      </w:r>
    </w:p>
    <w:p>
      <w:pPr>
        <w:jc w:val="both"/>
        <w:rPr>
          <w:rFonts w:hint="eastAsia" w:asciiTheme="minorEastAsia" w:hAnsiTheme="minorEastAsia" w:eastAsiaTheme="minorEastAsia" w:cstheme="minorEastAsia"/>
          <w:color w:val="333333"/>
          <w:sz w:val="22"/>
          <w:szCs w:val="22"/>
        </w:rPr>
      </w:pP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If the employee resigns before completing one year from the date an employee is admitted to membership of the fund and his resignation is approved, an individual will only be entitled to his/her own contribution only.</w:t>
      </w: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 </w:t>
      </w: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 </w:t>
      </w: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If an employee gets terminated on disciplinary grounds, he will not be entitled to any</w:t>
      </w:r>
      <w:r>
        <w:rPr>
          <w:rFonts w:hint="eastAsia" w:asciiTheme="minorEastAsia" w:hAnsiTheme="minorEastAsia" w:eastAsiaTheme="minorEastAsia" w:cstheme="minorEastAsia"/>
          <w:color w:val="333333"/>
          <w:sz w:val="22"/>
          <w:szCs w:val="22"/>
        </w:rPr>
        <w:t> contribution. The disciplinary committee will decide regarding his termination.</w:t>
      </w:r>
    </w:p>
    <w:p>
      <w:pPr>
        <w:jc w:val="both"/>
        <w:rPr>
          <w:rFonts w:hint="eastAsia" w:asciiTheme="minorEastAsia" w:hAnsiTheme="minorEastAsia" w:eastAsiaTheme="minorEastAsia" w:cstheme="minorEastAsia"/>
          <w:color w:val="333333"/>
          <w:sz w:val="22"/>
          <w:szCs w:val="22"/>
        </w:rPr>
      </w:pP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M</w:t>
      </w:r>
      <w:r>
        <w:rPr>
          <w:rFonts w:hint="default" w:asciiTheme="minorEastAsia" w:hAnsiTheme="minorEastAsia" w:eastAsiaTheme="minorEastAsia" w:cstheme="minorEastAsia"/>
          <w:color w:val="333333"/>
          <w:sz w:val="22"/>
          <w:szCs w:val="22"/>
          <w:lang w:val="en-US"/>
        </w:rPr>
        <w:t>I</w:t>
      </w:r>
      <w:r>
        <w:rPr>
          <w:rFonts w:hint="eastAsia" w:asciiTheme="minorEastAsia" w:hAnsiTheme="minorEastAsia" w:eastAsiaTheme="minorEastAsia" w:cstheme="minorEastAsia"/>
          <w:color w:val="333333"/>
          <w:sz w:val="22"/>
          <w:szCs w:val="22"/>
        </w:rPr>
        <w:t>F cannot be withdrawn prior to its maturity period.</w:t>
      </w:r>
    </w:p>
    <w:p>
      <w:pPr>
        <w:jc w:val="both"/>
        <w:rPr>
          <w:rFonts w:hint="eastAsia" w:asciiTheme="minorEastAsia" w:hAnsiTheme="minorEastAsia" w:eastAsiaTheme="minorEastAsia" w:cstheme="minorEastAsia"/>
          <w:color w:val="333333"/>
          <w:sz w:val="22"/>
          <w:szCs w:val="22"/>
        </w:rPr>
      </w:pPr>
      <w:r>
        <w:rPr>
          <w:rFonts w:hint="eastAsia" w:asciiTheme="minorEastAsia" w:hAnsiTheme="minorEastAsia" w:eastAsiaTheme="minorEastAsia" w:cstheme="minorEastAsia"/>
          <w:color w:val="333333"/>
          <w:sz w:val="22"/>
          <w:szCs w:val="22"/>
        </w:rPr>
        <w:t> </w:t>
      </w:r>
    </w:p>
    <w:p>
      <w:pPr>
        <w:rPr>
          <w:rFonts w:ascii="Helvetica" w:hAnsi="Helvetica" w:cs="Helvetica"/>
          <w:color w:val="333333"/>
          <w:sz w:val="18"/>
          <w:szCs w:val="18"/>
        </w:rPr>
      </w:pPr>
    </w:p>
    <w:p>
      <w:r>
        <w:rPr>
          <w:rFonts w:ascii="Helvetica" w:hAnsi="Helvetica" w:cs="Helvetica"/>
          <w:color w:val="333333"/>
          <w:sz w:val="18"/>
          <w:szCs w:val="18"/>
        </w:rPr>
        <w:t xml:space="preserve">. </w:t>
      </w:r>
    </w:p>
    <w:p>
      <w:pPr>
        <w:spacing w:before="100" w:beforeAutospacing="1" w:after="100" w:afterAutospacing="1" w:line="270" w:lineRule="atLeast"/>
        <w:jc w:val="center"/>
        <w:rPr>
          <w:rFonts w:ascii="Helvetica" w:hAnsi="Helvetica" w:cs="Helvetica"/>
          <w:b/>
          <w:bCs/>
          <w:color w:val="0070C0"/>
        </w:rPr>
      </w:pPr>
    </w:p>
    <w:p>
      <w:pPr>
        <w:spacing w:before="100" w:beforeAutospacing="1" w:after="100" w:afterAutospacing="1" w:line="270" w:lineRule="atLeast"/>
        <w:jc w:val="center"/>
        <w:rPr>
          <w:rFonts w:ascii="Helvetica" w:hAnsi="Helvetica" w:cs="Helvetica"/>
          <w:color w:val="333333"/>
          <w:sz w:val="18"/>
          <w:szCs w:val="18"/>
        </w:rPr>
      </w:pPr>
      <w:r>
        <w:rPr>
          <w:rFonts w:ascii="Helvetica" w:hAnsi="Helvetica" w:cs="Helvetica"/>
          <w:b/>
          <w:bCs/>
          <w:color w:val="0070C0"/>
        </w:rPr>
        <w:t>CATEGORIAL</w:t>
      </w:r>
      <w:r>
        <w:rPr>
          <w:rFonts w:hint="default" w:ascii="Helvetica" w:hAnsi="Helvetica" w:cs="Helvetica"/>
          <w:b/>
          <w:bCs/>
          <w:color w:val="0070C0"/>
          <w:lang w:val="en-US"/>
        </w:rPr>
        <w:t xml:space="preserve"> MONETARY INCENTIVE</w:t>
      </w:r>
      <w:r>
        <w:rPr>
          <w:rFonts w:ascii="Helvetica" w:hAnsi="Helvetica" w:cs="Helvetica"/>
          <w:b/>
          <w:bCs/>
          <w:color w:val="0070C0"/>
        </w:rPr>
        <w:t xml:space="preserve"> FUND: EMPLOYEE AND EMPLOYER</w:t>
      </w:r>
      <w:r>
        <w:rPr>
          <w:rFonts w:hint="default" w:ascii="Helvetica" w:hAnsi="Helvetica" w:cs="Helvetica"/>
          <w:b/>
          <w:bCs/>
          <w:color w:val="0070C0"/>
          <w:lang w:val="en-US"/>
        </w:rPr>
        <w:t>’S</w:t>
      </w:r>
      <w:r>
        <w:rPr>
          <w:rFonts w:ascii="Helvetica" w:hAnsi="Helvetica" w:cs="Helvetica"/>
          <w:b/>
          <w:bCs/>
          <w:color w:val="0070C0"/>
        </w:rPr>
        <w:t xml:space="preserve"> EQUIVALENT MONTHLY CONTRIBUTION</w:t>
      </w:r>
    </w:p>
    <w:tbl>
      <w:tblPr>
        <w:tblStyle w:val="4"/>
        <w:tblW w:w="7275" w:type="dxa"/>
        <w:jc w:val="center"/>
        <w:tblLayout w:type="autofit"/>
        <w:tblCellMar>
          <w:top w:w="0" w:type="dxa"/>
          <w:left w:w="0" w:type="dxa"/>
          <w:bottom w:w="0" w:type="dxa"/>
          <w:right w:w="0" w:type="dxa"/>
        </w:tblCellMar>
      </w:tblPr>
      <w:tblGrid>
        <w:gridCol w:w="1875"/>
        <w:gridCol w:w="1800"/>
        <w:gridCol w:w="1800"/>
        <w:gridCol w:w="1800"/>
      </w:tblGrid>
      <w:tr>
        <w:tblPrEx>
          <w:tblCellMar>
            <w:top w:w="0" w:type="dxa"/>
            <w:left w:w="0" w:type="dxa"/>
            <w:bottom w:w="0" w:type="dxa"/>
            <w:right w:w="0" w:type="dxa"/>
          </w:tblCellMar>
        </w:tblPrEx>
        <w:trPr>
          <w:trHeight w:val="330" w:hRule="atLeast"/>
          <w:jc w:val="center"/>
        </w:trPr>
        <w:tc>
          <w:tcPr>
            <w:tcW w:w="1875" w:type="dxa"/>
            <w:tcBorders>
              <w:top w:val="single" w:color="auto" w:sz="12" w:space="0"/>
              <w:left w:val="single" w:color="auto" w:sz="12" w:space="0"/>
              <w:bottom w:val="single" w:color="auto" w:sz="12" w:space="0"/>
              <w:right w:val="single" w:color="auto" w:sz="12" w:space="0"/>
            </w:tcBorders>
            <w:shd w:val="clear" w:color="auto" w:fill="B4C6E7"/>
            <w:tcMar>
              <w:top w:w="0" w:type="dxa"/>
              <w:left w:w="108" w:type="dxa"/>
              <w:bottom w:w="0" w:type="dxa"/>
              <w:right w:w="108" w:type="dxa"/>
            </w:tcMar>
            <w:vAlign w:val="center"/>
          </w:tcPr>
          <w:p>
            <w:pPr>
              <w:spacing w:before="100" w:beforeAutospacing="1" w:after="100" w:afterAutospacing="1"/>
              <w:jc w:val="center"/>
              <w:rPr>
                <w:b/>
                <w:bCs/>
                <w:sz w:val="18"/>
                <w:szCs w:val="18"/>
              </w:rPr>
            </w:pPr>
            <w:r>
              <w:rPr>
                <w:b/>
                <w:bCs/>
                <w:sz w:val="20"/>
                <w:szCs w:val="20"/>
              </w:rPr>
              <w:t>Salary Bracket : 1</w:t>
            </w:r>
          </w:p>
        </w:tc>
        <w:tc>
          <w:tcPr>
            <w:tcW w:w="1800" w:type="dxa"/>
            <w:tcBorders>
              <w:top w:val="single" w:color="auto" w:sz="12" w:space="0"/>
              <w:left w:val="nil"/>
              <w:bottom w:val="single" w:color="auto" w:sz="12" w:space="0"/>
              <w:right w:val="single" w:color="auto" w:sz="12" w:space="0"/>
            </w:tcBorders>
            <w:shd w:val="clear" w:color="auto" w:fill="B4C6E7"/>
            <w:tcMar>
              <w:top w:w="0" w:type="dxa"/>
              <w:left w:w="108" w:type="dxa"/>
              <w:bottom w:w="0" w:type="dxa"/>
              <w:right w:w="108" w:type="dxa"/>
            </w:tcMar>
            <w:vAlign w:val="center"/>
          </w:tcPr>
          <w:p>
            <w:pPr>
              <w:spacing w:before="100" w:beforeAutospacing="1" w:after="100" w:afterAutospacing="1"/>
              <w:jc w:val="center"/>
              <w:rPr>
                <w:b/>
                <w:bCs/>
                <w:sz w:val="18"/>
                <w:szCs w:val="18"/>
              </w:rPr>
            </w:pPr>
            <w:r>
              <w:rPr>
                <w:b/>
                <w:bCs/>
                <w:sz w:val="20"/>
                <w:szCs w:val="20"/>
              </w:rPr>
              <w:t>Salary Bracket : 2</w:t>
            </w:r>
          </w:p>
        </w:tc>
        <w:tc>
          <w:tcPr>
            <w:tcW w:w="1800" w:type="dxa"/>
            <w:tcBorders>
              <w:top w:val="single" w:color="auto" w:sz="12" w:space="0"/>
              <w:left w:val="nil"/>
              <w:bottom w:val="single" w:color="auto" w:sz="12" w:space="0"/>
              <w:right w:val="single" w:color="auto" w:sz="12" w:space="0"/>
            </w:tcBorders>
            <w:shd w:val="clear" w:color="auto" w:fill="B4C6E7"/>
            <w:tcMar>
              <w:top w:w="0" w:type="dxa"/>
              <w:left w:w="108" w:type="dxa"/>
              <w:bottom w:w="0" w:type="dxa"/>
              <w:right w:w="108" w:type="dxa"/>
            </w:tcMar>
            <w:vAlign w:val="center"/>
          </w:tcPr>
          <w:p>
            <w:pPr>
              <w:spacing w:before="100" w:beforeAutospacing="1" w:after="100" w:afterAutospacing="1"/>
              <w:rPr>
                <w:b/>
                <w:bCs/>
                <w:sz w:val="18"/>
                <w:szCs w:val="18"/>
              </w:rPr>
            </w:pPr>
            <w:r>
              <w:rPr>
                <w:b/>
                <w:bCs/>
                <w:sz w:val="20"/>
                <w:szCs w:val="20"/>
              </w:rPr>
              <w:t>Salary Bracket : 3</w:t>
            </w:r>
          </w:p>
        </w:tc>
        <w:tc>
          <w:tcPr>
            <w:tcW w:w="1800" w:type="dxa"/>
            <w:tcBorders>
              <w:top w:val="single" w:color="auto" w:sz="12" w:space="0"/>
              <w:left w:val="nil"/>
              <w:bottom w:val="single" w:color="auto" w:sz="12" w:space="0"/>
              <w:right w:val="single" w:color="auto" w:sz="12" w:space="0"/>
            </w:tcBorders>
            <w:shd w:val="clear" w:color="auto" w:fill="B4C6E7"/>
            <w:tcMar>
              <w:top w:w="0" w:type="dxa"/>
              <w:left w:w="108" w:type="dxa"/>
              <w:bottom w:w="0" w:type="dxa"/>
              <w:right w:w="108" w:type="dxa"/>
            </w:tcMar>
            <w:vAlign w:val="center"/>
          </w:tcPr>
          <w:p>
            <w:pPr>
              <w:spacing w:before="100" w:beforeAutospacing="1" w:after="100" w:afterAutospacing="1"/>
              <w:rPr>
                <w:rFonts w:hint="default"/>
                <w:b/>
                <w:bCs/>
                <w:sz w:val="20"/>
                <w:szCs w:val="20"/>
                <w:lang w:val="en-US"/>
              </w:rPr>
            </w:pPr>
            <w:r>
              <w:rPr>
                <w:b/>
                <w:bCs/>
                <w:sz w:val="20"/>
                <w:szCs w:val="20"/>
              </w:rPr>
              <w:t xml:space="preserve">Salary Bracket : </w:t>
            </w:r>
            <w:r>
              <w:rPr>
                <w:rFonts w:hint="default"/>
                <w:b/>
                <w:bCs/>
                <w:sz w:val="20"/>
                <w:szCs w:val="20"/>
                <w:lang w:val="en-US"/>
              </w:rPr>
              <w:t>4</w:t>
            </w:r>
          </w:p>
        </w:tc>
      </w:tr>
      <w:tr>
        <w:tblPrEx>
          <w:tblCellMar>
            <w:top w:w="0" w:type="dxa"/>
            <w:left w:w="0" w:type="dxa"/>
            <w:bottom w:w="0" w:type="dxa"/>
            <w:right w:w="0" w:type="dxa"/>
          </w:tblCellMar>
        </w:tblPrEx>
        <w:trPr>
          <w:trHeight w:val="526" w:hRule="atLeast"/>
          <w:jc w:val="center"/>
        </w:trPr>
        <w:tc>
          <w:tcPr>
            <w:tcW w:w="1875" w:type="dxa"/>
            <w:tcBorders>
              <w:top w:val="nil"/>
              <w:left w:val="single" w:color="auto" w:sz="12" w:space="0"/>
              <w:bottom w:val="nil"/>
              <w:right w:val="single" w:color="auto" w:sz="12" w:space="0"/>
            </w:tcBorders>
            <w:shd w:val="clear" w:color="auto" w:fill="auto"/>
            <w:tcMar>
              <w:top w:w="0" w:type="dxa"/>
              <w:left w:w="108" w:type="dxa"/>
              <w:bottom w:w="0" w:type="dxa"/>
              <w:right w:w="108" w:type="dxa"/>
            </w:tcMar>
            <w:vAlign w:val="center"/>
          </w:tcPr>
          <w:p>
            <w:pPr>
              <w:spacing w:before="100" w:beforeAutospacing="1" w:after="100" w:afterAutospacing="1"/>
              <w:jc w:val="center"/>
              <w:rPr>
                <w:rFonts w:hint="default"/>
                <w:b/>
                <w:bCs/>
                <w:sz w:val="18"/>
                <w:szCs w:val="18"/>
                <w:lang w:val="en-US"/>
              </w:rPr>
            </w:pPr>
            <w:r>
              <w:rPr>
                <w:rFonts w:hint="default"/>
                <w:b/>
                <w:bCs/>
                <w:sz w:val="18"/>
                <w:szCs w:val="18"/>
                <w:lang w:val="en-US"/>
              </w:rPr>
              <w:t>0-60K</w:t>
            </w:r>
          </w:p>
        </w:tc>
        <w:tc>
          <w:tcPr>
            <w:tcW w:w="1800" w:type="dxa"/>
            <w:tcBorders>
              <w:top w:val="nil"/>
              <w:left w:val="nil"/>
              <w:bottom w:val="nil"/>
              <w:right w:val="single" w:color="auto" w:sz="12" w:space="0"/>
            </w:tcBorders>
            <w:shd w:val="clear" w:color="auto" w:fill="auto"/>
            <w:tcMar>
              <w:top w:w="0" w:type="dxa"/>
              <w:left w:w="108" w:type="dxa"/>
              <w:bottom w:w="0" w:type="dxa"/>
              <w:right w:w="108" w:type="dxa"/>
            </w:tcMar>
            <w:vAlign w:val="center"/>
          </w:tcPr>
          <w:p>
            <w:pPr>
              <w:spacing w:before="100" w:beforeAutospacing="1" w:after="100" w:afterAutospacing="1"/>
              <w:jc w:val="center"/>
              <w:rPr>
                <w:rFonts w:hint="default"/>
                <w:b/>
                <w:bCs/>
                <w:sz w:val="18"/>
                <w:szCs w:val="18"/>
                <w:lang w:val="en-US"/>
              </w:rPr>
            </w:pPr>
            <w:r>
              <w:rPr>
                <w:rFonts w:hint="default"/>
                <w:b/>
                <w:bCs/>
                <w:sz w:val="18"/>
                <w:szCs w:val="18"/>
                <w:lang w:val="en-US"/>
              </w:rPr>
              <w:t>60K-100K</w:t>
            </w:r>
          </w:p>
        </w:tc>
        <w:tc>
          <w:tcPr>
            <w:tcW w:w="1800" w:type="dxa"/>
            <w:tcBorders>
              <w:top w:val="nil"/>
              <w:left w:val="nil"/>
              <w:bottom w:val="nil"/>
              <w:right w:val="single" w:color="auto" w:sz="12" w:space="0"/>
            </w:tcBorders>
            <w:shd w:val="clear" w:color="auto" w:fill="auto"/>
            <w:tcMar>
              <w:top w:w="0" w:type="dxa"/>
              <w:left w:w="108" w:type="dxa"/>
              <w:bottom w:w="0" w:type="dxa"/>
              <w:right w:w="108" w:type="dxa"/>
            </w:tcMar>
            <w:vAlign w:val="center"/>
          </w:tcPr>
          <w:p>
            <w:pPr>
              <w:spacing w:before="100" w:beforeAutospacing="1" w:after="100" w:afterAutospacing="1"/>
              <w:jc w:val="center"/>
              <w:rPr>
                <w:rFonts w:hint="default"/>
                <w:b/>
                <w:bCs/>
                <w:sz w:val="18"/>
                <w:szCs w:val="18"/>
                <w:lang w:val="en-US"/>
              </w:rPr>
            </w:pPr>
            <w:r>
              <w:rPr>
                <w:rFonts w:hint="default"/>
                <w:b/>
                <w:bCs/>
                <w:sz w:val="18"/>
                <w:szCs w:val="18"/>
                <w:lang w:val="en-US"/>
              </w:rPr>
              <w:t>100K-200K</w:t>
            </w:r>
          </w:p>
        </w:tc>
        <w:tc>
          <w:tcPr>
            <w:tcW w:w="1800" w:type="dxa"/>
            <w:tcBorders>
              <w:top w:val="nil"/>
              <w:left w:val="nil"/>
              <w:bottom w:val="nil"/>
              <w:right w:val="single" w:color="auto" w:sz="12" w:space="0"/>
            </w:tcBorders>
            <w:shd w:val="clear" w:color="auto" w:fill="auto"/>
            <w:tcMar>
              <w:top w:w="0" w:type="dxa"/>
              <w:left w:w="108" w:type="dxa"/>
              <w:bottom w:w="0" w:type="dxa"/>
              <w:right w:w="108" w:type="dxa"/>
            </w:tcMar>
            <w:vAlign w:val="center"/>
          </w:tcPr>
          <w:p>
            <w:pPr>
              <w:spacing w:before="100" w:beforeAutospacing="1" w:after="100" w:afterAutospacing="1"/>
              <w:jc w:val="center"/>
              <w:rPr>
                <w:rFonts w:hint="default"/>
                <w:b/>
                <w:bCs/>
                <w:sz w:val="18"/>
                <w:szCs w:val="18"/>
                <w:lang w:val="en-US"/>
              </w:rPr>
            </w:pPr>
            <w:r>
              <w:rPr>
                <w:rFonts w:hint="default"/>
                <w:b/>
                <w:bCs/>
                <w:sz w:val="18"/>
                <w:szCs w:val="18"/>
                <w:lang w:val="en-US"/>
              </w:rPr>
              <w:t>200K-300K</w:t>
            </w:r>
          </w:p>
        </w:tc>
      </w:tr>
      <w:tr>
        <w:tblPrEx>
          <w:tblCellMar>
            <w:top w:w="0" w:type="dxa"/>
            <w:left w:w="0" w:type="dxa"/>
            <w:bottom w:w="0" w:type="dxa"/>
            <w:right w:w="0" w:type="dxa"/>
          </w:tblCellMar>
        </w:tblPrEx>
        <w:trPr>
          <w:trHeight w:val="818" w:hRule="atLeast"/>
          <w:jc w:val="center"/>
        </w:trPr>
        <w:tc>
          <w:tcPr>
            <w:tcW w:w="1875" w:type="dxa"/>
            <w:tcBorders>
              <w:top w:val="nil"/>
              <w:left w:val="single" w:color="auto" w:sz="12" w:space="0"/>
              <w:bottom w:val="single" w:color="auto" w:sz="12" w:space="0"/>
              <w:right w:val="single" w:color="auto" w:sz="12" w:space="0"/>
            </w:tcBorders>
            <w:shd w:val="clear" w:color="auto" w:fill="auto"/>
            <w:tcMar>
              <w:top w:w="0" w:type="dxa"/>
              <w:left w:w="108" w:type="dxa"/>
              <w:bottom w:w="0" w:type="dxa"/>
              <w:right w:w="108" w:type="dxa"/>
            </w:tcMar>
            <w:vAlign w:val="center"/>
          </w:tcPr>
          <w:p>
            <w:pPr>
              <w:spacing w:before="100" w:beforeAutospacing="1" w:after="100" w:afterAutospacing="1"/>
              <w:jc w:val="center"/>
              <w:rPr>
                <w:rFonts w:hint="default"/>
                <w:b/>
                <w:bCs/>
                <w:sz w:val="18"/>
                <w:szCs w:val="18"/>
                <w:lang w:val="en-US"/>
              </w:rPr>
            </w:pPr>
            <w:r>
              <w:rPr>
                <w:rFonts w:hint="default"/>
                <w:b/>
                <w:bCs/>
                <w:sz w:val="18"/>
                <w:szCs w:val="18"/>
                <w:lang w:val="en-US"/>
              </w:rPr>
              <w:t>2.5 %</w:t>
            </w:r>
          </w:p>
        </w:tc>
        <w:tc>
          <w:tcPr>
            <w:tcW w:w="1800" w:type="dxa"/>
            <w:tcBorders>
              <w:top w:val="nil"/>
              <w:left w:val="nil"/>
              <w:bottom w:val="single" w:color="auto" w:sz="12" w:space="0"/>
              <w:right w:val="single" w:color="auto" w:sz="12" w:space="0"/>
            </w:tcBorders>
            <w:shd w:val="clear" w:color="auto" w:fill="auto"/>
            <w:tcMar>
              <w:top w:w="0" w:type="dxa"/>
              <w:left w:w="108" w:type="dxa"/>
              <w:bottom w:w="0" w:type="dxa"/>
              <w:right w:w="108" w:type="dxa"/>
            </w:tcMar>
            <w:vAlign w:val="center"/>
          </w:tcPr>
          <w:p>
            <w:pPr>
              <w:spacing w:before="100" w:beforeAutospacing="1" w:after="100" w:afterAutospacing="1"/>
              <w:jc w:val="center"/>
              <w:rPr>
                <w:b/>
                <w:bCs/>
                <w:sz w:val="18"/>
                <w:szCs w:val="18"/>
              </w:rPr>
            </w:pPr>
            <w:r>
              <w:rPr>
                <w:rFonts w:hint="default"/>
                <w:b/>
                <w:bCs/>
                <w:sz w:val="18"/>
                <w:szCs w:val="18"/>
                <w:lang w:val="en-US"/>
              </w:rPr>
              <w:t>3.5 %</w:t>
            </w:r>
          </w:p>
        </w:tc>
        <w:tc>
          <w:tcPr>
            <w:tcW w:w="1800" w:type="dxa"/>
            <w:tcBorders>
              <w:top w:val="nil"/>
              <w:left w:val="nil"/>
              <w:bottom w:val="single" w:color="auto" w:sz="12" w:space="0"/>
              <w:right w:val="single" w:color="auto" w:sz="12" w:space="0"/>
            </w:tcBorders>
            <w:shd w:val="clear" w:color="auto" w:fill="auto"/>
            <w:tcMar>
              <w:top w:w="0" w:type="dxa"/>
              <w:left w:w="108" w:type="dxa"/>
              <w:bottom w:w="0" w:type="dxa"/>
              <w:right w:w="108" w:type="dxa"/>
            </w:tcMar>
            <w:vAlign w:val="center"/>
          </w:tcPr>
          <w:p>
            <w:pPr>
              <w:spacing w:before="100" w:beforeAutospacing="1" w:after="100" w:afterAutospacing="1"/>
              <w:jc w:val="center"/>
              <w:rPr>
                <w:b/>
                <w:bCs/>
                <w:sz w:val="18"/>
                <w:szCs w:val="18"/>
              </w:rPr>
            </w:pPr>
            <w:r>
              <w:rPr>
                <w:rFonts w:hint="default"/>
                <w:b/>
                <w:bCs/>
                <w:sz w:val="18"/>
                <w:szCs w:val="18"/>
                <w:lang w:val="en-US"/>
              </w:rPr>
              <w:t>5 %</w:t>
            </w:r>
          </w:p>
        </w:tc>
        <w:tc>
          <w:tcPr>
            <w:tcW w:w="1800" w:type="dxa"/>
            <w:tcBorders>
              <w:top w:val="nil"/>
              <w:left w:val="nil"/>
              <w:bottom w:val="single" w:color="auto" w:sz="12" w:space="0"/>
              <w:right w:val="single" w:color="auto" w:sz="12" w:space="0"/>
            </w:tcBorders>
            <w:shd w:val="clear" w:color="auto" w:fill="auto"/>
            <w:tcMar>
              <w:top w:w="0" w:type="dxa"/>
              <w:left w:w="108" w:type="dxa"/>
              <w:bottom w:w="0" w:type="dxa"/>
              <w:right w:w="108" w:type="dxa"/>
            </w:tcMar>
            <w:vAlign w:val="center"/>
          </w:tcPr>
          <w:p>
            <w:pPr>
              <w:spacing w:before="100" w:beforeAutospacing="1" w:after="100" w:afterAutospacing="1"/>
              <w:jc w:val="center"/>
              <w:rPr>
                <w:rFonts w:hint="default"/>
                <w:b/>
                <w:bCs/>
                <w:sz w:val="18"/>
                <w:szCs w:val="18"/>
                <w:lang w:val="en-US"/>
              </w:rPr>
            </w:pPr>
            <w:r>
              <w:rPr>
                <w:rFonts w:hint="default"/>
                <w:b/>
                <w:bCs/>
                <w:sz w:val="18"/>
                <w:szCs w:val="18"/>
                <w:lang w:val="en-US"/>
              </w:rPr>
              <w:t>6 %</w:t>
            </w:r>
            <w:bookmarkStart w:id="1" w:name="_GoBack"/>
            <w:bookmarkEnd w:id="1"/>
          </w:p>
        </w:tc>
      </w:tr>
    </w:tbl>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D8"/>
    <w:rsid w:val="00032E46"/>
    <w:rsid w:val="00107728"/>
    <w:rsid w:val="00136B96"/>
    <w:rsid w:val="00197910"/>
    <w:rsid w:val="00317C31"/>
    <w:rsid w:val="003520BB"/>
    <w:rsid w:val="004E2117"/>
    <w:rsid w:val="005B55E0"/>
    <w:rsid w:val="005B6931"/>
    <w:rsid w:val="005D6187"/>
    <w:rsid w:val="008342A0"/>
    <w:rsid w:val="00877340"/>
    <w:rsid w:val="00893F3C"/>
    <w:rsid w:val="008D71B2"/>
    <w:rsid w:val="009B74C6"/>
    <w:rsid w:val="00A701D8"/>
    <w:rsid w:val="00C2599D"/>
    <w:rsid w:val="00C867AB"/>
    <w:rsid w:val="00CC4ED6"/>
    <w:rsid w:val="00D77EDA"/>
    <w:rsid w:val="00DD4FEA"/>
    <w:rsid w:val="00EE1DDF"/>
    <w:rsid w:val="3677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6"/>
    <w:unhideWhenUsed/>
    <w:qFormat/>
    <w:uiPriority w:val="99"/>
    <w:pPr>
      <w:keepNext/>
      <w:outlineLvl w:val="1"/>
    </w:pPr>
    <w:rPr>
      <w:b/>
      <w:bC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uiPriority w:val="99"/>
    <w:rPr>
      <w:rFonts w:ascii="Segoe UI" w:hAnsi="Segoe UI" w:cs="Segoe UI"/>
      <w:sz w:val="18"/>
      <w:szCs w:val="18"/>
    </w:rPr>
  </w:style>
  <w:style w:type="character" w:customStyle="1" w:styleId="6">
    <w:name w:val="Heading 2 Char"/>
    <w:basedOn w:val="3"/>
    <w:link w:val="2"/>
    <w:uiPriority w:val="99"/>
    <w:rPr>
      <w:rFonts w:ascii="Times New Roman" w:hAnsi="Times New Roman" w:eastAsia="Times New Roman" w:cs="Times New Roman"/>
      <w:b/>
      <w:bCs/>
      <w:sz w:val="24"/>
      <w:szCs w:val="24"/>
    </w:rPr>
  </w:style>
  <w:style w:type="paragraph" w:styleId="7">
    <w:name w:val="List Paragraph"/>
    <w:basedOn w:val="1"/>
    <w:qFormat/>
    <w:uiPriority w:val="34"/>
    <w:pPr>
      <w:spacing w:after="200" w:line="276" w:lineRule="auto"/>
      <w:ind w:left="720"/>
    </w:pPr>
    <w:rPr>
      <w:rFonts w:ascii="Calibri" w:hAnsi="Calibri" w:eastAsiaTheme="minorHAnsi"/>
      <w:sz w:val="22"/>
      <w:szCs w:val="22"/>
    </w:rPr>
  </w:style>
  <w:style w:type="character" w:customStyle="1" w:styleId="8">
    <w:name w:val="Balloon Text Char"/>
    <w:basedOn w:val="3"/>
    <w:link w:val="5"/>
    <w:semiHidden/>
    <w:qFormat/>
    <w:uiPriority w:val="99"/>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300</Words>
  <Characters>1566</Characters>
  <Lines>50</Lines>
  <Paragraphs>22</Paragraphs>
  <TotalTime>1</TotalTime>
  <ScaleCrop>false</ScaleCrop>
  <LinksUpToDate>false</LinksUpToDate>
  <CharactersWithSpaces>1844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2023-07-25T10:46:00Z</dcterms:created>
  <dc:creator>HR</dc:creator>
  <cp:lastModifiedBy>Momina Mirza</cp:lastModifiedBy>
  <cp:lastPrinted>2023-02-28T12:16:00Z</cp:lastPrinted>
  <dcterms:modified xsi:type="dcterms:W3CDTF">2023-08-03T09:20:17Z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8ae8364f-6ffe-474e-810d-82fa85e6cb10</vt:lpwstr>
  </property>
  <property fmtid="{D5CDD505-2E9C-101B-9397-08002B2CF9AE}" pid="3" name="KSOProductBuildVer">
    <vt:lpwstr>1033-11.2.0.11537</vt:lpwstr>
  </property>
  <property fmtid="{D5CDD505-2E9C-101B-9397-08002B2CF9AE}" pid="4" name="ICV">
    <vt:lpwstr>32840198F7F4453BBE2ABFA76B646BDD</vt:lpwstr>
  </property>
</Properties>
</file>