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SKILLS.md – Guide d'utilisation pour IA (version enrichie)</w:t>
      </w:r>
    </w:p>
    <w:p>
      <w:pPr>
        <w:pStyle w:val="Heading2"/>
      </w:pPr>
      <w:r>
        <w:t>Purpose</w:t>
      </w:r>
    </w:p>
    <w:p>
      <w:r>
        <w:t>This knowledge package is an offline, structured corpus of all official n8n built‑in nodes as documented on docs.n8n.io. It is designed for AI agents building and reasoning about workflows, human operators who need a reliable reference, and integrators who want a complete catalogue of nodes. The package is optimized for node discovery, recommendation, disambiguation, retrieval‑augmented generation (RAG), workflow planning, enterprise automation, and onboarding.</w:t>
      </w:r>
    </w:p>
    <w:p>
      <w:pPr>
        <w:pStyle w:val="Heading2"/>
      </w:pPr>
      <w:r>
        <w:t>Scope and Coverage</w:t>
      </w:r>
    </w:p>
    <w:p>
      <w:r>
        <w:t>The corpus covers all core, action, trigger and cluster (AI/LangChain) nodes documented in the official n8n documentation, including both cluster root and sub-nodes. Community and third‑party nodes are excluded by default. Each node is represented by a JSON and Markdown record, indexed by multiple dimensions (name, family, type, capability, service, tag) and collected at a specific snapshot in time. The package does not guarantee real‑time freshness after the build date; the AI must consult freshness metadata before making strong claims.</w:t>
      </w:r>
    </w:p>
    <w:p>
      <w:pPr>
        <w:pStyle w:val="Heading2"/>
      </w:pPr>
      <w:r>
        <w:t>Enterprise Automation Principles</w:t>
      </w:r>
    </w:p>
    <w:p>
      <w:r>
        <w:t>When using this package to generate or recommend workflows, follow enterprise‑grade automation practices. Before automating, map out the existing process: identify goals, tasks, dependencies, inputs and outputs. High‑volume, rule‑based processes are good candidates for automation, whereas tasks requiring creativity or human judgement should remain manual【548874395881227†L105-L116】【548874395881227†L144-L165】. Implement automation in phases: start with simple tasks, then integrate cross‑system processes, and finally introduce advanced AI where appropriate【548874395881227†L167-L187】. Always design for exceptions: define how errors, missing data and edge cases will be handled, and include clear escalation paths【548874395881227†L190-L206】. Ensure data quality and consistency before automating; messy inputs cause bottlenecks and should be cleaned first【548874395881227†L105-L116】. Continuously monitor, evaluate and optimize workflows based on performance metrics【827687559372401†L160-L175】.</w:t>
      </w:r>
    </w:p>
    <w:p>
      <w:pPr>
        <w:pStyle w:val="Heading2"/>
      </w:pPr>
      <w:r>
        <w:t>Scalability and Performance</w:t>
      </w:r>
    </w:p>
    <w:p>
      <w:r>
        <w:t>To handle large datasets (e.g. 10 000 items) and high throughput, design workflows that scale horizontally. Use parallel and sequential workflows appropriately: sequential flows enforce strict order, while parallel flows allow tasks to execute concurrently, improving speed and resource utilization【827687559372401†L229-L257】. Break large lists into manageable batches with the Split In Batches node and use loops judiciously to avoid exceeding memory limits. Combine Merge, Wait and Exit Error nodes to control concurrency and handle rate limits. When available, prefer native operations (e.g. Google Sheets append/update) over generic HTTP calls for better performance.</w:t>
      </w:r>
    </w:p>
    <w:p>
      <w:r>
        <w:t>For AI/LangChain clusters, remember that root nodes orchestrate sub‑components. Always connect required sub‑nodes (language models, tools, memory, retrievers, etc.) to the root. Do not run a cluster sub‑node alone; it requires a parent root. When building multi‑agent workflows, modularize subflows via the Execute Workflow node to improve maintainability and reuse across projects.</w:t>
      </w:r>
    </w:p>
    <w:p>
      <w:pPr>
        <w:pStyle w:val="Heading2"/>
      </w:pPr>
      <w:r>
        <w:t>Workflow Design Guidelines</w:t>
      </w:r>
    </w:p>
    <w:p>
      <w:pPr>
        <w:pStyle w:val="Heading3"/>
      </w:pPr>
      <w:r>
        <w:t>Node Selection and Disambiguation</w:t>
      </w:r>
    </w:p>
    <w:p>
      <w:r>
        <w:t>The AI must select nodes according to the package taxonomy. Prefer specialized app nodes over generic HTTP Request when the desired operation is supported. For unsupported operations or services without a dedicated node, HTTP Request may be used as a fallback only if explicitly suggested by the documentation【548874395881227†L167-L187】. Distinguish action vs trigger nodes, app vs core nodes, and cluster root vs cluster sub‑nodes; they are not interchangeable. When multiple nodes satisfy the query, rank them by best fit, state why, propose a second best alternative, and mention any fallbacks. Always consult map.json first, then node.json for the selected node, then node.md for narrative context.</w:t>
      </w:r>
    </w:p>
    <w:p>
      <w:pPr>
        <w:pStyle w:val="Heading3"/>
      </w:pPr>
      <w:r>
        <w:t>Process Mapping and Data Quality</w:t>
      </w:r>
    </w:p>
    <w:p>
      <w:r>
        <w:t>Before automating, conduct workflow mapping and documentation【827687559372401†L317-L334】. Build a flowchart or process diagram to visualise each step and identify bottlenecks. Collect data on time, resources and error rates, and perform gap analysis against desired performance. Clean and structure your input data to avoid propagating errors in automated workflows. Include validation steps in your workflow when external data is ingested.</w:t>
      </w:r>
    </w:p>
    <w:p>
      <w:pPr>
        <w:pStyle w:val="Heading3"/>
      </w:pPr>
      <w:r>
        <w:t>Error Handling and Resilience</w:t>
      </w:r>
    </w:p>
    <w:p>
      <w:r>
        <w:t>Robust workflows anticipate failures. Use the Error Trigger or Catch node to capture errors and route them to compensation logic or human review. Implement retry logic for transient errors, respect API rate limits, and design idempotent operations where possible. Provide clear escalation paths for tasks that require manual intervention. For cluster workflows, handle AI model exceptions separately and include fallback prompts or safe defaults.</w:t>
      </w:r>
    </w:p>
    <w:p>
      <w:pPr>
        <w:pStyle w:val="Heading3"/>
      </w:pPr>
      <w:r>
        <w:t>Maintenance and Freshness</w:t>
      </w:r>
    </w:p>
    <w:p>
      <w:r>
        <w:t>The AI must check package‑level metadata (build_date, documentation_snapshot_date) and node‑level metadata (last_verified_at, status) before making claims. If the data is older than six months or marked as partial coverage, mention that the information may be outdated. Regularly refresh the package using the autocollector to incorporate new nodes and updates. After each refresh, review summary statistics in stats.json and update the SKILLS.md accordingly.</w:t>
      </w:r>
    </w:p>
    <w:p>
      <w:pPr>
        <w:pStyle w:val="Heading2"/>
      </w:pPr>
      <w:r>
        <w:t>Retrieval Strategy</w:t>
      </w:r>
    </w:p>
    <w:p>
      <w:r>
        <w:t>When receiving a query, the AI should follow this order of operations:</w:t>
        <w:br/>
        <w:t>1. Consult map.json to resolve the node id via id/slug/display_name/alias.</w:t>
        <w:br/>
        <w:t>2. Read node.json to get structured information: summary, sections, operations, credentials and metadata.</w:t>
        <w:br/>
        <w:t>3. Use node.md to enrich explanations and provide human‑friendly prose.</w:t>
        <w:br/>
        <w:t>4. Use indexes (by-category, by-name, by-service, by-type, by-capability) to answer listing requests without enumerating directories.</w:t>
        <w:br/>
        <w:t>5. Use auxiliary/crosswalks.json for synonyms, deprecated names and aliases.</w:t>
        <w:br/>
        <w:t>6. Use sources.json and stats.json for provenance, coverage and freshness.</w:t>
        <w:br/>
        <w:t>If a suitable node is not found, state clearly that it is not present in the package and do not invent nodes.</w:t>
      </w:r>
    </w:p>
    <w:p>
      <w:pPr>
        <w:pStyle w:val="Heading2"/>
      </w:pPr>
      <w:r>
        <w:t>Answer Patterns</w:t>
      </w:r>
    </w:p>
    <w:p>
      <w:r>
        <w:t>For ‘What is this node?’ questions, provide: a one‑line summary, what it does, when to use it, required credentials, operations/parameters, common pitfalls, and related nodes.</w:t>
        <w:br/>
        <w:t>For ‘Which node should I use?’ questions, provide: the best‑fit recommendation with justification, a second‑best alternative, fallback guidance (e.g. HTTP Request) if necessary, and any disambiguation notes.</w:t>
        <w:br/>
        <w:t>For ‘Compare these nodes’ questions, compare families, purposes, execution roles, credentials, operations/capabilities, limitations and best‑fit scenarios.</w:t>
        <w:br/>
        <w:t>For enterprise workflow design questions, include process mapping, data quality considerations, exception handling strategies and performance guidelines.</w:t>
      </w:r>
    </w:p>
    <w:p>
      <w:pPr>
        <w:pStyle w:val="Heading2"/>
      </w:pPr>
      <w:r>
        <w:t>Limits and Responsibilities</w:t>
      </w:r>
    </w:p>
    <w:p>
      <w:r>
        <w:t>This package does not include community nodes, marketplace nodes or custom code. Do not claim that a node exists if it is absent from map.json. Do not infer operations, parameters or credentials that are not documented. Distinguish between action, trigger, core and cluster nodes and treat them according to their roles. Do not run cluster sub‑nodes as stand‑alone steps: they require a compatible root node.</w:t>
        <w:br/>
        <w:t>The AI must respect all metadata fields (status, version_notes, last_verified_at, coverage_status) and avoid overstating completeness. When in doubt, signal uncertainty and suggest verifying on the live n8n documentation.</w:t>
      </w:r>
    </w:p>
    <w:p>
      <w:pPr>
        <w:pStyle w:val="Heading2"/>
      </w:pPr>
      <w:r>
        <w:t>Practical Examples</w:t>
      </w:r>
    </w:p>
    <w:p>
      <w:r>
        <w:t>1. Write to a spreadsheet: look up Google Sheets in indexes/by-service.json, open its node.json, provide credentials required, available operations (e.g., Append Row, Update Row), common pitfalls like rate limits, and mention that for unsupported operations, the HTTP Request node can be used【548874395881227†L167-L187】.</w:t>
        <w:br/>
        <w:t>2. Compare AI Agent and OpenAI Chat Model: resolve both nodes via map.json, identify AI Agent as a cluster root and OpenAI Chat Model as a cluster sub‑node, explain that the chat model must be connected to a root agent with tools, and highlight their roles.</w:t>
        <w:br/>
        <w:t>3. List all trigger nodes: answer using indexes/by-category.json or taxonomy.json, grouped by service.</w:t>
        <w:br/>
        <w:t>4. Automate invoice processing for 10 000 invoices: map the manual process to identify steps such as extraction, validation, classification, posting and notifications. Use Split In Batches to handle documents in parallel, implement checks for missing data, and design error handling for exceptions. Monitor performance and scale horizontally if throughput decreases.</w:t>
      </w:r>
    </w:p>
    <w:p>
      <w:pPr>
        <w:pStyle w:val="Heading2"/>
      </w:pPr>
      <w:r>
        <w:t>Conclusion</w:t>
      </w:r>
    </w:p>
    <w:p>
      <w:r>
        <w:t>This SKILLS.md serves as an enriched, comprehensive guide for AI agents interacting with the n8n nodes knowledge package. It combines the package’s structure with enterprise automation principles, scalability and resilience strategies, and best practices drawn from authoritative sources. By following the policies and guidelines herein, the AI can act as an expert workflow designer—producing accurate, reliable and scalable automation solutions with n8n.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