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2844e7b4bdd40aa60b2fb96242c57c9afd8befc"/>
      <w:r>
        <w:t xml:space="preserve">Présentation au Gouvernement — Script oral</w:t>
      </w:r>
      <w:bookmarkEnd w:id="9"/>
    </w:p>
    <w:p>
      <w:pPr>
        <w:pStyle w:val="FirstParagraph"/>
      </w:pPr>
      <w:r>
        <w:rPr>
          <w:b/>
          <w:bCs/>
        </w:rPr>
        <w:t xml:space="preserve">Sujet :</w:t>
      </w:r>
      <w:r>
        <w:t xml:space="preserve"> </w:t>
      </w:r>
      <w:r>
        <w:t xml:space="preserve">Plateforme numérique de traçabilité et de légalité forestières — workflow Ministère / Entreprise</w:t>
      </w:r>
      <w:r>
        <w:t xml:space="preserve"> </w:t>
      </w:r>
      <w:r>
        <w:rPr>
          <w:b/>
          <w:bCs/>
        </w:rPr>
        <w:t xml:space="preserve">Cadre :</w:t>
      </w:r>
      <w:r>
        <w:t xml:space="preserve"> </w:t>
      </w:r>
      <w:r>
        <w:t xml:space="preserve">Code forestier gabonais (Loi n° 016/01 du 31 décembre 2001) + exigences des marchés (Timber Trade Portal, RDUE/EUDR)</w:t>
      </w:r>
      <w:r>
        <w:t xml:space="preserve"> </w:t>
      </w:r>
      <w:r>
        <w:rPr>
          <w:b/>
          <w:bCs/>
        </w:rPr>
        <w:t xml:space="preserve">Public :</w:t>
      </w:r>
      <w:r>
        <w:t xml:space="preserve"> </w:t>
      </w:r>
      <w:r>
        <w:t xml:space="preserve">autorités gouvernementales et administration des Eaux et Forêts</w:t>
      </w:r>
      <w:r>
        <w:t xml:space="preserve"> </w:t>
      </w:r>
      <w:r>
        <w:rPr>
          <w:b/>
          <w:bCs/>
        </w:rPr>
        <w:t xml:space="preserve">Durée cible :</w:t>
      </w:r>
      <w:r>
        <w:t xml:space="preserve"> </w:t>
      </w:r>
      <w:r>
        <w:t xml:space="preserve">18 à 22 minutes + échanges</w:t>
      </w:r>
      <w:r>
        <w:t xml:space="preserve"> </w:t>
      </w:r>
      <w:r>
        <w:rPr>
          <w:b/>
          <w:bCs/>
        </w:rPr>
        <w:t xml:space="preserve">Langue :</w:t>
      </w:r>
      <w:r>
        <w:t xml:space="preserve"> </w:t>
      </w:r>
      <w:r>
        <w:t xml:space="preserve">français</w:t>
      </w:r>
    </w:p>
    <w:p>
      <w:pPr>
        <w:pStyle w:val="BlockText"/>
      </w:pPr>
      <w:r>
        <w:rPr>
          <w:b/>
          <w:bCs/>
        </w:rPr>
        <w:t xml:space="preserve">Comment utiliser ce document.</w:t>
      </w:r>
      <w:r>
        <w:t xml:space="preserve"> </w:t>
      </w:r>
      <w:r>
        <w:t xml:space="preserve">Chaque bloc correspond à</w:t>
      </w:r>
      <w:r>
        <w:t xml:space="preserve"> </w:t>
      </w:r>
      <w:r>
        <w:rPr>
          <w:b/>
          <w:bCs/>
        </w:rPr>
        <w:t xml:space="preserve">une diapositive</w:t>
      </w:r>
      <w:r>
        <w:t xml:space="preserve">. Vous y trouvez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À l’écran</w:t>
      </w:r>
      <w:r>
        <w:t xml:space="preserve"> </w:t>
      </w:r>
      <w:r>
        <w:t xml:space="preserve">: ce que le public voit (titre + points/visuel) 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À dire</w:t>
      </w:r>
      <w:r>
        <w:t xml:space="preserve"> </w:t>
      </w:r>
      <w:r>
        <w:t xml:space="preserve">: votre texte, à prononcer quasi mot à mot 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(Transition)</w:t>
      </w:r>
      <w:r>
        <w:t xml:space="preserve"> </w:t>
      </w:r>
      <w:r>
        <w:t xml:space="preserve">: la phrase qui amène la diapo suivante 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(Repère)</w:t>
      </w:r>
      <w:r>
        <w:t xml:space="preserve"> </w:t>
      </w:r>
      <w:r>
        <w:t xml:space="preserve">: un geste, un temps de pause, une insistance.</w:t>
      </w:r>
    </w:p>
    <w:p>
      <w:pPr>
        <w:pStyle w:val="BlockText"/>
      </w:pPr>
      <w:r>
        <w:t xml:space="preserve">Les phrases entre guillemets sont à dire. Les indications en</w:t>
      </w:r>
      <w:r>
        <w:t xml:space="preserve"> </w:t>
      </w:r>
      <w:r>
        <w:rPr>
          <w:i/>
          <w:iCs/>
        </w:rPr>
        <w:t xml:space="preserve">italique</w:t>
      </w:r>
      <w:r>
        <w:t xml:space="preserve"> </w:t>
      </w:r>
      <w:r>
        <w:t xml:space="preserve">ne se lisent pas.</w:t>
      </w:r>
      <w:r>
        <w:t xml:space="preserve"> </w:t>
      </w:r>
      <w:r>
        <w:t xml:space="preserve">Vous pouvez retirer des diapositives (marquées</w:t>
      </w:r>
      <w:r>
        <w:t xml:space="preserve"> </w:t>
      </w:r>
      <w:r>
        <w:rPr>
          <w:b/>
          <w:bCs/>
        </w:rPr>
        <w:t xml:space="preserve">« optionnelle »</w:t>
      </w:r>
      <w:r>
        <w:t xml:space="preserve">) si le temps manque, sans casser le fil.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db2aac4233962a708a2904176717570b6798a27"/>
      <w:r>
        <w:t xml:space="preserve">Déroulé et minutage</w:t>
      </w:r>
      <w:bookmarkEnd w:id="10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Diapositive</w:t>
            </w:r>
          </w:p>
        </w:tc>
        <w:tc>
          <w:tcPr/>
          <w:p>
            <w:pPr>
              <w:pStyle w:val="Compact"/>
            </w:pPr>
            <w:r>
              <w:t xml:space="preserve">Durée conseillée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Ouverture &amp; objet</w:t>
            </w:r>
          </w:p>
        </w:tc>
        <w:tc>
          <w:tcPr/>
          <w:p>
            <w:pPr>
              <w:pStyle w:val="Compact"/>
            </w:pPr>
            <w:r>
              <w:t xml:space="preserve">0:45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Le constat</w:t>
            </w:r>
          </w:p>
        </w:tc>
        <w:tc>
          <w:tcPr/>
          <w:p>
            <w:pPr>
              <w:pStyle w:val="Compact"/>
            </w:pPr>
            <w:r>
              <w:t xml:space="preserve">1:30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Ce que nous proposons</w:t>
            </w:r>
          </w:p>
        </w:tc>
        <w:tc>
          <w:tcPr/>
          <w:p>
            <w:pPr>
              <w:pStyle w:val="Compact"/>
            </w:pPr>
            <w:r>
              <w:t xml:space="preserve">1:00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Notre ancrage juridique</w:t>
            </w:r>
          </w:p>
        </w:tc>
        <w:tc>
          <w:tcPr/>
          <w:p>
            <w:pPr>
              <w:pStyle w:val="Compact"/>
            </w:pPr>
            <w:r>
              <w:t xml:space="preserve">1:00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Deux acteurs, un même cadre</w:t>
            </w:r>
          </w:p>
        </w:tc>
        <w:tc>
          <w:tcPr/>
          <w:p>
            <w:pPr>
              <w:pStyle w:val="Compact"/>
            </w:pPr>
            <w:r>
              <w:t xml:space="preserve">1:15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La brique de base : l’organisation</w:t>
            </w:r>
          </w:p>
        </w:tc>
        <w:tc>
          <w:tcPr/>
          <w:p>
            <w:pPr>
              <w:pStyle w:val="Compact"/>
            </w:pPr>
            <w:r>
              <w:t xml:space="preserve">1:00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Le principe : chaque étape, ses documents</w:t>
            </w:r>
          </w:p>
        </w:tc>
        <w:tc>
          <w:tcPr/>
          <w:p>
            <w:pPr>
              <w:pStyle w:val="Compact"/>
            </w:pPr>
            <w:r>
              <w:t xml:space="preserve">1:00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Le workflow de bout en bout</w:t>
            </w:r>
          </w:p>
        </w:tc>
        <w:tc>
          <w:tcPr/>
          <w:p>
            <w:pPr>
              <w:pStyle w:val="Compact"/>
            </w:pPr>
            <w:r>
              <w:t xml:space="preserve">2:00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Amont : titre, UFA, AAC — qui décide quoi</w:t>
            </w:r>
          </w:p>
        </w:tc>
        <w:tc>
          <w:tcPr/>
          <w:p>
            <w:pPr>
              <w:pStyle w:val="Compact"/>
            </w:pPr>
            <w:r>
              <w:t xml:space="preserve">1:30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Le PAO et les quatre autorisations d’exploiter</w:t>
            </w:r>
          </w:p>
        </w:tc>
        <w:tc>
          <w:tcPr/>
          <w:p>
            <w:pPr>
              <w:pStyle w:val="Compact"/>
            </w:pPr>
            <w:r>
              <w:t xml:space="preserve">1:30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La conformité à deux niveaux</w:t>
            </w:r>
          </w:p>
        </w:tc>
        <w:tc>
          <w:tcPr/>
          <w:p>
            <w:pPr>
              <w:pStyle w:val="Compact"/>
            </w:pPr>
            <w:r>
              <w:t xml:space="preserve">1:45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La déclaration d’abattage, en temps réel</w:t>
            </w:r>
          </w:p>
        </w:tc>
        <w:tc>
          <w:tcPr/>
          <w:p>
            <w:pPr>
              <w:pStyle w:val="Compact"/>
            </w:pPr>
            <w:r>
              <w:t xml:space="preserve">1:30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La traçabilité de la grume</w:t>
            </w:r>
          </w:p>
        </w:tc>
        <w:tc>
          <w:tcPr/>
          <w:p>
            <w:pPr>
              <w:pStyle w:val="Compact"/>
            </w:pPr>
            <w:r>
              <w:t xml:space="preserve">1:30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Fiscalité, social et RDUE</w:t>
            </w:r>
          </w:p>
        </w:tc>
        <w:tc>
          <w:tcPr/>
          <w:p>
            <w:pPr>
              <w:pStyle w:val="Compact"/>
            </w:pPr>
            <w:r>
              <w:t xml:space="preserve">1:30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La certification tierce partie</w:t>
            </w:r>
          </w:p>
        </w:tc>
        <w:tc>
          <w:tcPr/>
          <w:p>
            <w:pPr>
              <w:pStyle w:val="Compact"/>
            </w:pPr>
            <w:r>
              <w:t xml:space="preserve">1:00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Ce que voit l’Administration</w:t>
            </w:r>
          </w:p>
        </w:tc>
        <w:tc>
          <w:tcPr/>
          <w:p>
            <w:pPr>
              <w:pStyle w:val="Compact"/>
            </w:pPr>
            <w:r>
              <w:t xml:space="preserve">1:15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Trois scénarios concrets</w:t>
            </w:r>
          </w:p>
        </w:tc>
        <w:tc>
          <w:tcPr/>
          <w:p>
            <w:pPr>
              <w:pStyle w:val="Compact"/>
            </w:pPr>
            <w:r>
              <w:t xml:space="preserve">2:30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Ce que cela change pour l’État</w:t>
            </w:r>
          </w:p>
        </w:tc>
        <w:tc>
          <w:tcPr/>
          <w:p>
            <w:pPr>
              <w:pStyle w:val="Compact"/>
            </w:pPr>
            <w:r>
              <w:t xml:space="preserve">1:15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Feuille de route</w:t>
            </w:r>
          </w:p>
        </w:tc>
        <w:tc>
          <w:tcPr/>
          <w:p>
            <w:pPr>
              <w:pStyle w:val="Compact"/>
            </w:pPr>
            <w:r>
              <w:t xml:space="preserve">1:00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Conclusion &amp; demande de validation</w:t>
            </w:r>
          </w:p>
        </w:tc>
        <w:tc>
          <w:tcPr/>
          <w:p>
            <w:pPr>
              <w:pStyle w:val="Compact"/>
            </w:pPr>
            <w:r>
              <w:t xml:space="preserve">1:00</w:t>
            </w:r>
          </w:p>
        </w:tc>
      </w:tr>
    </w:tbl>
    <w:p>
      <w:pPr>
        <w:pStyle w:val="FirstParagraph"/>
      </w:pPr>
      <w:r>
        <w:rPr>
          <w:i/>
          <w:iCs/>
        </w:rPr>
        <w:t xml:space="preserve">Total : ≈ 22 minutes.</w:t>
      </w:r>
      <w:r>
        <w:t xml:space="preserve"> </w:t>
      </w:r>
      <w:r>
        <w:t xml:space="preserve">Les diapositives</w:t>
      </w:r>
      <w:r>
        <w:t xml:space="preserve"> </w:t>
      </w:r>
      <w:r>
        <w:rPr>
          <w:b/>
          <w:bCs/>
        </w:rPr>
        <w:t xml:space="preserve">9, 15 et 19</w:t>
      </w:r>
      <w:r>
        <w:t xml:space="preserve"> </w:t>
      </w:r>
      <w:r>
        <w:t xml:space="preserve">sont les plus compressibles.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" w:name="_6cc23ca11807ee8a538b03085dbf176efcf213a"/>
      <w:r>
        <w:t xml:space="preserve">Diapositive 1 — Ouverture et objet</w:t>
      </w:r>
      <w:bookmarkEnd w:id="11"/>
    </w:p>
    <w:p>
      <w:pPr>
        <w:pStyle w:val="FirstParagraph"/>
      </w:pPr>
      <w:r>
        <w:rPr>
          <w:b/>
          <w:bCs/>
        </w:rPr>
        <w:t xml:space="preserve">À l’écran :</w:t>
      </w:r>
      <w:r>
        <w:t xml:space="preserve"> </w:t>
      </w:r>
      <w:r>
        <w:rPr>
          <w:i/>
          <w:iCs/>
        </w:rPr>
        <w:t xml:space="preserve">Titre — « Rendre la légalité forestière vérifiable, de l’arbre au marché »</w:t>
      </w:r>
      <w:r>
        <w:t xml:space="preserve"> </w:t>
      </w:r>
      <w:r>
        <w:t xml:space="preserve">+ une image de forêt / un chiffre :</w:t>
      </w:r>
      <w:r>
        <w:t xml:space="preserve"> </w:t>
      </w:r>
      <w:r>
        <w:rPr>
          <w:b/>
          <w:bCs/>
        </w:rPr>
        <w:t xml:space="preserve">87 % du territoire, 100 % propriété de l’État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À dire :</w:t>
      </w:r>
      <w:r>
        <w:t xml:space="preserve"> </w:t>
      </w:r>
      <w:r>
        <w:t xml:space="preserve">&gt; « Monsieur/Madame le Ministre, Mesdames et Messieurs les responsables,</w:t>
      </w:r>
      <w:r>
        <w:t xml:space="preserve"> </w:t>
      </w:r>
      <w:r>
        <w:t xml:space="preserve">&gt; Nous venons vous présenter la plateforme qui organise et</w:t>
      </w:r>
      <w:r>
        <w:t xml:space="preserve"> </w:t>
      </w:r>
      <w:r>
        <w:rPr>
          <w:b/>
          <w:bCs/>
        </w:rPr>
        <w:t xml:space="preserve">rend vérifiable</w:t>
      </w:r>
      <w:r>
        <w:t xml:space="preserve"> </w:t>
      </w:r>
      <w:r>
        <w:t xml:space="preserve">la chaîne de valeur forestière légale du Gabon.</w:t>
      </w:r>
      <w:r>
        <w:t xml:space="preserve"> </w:t>
      </w:r>
      <w:r>
        <w:t xml:space="preserve">&gt; Le principe est simple : derrière chaque grume qui sort de la forêt, il doit y avoir</w:t>
      </w:r>
      <w:r>
        <w:t xml:space="preserve"> </w:t>
      </w:r>
      <w:r>
        <w:rPr>
          <w:b/>
          <w:bCs/>
        </w:rPr>
        <w:t xml:space="preserve">une autorisation, un document et une preuve</w:t>
      </w:r>
      <w:r>
        <w:t xml:space="preserve">.</w:t>
      </w:r>
      <w:r>
        <w:t xml:space="preserve"> </w:t>
      </w:r>
      <w:r>
        <w:t xml:space="preserve">&gt; Nous allons vous montrer, étape par étape,</w:t>
      </w:r>
      <w:r>
        <w:t xml:space="preserve"> </w:t>
      </w:r>
      <w:r>
        <w:rPr>
          <w:b/>
          <w:bCs/>
        </w:rPr>
        <w:t xml:space="preserve">comment l’entreprise déclare, comment l’Administration décide, et comment la loi est appliquée automatiquement</w:t>
      </w:r>
      <w:r>
        <w:t xml:space="preserve"> </w:t>
      </w:r>
      <w:r>
        <w:t xml:space="preserve">dans le système. »</w:t>
      </w:r>
    </w:p>
    <w:p>
      <w:pPr>
        <w:pStyle w:val="BodyText"/>
      </w:pPr>
      <w:r>
        <w:rPr>
          <w:i/>
          <w:iCs/>
        </w:rPr>
        <w:t xml:space="preserve">(Repère : posez le regard sur les décideurs, marquez une pause après « une preuve ».)</w:t>
      </w:r>
    </w:p>
    <w:p>
      <w:pPr>
        <w:pStyle w:val="BodyText"/>
      </w:pPr>
      <w:r>
        <w:rPr>
          <w:b/>
          <w:bCs/>
        </w:rPr>
        <w:t xml:space="preserve">(Transition) :</w:t>
      </w:r>
      <w:r>
        <w:t xml:space="preserve"> </w:t>
      </w:r>
      <w:r>
        <w:t xml:space="preserve">« Pourquoi est-ce nécessaire ? Commençons par le constat. »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" w:name="_ab966b39909c50da0ef1f5ec47845eb3a849b43"/>
      <w:r>
        <w:t xml:space="preserve">Diapositive 2 — Le constat</w:t>
      </w:r>
      <w:bookmarkEnd w:id="12"/>
    </w:p>
    <w:p>
      <w:pPr>
        <w:pStyle w:val="FirstParagraph"/>
      </w:pPr>
      <w:r>
        <w:rPr>
          <w:b/>
          <w:bCs/>
        </w:rPr>
        <w:t xml:space="preserve">À l’écran :</w:t>
      </w:r>
      <w:r>
        <w:t xml:space="preserve"> </w:t>
      </w:r>
      <w:r>
        <w:t xml:space="preserve">4 constats numérotés, chacun avec une icône.</w:t>
      </w:r>
    </w:p>
    <w:p>
      <w:pPr>
        <w:pStyle w:val="BodyText"/>
      </w:pPr>
      <w:r>
        <w:rPr>
          <w:b/>
          <w:bCs/>
        </w:rPr>
        <w:t xml:space="preserve">À dire :</w:t>
      </w:r>
      <w:r>
        <w:t xml:space="preserve"> </w:t>
      </w:r>
      <w:r>
        <w:t xml:space="preserve">&gt; « Le Gabon est un des pays les plus forestiers du monde :</w:t>
      </w:r>
      <w:r>
        <w:t xml:space="preserve"> </w:t>
      </w:r>
      <w:r>
        <w:rPr>
          <w:b/>
          <w:bCs/>
        </w:rPr>
        <w:t xml:space="preserve">23,5 millions d’hectares</w:t>
      </w:r>
      <w:r>
        <w:t xml:space="preserve">, soit 87 % du territoire, à</w:t>
      </w:r>
      <w:r>
        <w:t xml:space="preserve"> </w:t>
      </w:r>
      <w:r>
        <w:rPr>
          <w:b/>
          <w:bCs/>
        </w:rPr>
        <w:t xml:space="preserve">100 % propriété de l’État</w:t>
      </w:r>
      <w:r>
        <w:t xml:space="preserve">. Ce n’est pas le problème — c’est la richesse.</w:t>
      </w:r>
      <w:r>
        <w:t xml:space="preserve"> </w:t>
      </w:r>
      <w:r>
        <w:t xml:space="preserve">&gt; Le problème est ailleurs. Aujourd’hui, quatre difficultés fragilisent cette richesse 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Premièrement, la dispersion des documents.</w:t>
      </w:r>
      <w:r>
        <w:t xml:space="preserve"> </w:t>
      </w:r>
      <w:r>
        <w:t xml:space="preserve">Les autorisations, quittances et plans existent, mais sur papier, à des endroits différents.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Deuxièmement, la difficulté de vérification.</w:t>
      </w:r>
      <w:r>
        <w:t xml:space="preserve"> </w:t>
      </w:r>
      <w:r>
        <w:t xml:space="preserve">Contrôler un arbre, un carnet, une taxe, prend du temps et repose sur la confiance.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Troisièmement, les risques de fraude</w:t>
      </w:r>
      <w:r>
        <w:t xml:space="preserve"> </w:t>
      </w:r>
      <w:r>
        <w:t xml:space="preserve">— fausse déclaration, coupe hors limites, documents non conformes — que la loi 016/01 sanctionne déjà, mais qu’il est coûteux de détecter.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Quatrièmement, la pression des marchés.</w:t>
      </w:r>
      <w:r>
        <w:t xml:space="preserve"> </w:t>
      </w:r>
      <w:r>
        <w:t xml:space="preserve">L’Europe durcit ses exigences : la</w:t>
      </w:r>
      <w:r>
        <w:t xml:space="preserve"> </w:t>
      </w:r>
      <w:r>
        <w:rPr>
          <w:b/>
          <w:bCs/>
        </w:rPr>
        <w:t xml:space="preserve">RDUE</w:t>
      </w:r>
      <w:r>
        <w:t xml:space="preserve"> </w:t>
      </w:r>
      <w:r>
        <w:t xml:space="preserve">— le règlement européen contre la déforestation — ne se contente pas d’un titre valide ; elle exige la</w:t>
      </w:r>
      <w:r>
        <w:t xml:space="preserve"> </w:t>
      </w:r>
      <w:r>
        <w:rPr>
          <w:b/>
          <w:bCs/>
        </w:rPr>
        <w:t xml:space="preserve">preuve de légalité au niveau de la parcelle d’origine</w:t>
      </w:r>
      <w:r>
        <w:t xml:space="preserve">. »</w:t>
      </w:r>
    </w:p>
    <w:p>
      <w:pPr>
        <w:pStyle w:val="BodyText"/>
      </w:pPr>
      <w:r>
        <w:rPr>
          <w:b/>
          <w:bCs/>
        </w:rPr>
        <w:t xml:space="preserve">(Transition) :</w:t>
      </w:r>
      <w:r>
        <w:t xml:space="preserve"> </w:t>
      </w:r>
      <w:r>
        <w:t xml:space="preserve">« Face à ce constat, voici ce que nous proposons. »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" w:name="_e37bd324047a75b1dce21100d5677e626515c03"/>
      <w:r>
        <w:t xml:space="preserve">Diapositive 3 — Ce que nous proposons</w:t>
      </w:r>
      <w:bookmarkEnd w:id="13"/>
    </w:p>
    <w:p>
      <w:pPr>
        <w:pStyle w:val="FirstParagraph"/>
      </w:pPr>
      <w:r>
        <w:rPr>
          <w:b/>
          <w:bCs/>
        </w:rPr>
        <w:t xml:space="preserve">À l’écran :</w:t>
      </w:r>
      <w:r>
        <w:t xml:space="preserve"> </w:t>
      </w:r>
      <w:r>
        <w:t xml:space="preserve">une phrase forte + 3 puces :</w:t>
      </w:r>
      <w:r>
        <w:t xml:space="preserve"> </w:t>
      </w:r>
      <w:r>
        <w:rPr>
          <w:i/>
          <w:iCs/>
        </w:rPr>
        <w:t xml:space="preserve">Enregistrer · Décider · Prouver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À dire :</w:t>
      </w:r>
      <w:r>
        <w:t xml:space="preserve"> </w:t>
      </w:r>
      <w:r>
        <w:t xml:space="preserve">&gt; « Nous proposons une plateforme unique, qui fait trois choses.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Enregistrer</w:t>
      </w:r>
      <w:r>
        <w:t xml:space="preserve"> </w:t>
      </w:r>
      <w:r>
        <w:t xml:space="preserve">: l’entreprise déclare en ligne ses documents, ses titres, ses abattages, ses transports.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Décider</w:t>
      </w:r>
      <w:r>
        <w:t xml:space="preserve"> </w:t>
      </w:r>
      <w:r>
        <w:t xml:space="preserve">: l’Administration instruit, valide, rejette, avec un motif consigné à chaque fois.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Prouver</w:t>
      </w:r>
      <w:r>
        <w:t xml:space="preserve"> </w:t>
      </w:r>
      <w:r>
        <w:t xml:space="preserve">: chaque décision est horodatée, chaque document archivé, chaque grume rattachée à une autorisation.</w:t>
      </w:r>
      <w:r>
        <w:t xml:space="preserve"> </w:t>
      </w:r>
      <w:r>
        <w:t xml:space="preserve">&gt; Ce n’est pas un outil qui remplace la loi : c’est un outil qui</w:t>
      </w:r>
      <w:r>
        <w:t xml:space="preserve"> </w:t>
      </w:r>
      <w:r>
        <w:rPr>
          <w:b/>
          <w:bCs/>
        </w:rPr>
        <w:t xml:space="preserve">fait appliquer la loi plus vite, et avec des preuves</w:t>
      </w:r>
      <w:r>
        <w:t xml:space="preserve">. »</w:t>
      </w:r>
    </w:p>
    <w:p>
      <w:pPr>
        <w:pStyle w:val="BodyText"/>
      </w:pPr>
      <w:r>
        <w:rPr>
          <w:b/>
          <w:bCs/>
        </w:rPr>
        <w:t xml:space="preserve">(Transition) :</w:t>
      </w:r>
      <w:r>
        <w:t xml:space="preserve"> </w:t>
      </w:r>
      <w:r>
        <w:t xml:space="preserve">« Naturellement, tout cela s’appuie sur un cadre juridique précis. »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4" w:name="_e55aec5078a42f47ca0c4b4c3e3a9a15c361577"/>
      <w:r>
        <w:t xml:space="preserve">Diapositive 4 — Notre ancrage juridique</w:t>
      </w:r>
      <w:bookmarkEnd w:id="14"/>
    </w:p>
    <w:p>
      <w:pPr>
        <w:pStyle w:val="FirstParagraph"/>
      </w:pPr>
      <w:r>
        <w:rPr>
          <w:b/>
          <w:bCs/>
        </w:rPr>
        <w:t xml:space="preserve">À l’écran :</w:t>
      </w:r>
      <w:r>
        <w:t xml:space="preserve"> </w:t>
      </w:r>
      <w:r>
        <w:t xml:space="preserve">logos/titres :</w:t>
      </w:r>
      <w:r>
        <w:t xml:space="preserve"> </w:t>
      </w:r>
      <w:r>
        <w:rPr>
          <w:i/>
          <w:iCs/>
        </w:rPr>
        <w:t xml:space="preserve">Loi n° 016/01 du 31 décembre 2001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Timber Trade Portal — Fiche Pays Gabon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À dire :</w:t>
      </w:r>
      <w:r>
        <w:t xml:space="preserve"> </w:t>
      </w:r>
      <w:r>
        <w:t xml:space="preserve">&gt; « La plateforme n’invente aucune règle. Chaque écran est l’application directe d’un article.</w:t>
      </w:r>
      <w:r>
        <w:t xml:space="preserve"> </w:t>
      </w:r>
      <w:r>
        <w:t xml:space="preserve">&gt; Notre texte de référence est le</w:t>
      </w:r>
      <w:r>
        <w:t xml:space="preserve"> </w:t>
      </w:r>
      <w:r>
        <w:rPr>
          <w:b/>
          <w:bCs/>
        </w:rPr>
        <w:t xml:space="preserve">Code forestier — Loi n° 016/01 du 31 décembre 2001</w:t>
      </w:r>
      <w:r>
        <w:t xml:space="preserve">. Trois articles structurent tout le reste :</w:t>
      </w:r>
      <w:r>
        <w:t xml:space="preserve"> </w:t>
      </w:r>
      <w:r>
        <w:t xml:space="preserve">&gt; —</w:t>
      </w:r>
      <w:r>
        <w:t xml:space="preserve"> </w:t>
      </w:r>
      <w:r>
        <w:rPr>
          <w:b/>
          <w:bCs/>
        </w:rPr>
        <w:t xml:space="preserve">l’article 14</w:t>
      </w:r>
      <w:r>
        <w:t xml:space="preserve"> </w:t>
      </w:r>
      <w:r>
        <w:t xml:space="preserve">: nul ne peut exploiter un produit forestier</w:t>
      </w:r>
      <w:r>
        <w:t xml:space="preserve"> </w:t>
      </w:r>
      <w:r>
        <w:rPr>
          <w:b/>
          <w:bCs/>
        </w:rPr>
        <w:t xml:space="preserve">sans autorisation préalable</w:t>
      </w:r>
      <w:r>
        <w:t xml:space="preserve">. C’est le cœur du système.</w:t>
      </w:r>
      <w:r>
        <w:t xml:space="preserve"> </w:t>
      </w:r>
      <w:r>
        <w:t xml:space="preserve">&gt; —</w:t>
      </w:r>
      <w:r>
        <w:t xml:space="preserve"> </w:t>
      </w:r>
      <w:r>
        <w:rPr>
          <w:b/>
          <w:bCs/>
        </w:rPr>
        <w:t xml:space="preserve">l’article 124</w:t>
      </w:r>
      <w:r>
        <w:t xml:space="preserve"> </w:t>
      </w:r>
      <w:r>
        <w:t xml:space="preserve">: on n’abat que les arbres</w:t>
      </w:r>
      <w:r>
        <w:t xml:space="preserve"> </w:t>
      </w:r>
      <w:r>
        <w:rPr>
          <w:b/>
          <w:bCs/>
        </w:rPr>
        <w:t xml:space="preserve">au-dessus du diamètre minimum d’exploitation</w:t>
      </w:r>
      <w:r>
        <w:t xml:space="preserve">, et hors essences mises en réserve.</w:t>
      </w:r>
      <w:r>
        <w:t xml:space="preserve"> </w:t>
      </w:r>
      <w:r>
        <w:t xml:space="preserve">&gt; —</w:t>
      </w:r>
      <w:r>
        <w:t xml:space="preserve"> </w:t>
      </w:r>
      <w:r>
        <w:rPr>
          <w:b/>
          <w:bCs/>
        </w:rPr>
        <w:t xml:space="preserve">les articles 45 à 48</w:t>
      </w:r>
      <w:r>
        <w:t xml:space="preserve"> </w:t>
      </w:r>
      <w:r>
        <w:t xml:space="preserve">: le permis annuel d’opérations, et le principe qu’</w:t>
      </w:r>
      <w:r>
        <w:rPr>
          <w:b/>
          <w:bCs/>
        </w:rPr>
        <w:t xml:space="preserve">une assiette de coupe reste ouverte trois ans</w:t>
      </w:r>
      <w:r>
        <w:t xml:space="preserve">.</w:t>
      </w:r>
      <w:r>
        <w:t xml:space="preserve"> </w:t>
      </w:r>
      <w:r>
        <w:t xml:space="preserve">&gt; Nous y ajoutons les exigences du</w:t>
      </w:r>
      <w:r>
        <w:t xml:space="preserve"> </w:t>
      </w:r>
      <w:r>
        <w:rPr>
          <w:b/>
          <w:bCs/>
        </w:rPr>
        <w:t xml:space="preserve">Timber Trade Portal</w:t>
      </w:r>
      <w:r>
        <w:t xml:space="preserve"> </w:t>
      </w:r>
      <w:r>
        <w:t xml:space="preserve">pour le Gabon, c’est-à-dire la liste des documents attendus par les marchés, et la conformité</w:t>
      </w:r>
      <w:r>
        <w:t xml:space="preserve"> </w:t>
      </w:r>
      <w:r>
        <w:rPr>
          <w:b/>
          <w:bCs/>
        </w:rPr>
        <w:t xml:space="preserve">RDUE</w:t>
      </w:r>
      <w:r>
        <w:t xml:space="preserve">. »</w:t>
      </w:r>
    </w:p>
    <w:p>
      <w:pPr>
        <w:pStyle w:val="BodyText"/>
      </w:pPr>
      <w:r>
        <w:rPr>
          <w:b/>
          <w:bCs/>
        </w:rPr>
        <w:t xml:space="preserve">(Transition) :</w:t>
      </w:r>
      <w:r>
        <w:t xml:space="preserve"> </w:t>
      </w:r>
      <w:r>
        <w:t xml:space="preserve">« Ce cadre, comment se traduit-il en acteurs et en responsabilités ? »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5" w:name="_84c20ab05fc4512cfefc19f4acfd715722cca7b"/>
      <w:r>
        <w:t xml:space="preserve">Diapositive 5 — Deux acteurs, un même cadre</w:t>
      </w:r>
      <w:bookmarkEnd w:id="15"/>
    </w:p>
    <w:p>
      <w:pPr>
        <w:pStyle w:val="FirstParagraph"/>
      </w:pPr>
      <w:r>
        <w:rPr>
          <w:b/>
          <w:bCs/>
        </w:rPr>
        <w:t xml:space="preserve">À l’écran :</w:t>
      </w:r>
      <w:r>
        <w:t xml:space="preserve"> </w:t>
      </w:r>
      <w:r>
        <w:t xml:space="preserve">deux colonnes —</w:t>
      </w:r>
      <w:r>
        <w:t xml:space="preserve"> </w:t>
      </w:r>
      <w:r>
        <w:rPr>
          <w:b/>
          <w:bCs/>
        </w:rPr>
        <w:t xml:space="preserve">Entreprise (opérateur économique)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Ministère (administration des Eaux et Forêts)</w:t>
      </w:r>
      <w:r>
        <w:t xml:space="preserve"> </w:t>
      </w:r>
      <w:r>
        <w:t xml:space="preserve">; en bas :</w:t>
      </w:r>
      <w:r>
        <w:t xml:space="preserve"> </w:t>
      </w:r>
      <w:r>
        <w:rPr>
          <w:i/>
          <w:iCs/>
        </w:rPr>
        <w:t xml:space="preserve">communautés villageoises, coopératives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À dire :</w:t>
      </w:r>
      <w:r>
        <w:t xml:space="preserve"> </w:t>
      </w:r>
      <w:r>
        <w:t xml:space="preserve">&gt; « La plateforme distingue deux acteurs principaux.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L’entreprise</w:t>
      </w:r>
      <w:r>
        <w:t xml:space="preserve"> </w:t>
      </w:r>
      <w:r>
        <w:t xml:space="preserve">— ou plus largement l’opérateur économique : c’est elle qui</w:t>
      </w:r>
      <w:r>
        <w:t xml:space="preserve"> </w:t>
      </w:r>
      <w:r>
        <w:rPr>
          <w:b/>
          <w:bCs/>
        </w:rPr>
        <w:t xml:space="preserve">déclare</w:t>
      </w:r>
      <w:r>
        <w:t xml:space="preserve">. Elle déclare ses documents, demande ses autorisations, soumet son plan d’opérations, saisit ses abattages et ses transports.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Le Ministère</w:t>
      </w:r>
      <w:r>
        <w:t xml:space="preserve"> </w:t>
      </w:r>
      <w:r>
        <w:t xml:space="preserve">— l’administration des Eaux et Forêts : c’est lui qui</w:t>
      </w:r>
      <w:r>
        <w:t xml:space="preserve"> </w:t>
      </w:r>
      <w:r>
        <w:rPr>
          <w:b/>
          <w:bCs/>
        </w:rPr>
        <w:t xml:space="preserve">décide</w:t>
      </w:r>
      <w:r>
        <w:t xml:space="preserve">. Il instruit, il valide, il rejette, il ouvre ou ferme une assiette. Et un point capital :</w:t>
      </w:r>
      <w:r>
        <w:t xml:space="preserve"> </w:t>
      </w:r>
      <w:r>
        <w:rPr>
          <w:b/>
          <w:bCs/>
        </w:rPr>
        <w:t xml:space="preserve">il garde toujours le dernier mot</w:t>
      </w:r>
      <w:r>
        <w:t xml:space="preserve">. Même quand le système n’émet qu’un avertissement, l’agent du Ministère peut refuser.</w:t>
      </w:r>
      <w:r>
        <w:t xml:space="preserve"> </w:t>
      </w:r>
      <w:r>
        <w:t xml:space="preserve">&gt; À côté d’eux, la plateforme reconnaît aussi les</w:t>
      </w:r>
      <w:r>
        <w:t xml:space="preserve"> </w:t>
      </w:r>
      <w:r>
        <w:rPr>
          <w:b/>
          <w:bCs/>
        </w:rPr>
        <w:t xml:space="preserve">communautés villageoises</w:t>
      </w:r>
      <w:r>
        <w:t xml:space="preserve"> </w:t>
      </w:r>
      <w:r>
        <w:t xml:space="preserve">et les</w:t>
      </w:r>
      <w:r>
        <w:t xml:space="preserve"> </w:t>
      </w:r>
      <w:r>
        <w:rPr>
          <w:b/>
          <w:bCs/>
        </w:rPr>
        <w:t xml:space="preserve">coopératives</w:t>
      </w:r>
      <w:r>
        <w:t xml:space="preserve">, car dans le domaine rural, le titulaire d’une forêt communautaire est une</w:t>
      </w:r>
      <w:r>
        <w:t xml:space="preserve"> </w:t>
      </w:r>
      <w:r>
        <w:rPr>
          <w:b/>
          <w:bCs/>
        </w:rPr>
        <w:t xml:space="preserve">communauté</w:t>
      </w:r>
      <w:r>
        <w:t xml:space="preserve">, pas une entreprise.</w:t>
      </w:r>
      <w:r>
        <w:t xml:space="preserve"> </w:t>
      </w:r>
      <w:r>
        <w:t xml:space="preserve">&gt; Une règle simple gouverne tout :</w:t>
      </w:r>
      <w:r>
        <w:t xml:space="preserve"> </w:t>
      </w:r>
      <w:r>
        <w:rPr>
          <w:b/>
          <w:bCs/>
        </w:rPr>
        <w:t xml:space="preserve">l’entreprise déclare, l’Administration décide.</w:t>
      </w:r>
      <w:r>
        <w:t xml:space="preserve"> </w:t>
      </w:r>
      <w:r>
        <w:t xml:space="preserve">»</w:t>
      </w:r>
    </w:p>
    <w:p>
      <w:pPr>
        <w:pStyle w:val="BodyText"/>
      </w:pPr>
      <w:r>
        <w:rPr>
          <w:b/>
          <w:bCs/>
        </w:rPr>
        <w:t xml:space="preserve">(Repère :</w:t>
      </w:r>
      <w:r>
        <w:t xml:space="preserve"> </w:t>
      </w:r>
      <w:r>
        <w:t xml:space="preserve">insistez sur « il garde toujours le dernier mot » — c’est le message qui rassure l’autorité.)</w:t>
      </w:r>
    </w:p>
    <w:p>
      <w:pPr>
        <w:pStyle w:val="BodyText"/>
      </w:pPr>
      <w:r>
        <w:rPr>
          <w:b/>
          <w:bCs/>
        </w:rPr>
        <w:t xml:space="preserve">(Transition) :</w:t>
      </w:r>
      <w:r>
        <w:t xml:space="preserve"> </w:t>
      </w:r>
      <w:r>
        <w:t xml:space="preserve">« Pour porter ces acteurs, il fallait une brique commune. »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6" w:name="_b96f45f19a08d97345475d3981938d5ba8ab57a"/>
      <w:r>
        <w:t xml:space="preserve">Diapositive 6 — La brique de base : l’organisation</w:t>
      </w:r>
      <w:bookmarkEnd w:id="16"/>
    </w:p>
    <w:p>
      <w:pPr>
        <w:pStyle w:val="FirstParagraph"/>
      </w:pPr>
      <w:r>
        <w:rPr>
          <w:b/>
          <w:bCs/>
        </w:rPr>
        <w:t xml:space="preserve">À l’écran :</w:t>
      </w:r>
      <w:r>
        <w:t xml:space="preserve"> </w:t>
      </w:r>
      <w:r>
        <w:t xml:space="preserve">schéma —</w:t>
      </w:r>
      <w:r>
        <w:t xml:space="preserve"> </w:t>
      </w:r>
      <w:r>
        <w:rPr>
          <w:i/>
          <w:iCs/>
        </w:rPr>
        <w:t xml:space="preserve">Organisation → peut porter → Titres (CFAD, PFA, PGG, Forêt communautaire)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À dire :</w:t>
      </w:r>
      <w:r>
        <w:t xml:space="preserve"> </w:t>
      </w:r>
      <w:r>
        <w:t xml:space="preserve">&gt; « Toute la plateforme repose sur une brique unique :</w:t>
      </w:r>
      <w:r>
        <w:t xml:space="preserve"> </w:t>
      </w:r>
      <w:r>
        <w:rPr>
          <w:b/>
          <w:bCs/>
        </w:rPr>
        <w:t xml:space="preserve">l’organisation</w:t>
      </w:r>
      <w:r>
        <w:t xml:space="preserve">.</w:t>
      </w:r>
      <w:r>
        <w:t xml:space="preserve"> </w:t>
      </w:r>
      <w:r>
        <w:t xml:space="preserve">&gt; Une organisation, c’est une personne morale : une entreprise, une coopérative ou une communauté. Et une règle claire :</w:t>
      </w:r>
      <w:r>
        <w:t xml:space="preserve"> </w:t>
      </w:r>
      <w:r>
        <w:rPr>
          <w:b/>
          <w:bCs/>
        </w:rPr>
        <w:t xml:space="preserve">un titulaire de titre forestier est toujours une organisation</w:t>
      </w:r>
      <w:r>
        <w:t xml:space="preserve">.</w:t>
      </w:r>
      <w:r>
        <w:t xml:space="preserve"> </w:t>
      </w:r>
      <w:r>
        <w:t xml:space="preserve">&gt; Cela règle un problème ancien : jusqu’ici, l’entreprise était confondue avec le compte utilisateur. Désormais,</w:t>
      </w:r>
      <w:r>
        <w:t xml:space="preserve"> </w:t>
      </w:r>
      <w:r>
        <w:rPr>
          <w:b/>
          <w:bCs/>
        </w:rPr>
        <w:t xml:space="preserve">l’organisation est distincte du compte</w:t>
      </w:r>
      <w:r>
        <w:t xml:space="preserve">. Un compte représente une personne ; l’organisation représente le titulaire, avec ses titres, ses obligations et son historique.</w:t>
      </w:r>
      <w:r>
        <w:t xml:space="preserve"> </w:t>
      </w:r>
      <w:r>
        <w:t xml:space="preserve">&gt; L’avantage est immédiat : quand un agent du Ministère regarde un dossier, il voit</w:t>
      </w:r>
      <w:r>
        <w:t xml:space="preserve"> </w:t>
      </w:r>
      <w:r>
        <w:rPr>
          <w:b/>
          <w:bCs/>
        </w:rPr>
        <w:t xml:space="preserve">l’entreprise réelle</w:t>
      </w:r>
      <w:r>
        <w:t xml:space="preserve">, pas un simple utilisateur. »</w:t>
      </w:r>
    </w:p>
    <w:p>
      <w:pPr>
        <w:pStyle w:val="BodyText"/>
      </w:pPr>
      <w:r>
        <w:rPr>
          <w:b/>
          <w:bCs/>
        </w:rPr>
        <w:t xml:space="preserve">(Transition) :</w:t>
      </w:r>
      <w:r>
        <w:t xml:space="preserve"> </w:t>
      </w:r>
      <w:r>
        <w:t xml:space="preserve">« Et qu’attend-on de cette organisation ? Des documents, à chaque étape. »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7" w:name="_fba154b1e409f6142065a0ebff064168d03a612"/>
      <w:r>
        <w:t xml:space="preserve">Diapositive 7 — Le principe : chaque étape, ses documents</w:t>
      </w:r>
      <w:bookmarkEnd w:id="17"/>
    </w:p>
    <w:p>
      <w:pPr>
        <w:pStyle w:val="FirstParagraph"/>
      </w:pPr>
      <w:r>
        <w:rPr>
          <w:b/>
          <w:bCs/>
        </w:rPr>
        <w:t xml:space="preserve">À l’écran :</w:t>
      </w:r>
      <w:r>
        <w:t xml:space="preserve"> </w:t>
      </w:r>
      <w:r>
        <w:t xml:space="preserve">frise —</w:t>
      </w:r>
      <w:r>
        <w:t xml:space="preserve"> </w:t>
      </w:r>
      <w:r>
        <w:rPr>
          <w:i/>
          <w:iCs/>
        </w:rPr>
        <w:t xml:space="preserve">Entreprise → UFA → Assiette → Produit → Social</w:t>
      </w:r>
      <w:r>
        <w:t xml:space="preserve"> </w:t>
      </w:r>
      <w:r>
        <w:t xml:space="preserve">avec, sous chacune, des étiquettes de documents.</w:t>
      </w:r>
    </w:p>
    <w:p>
      <w:pPr>
        <w:pStyle w:val="BodyText"/>
      </w:pPr>
      <w:r>
        <w:rPr>
          <w:b/>
          <w:bCs/>
        </w:rPr>
        <w:t xml:space="preserve">À dire :</w:t>
      </w:r>
      <w:r>
        <w:t xml:space="preserve"> </w:t>
      </w:r>
      <w:r>
        <w:t xml:space="preserve">&gt; « Voici le principe que nous appliquons partout. Chaque</w:t>
      </w:r>
      <w:r>
        <w:t xml:space="preserve"> </w:t>
      </w:r>
      <w:r>
        <w:rPr>
          <w:b/>
          <w:bCs/>
        </w:rPr>
        <w:t xml:space="preserve">niveau</w:t>
      </w:r>
      <w:r>
        <w:t xml:space="preserve"> </w:t>
      </w:r>
      <w:r>
        <w:t xml:space="preserve">de la chaîne a</w:t>
      </w:r>
      <w:r>
        <w:t xml:space="preserve"> </w:t>
      </w:r>
      <w:r>
        <w:rPr>
          <w:b/>
          <w:bCs/>
        </w:rPr>
        <w:t xml:space="preserve">ses documents</w:t>
      </w:r>
      <w:r>
        <w:t xml:space="preserve">, et chaque document a</w:t>
      </w:r>
      <w:r>
        <w:t xml:space="preserve"> </w:t>
      </w:r>
      <w:r>
        <w:rPr>
          <w:b/>
          <w:bCs/>
        </w:rPr>
        <w:t xml:space="preserve">trois attributs</w:t>
      </w:r>
      <w:r>
        <w:t xml:space="preserve"> 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une autorité</w:t>
      </w:r>
      <w:r>
        <w:t xml:space="preserve"> </w:t>
      </w:r>
      <w:r>
        <w:t xml:space="preserve">qui le délivre,</w:t>
      </w:r>
      <w:r>
        <w:t xml:space="preserve"> </w:t>
      </w:r>
      <w:r>
        <w:rPr>
          <w:b/>
          <w:bCs/>
        </w:rPr>
        <w:t xml:space="preserve">une durée de validité</w:t>
      </w:r>
      <w:r>
        <w:t xml:space="preserve">, et</w:t>
      </w:r>
      <w:r>
        <w:t xml:space="preserve"> </w:t>
      </w:r>
      <w:r>
        <w:rPr>
          <w:b/>
          <w:bCs/>
        </w:rPr>
        <w:t xml:space="preserve">un caractère plus ou moins bloquant</w:t>
      </w:r>
      <w:r>
        <w:t xml:space="preserve">.</w:t>
      </w:r>
      <w:r>
        <w:t xml:space="preserve"> </w:t>
      </w:r>
      <w:r>
        <w:t xml:space="preserve">&gt; Au niveau de l’entreprise, par exemple : l’agrément professionnel, la quittance de la taxe de superficie.</w:t>
      </w:r>
      <w:r>
        <w:t xml:space="preserve"> </w:t>
      </w:r>
      <w:r>
        <w:t xml:space="preserve">&gt; Au niveau de l’unité d’aménagement : le plan d’aménagement, le plan de gestion, le plan annuel d’opérations, l’autorisation d’exploiter.</w:t>
      </w:r>
      <w:r>
        <w:t xml:space="preserve"> </w:t>
      </w:r>
      <w:r>
        <w:t xml:space="preserve">&gt; Au niveau du produit : le carnet de chantier — le</w:t>
      </w:r>
      <w:r>
        <w:t xml:space="preserve"> </w:t>
      </w:r>
      <w:r>
        <w:rPr>
          <w:b/>
          <w:bCs/>
        </w:rPr>
        <w:t xml:space="preserve">DF10</w:t>
      </w:r>
      <w:r>
        <w:t xml:space="preserve"> </w:t>
      </w:r>
      <w:r>
        <w:t xml:space="preserve">—, le bordereau de transport, la spécification.</w:t>
      </w:r>
      <w:r>
        <w:t xml:space="preserve"> </w:t>
      </w:r>
      <w:r>
        <w:t xml:space="preserve">&gt; Et au niveau social et environnemental : le procès-verbal de consultation, l’étude d’impact, le plan de protection de la faune.</w:t>
      </w:r>
      <w:r>
        <w:t xml:space="preserve"> </w:t>
      </w:r>
      <w:r>
        <w:t xml:space="preserve">&gt; La plateforme</w:t>
      </w:r>
      <w:r>
        <w:t xml:space="preserve"> </w:t>
      </w:r>
      <w:r>
        <w:rPr>
          <w:b/>
          <w:bCs/>
        </w:rPr>
        <w:t xml:space="preserve">connaît ces documents à l’avance</w:t>
      </w:r>
      <w:r>
        <w:t xml:space="preserve"> </w:t>
      </w:r>
      <w:r>
        <w:t xml:space="preserve">: elle sait lesquels sont requis, elle suit leur validité, et elle</w:t>
      </w:r>
      <w:r>
        <w:t xml:space="preserve"> </w:t>
      </w:r>
      <w:r>
        <w:rPr>
          <w:b/>
          <w:bCs/>
        </w:rPr>
        <w:t xml:space="preserve">alerte avant l’expiration</w:t>
      </w:r>
      <w:r>
        <w:t xml:space="preserve">. »</w:t>
      </w:r>
    </w:p>
    <w:p>
      <w:pPr>
        <w:pStyle w:val="BodyText"/>
      </w:pPr>
      <w:r>
        <w:rPr>
          <w:b/>
          <w:bCs/>
        </w:rPr>
        <w:t xml:space="preserve">(Transition) :</w:t>
      </w:r>
      <w:r>
        <w:t xml:space="preserve"> </w:t>
      </w:r>
      <w:r>
        <w:t xml:space="preserve">« Voyons maintenant l’ensemble du parcours, de la forêt au marché. »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8" w:name="_d553476022f882ff0c90e1db971381dfea36fc0"/>
      <w:r>
        <w:t xml:space="preserve">Diapositive 8 — Le workflow de bout en bout</w:t>
      </w:r>
      <w:bookmarkEnd w:id="18"/>
    </w:p>
    <w:p>
      <w:pPr>
        <w:pStyle w:val="FirstParagraph"/>
      </w:pPr>
      <w:r>
        <w:rPr>
          <w:b/>
          <w:bCs/>
        </w:rPr>
        <w:t xml:space="preserve">À l’écran :</w:t>
      </w:r>
      <w:r>
        <w:t xml:space="preserve"> </w:t>
      </w:r>
      <w:r>
        <w:t xml:space="preserve">la grande frise à deux colonnes —</w:t>
      </w:r>
      <w:r>
        <w:t xml:space="preserve"> </w:t>
      </w:r>
      <w:r>
        <w:rPr>
          <w:i/>
          <w:iCs/>
        </w:rPr>
        <w:t xml:space="preserve">Entreprise à gauche / Ministère à droite</w:t>
      </w:r>
      <w:r>
        <w:t xml:space="preserve">, étapes 1 à 11.</w:t>
      </w:r>
    </w:p>
    <w:p>
      <w:pPr>
        <w:pStyle w:val="BodyText"/>
      </w:pPr>
      <w:r>
        <w:rPr>
          <w:b/>
          <w:bCs/>
        </w:rPr>
        <w:t xml:space="preserve">À dire :</w:t>
      </w:r>
      <w:r>
        <w:t xml:space="preserve"> </w:t>
      </w:r>
      <w:r>
        <w:t xml:space="preserve">&gt; « Voici la vue d’ensemble. Onze étapes, de l’agrément jusqu’aux états annuels. Je vais les parcourir, et vous verrez qu’à</w:t>
      </w:r>
      <w:r>
        <w:t xml:space="preserve"> </w:t>
      </w:r>
      <w:r>
        <w:rPr>
          <w:b/>
          <w:bCs/>
        </w:rPr>
        <w:t xml:space="preserve">chaque flèche vers la droite, il y a une décision de l’Administration</w:t>
      </w:r>
      <w:r>
        <w:t xml:space="preserve">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Un</w:t>
      </w:r>
      <w:r>
        <w:t xml:space="preserve"> </w:t>
      </w:r>
      <w:r>
        <w:t xml:space="preserve">: l’entreprise obtient son</w:t>
      </w:r>
      <w:r>
        <w:t xml:space="preserve"> </w:t>
      </w:r>
      <w:r>
        <w:rPr>
          <w:b/>
          <w:bCs/>
        </w:rPr>
        <w:t xml:space="preserve">agrément professionnel</w:t>
      </w:r>
      <w:r>
        <w:t xml:space="preserve">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Deux</w:t>
      </w:r>
      <w:r>
        <w:t xml:space="preserve"> </w:t>
      </w:r>
      <w:r>
        <w:t xml:space="preserve">: elle demande une</w:t>
      </w:r>
      <w:r>
        <w:t xml:space="preserve"> </w:t>
      </w:r>
      <w:r>
        <w:rPr>
          <w:b/>
          <w:bCs/>
        </w:rPr>
        <w:t xml:space="preserve">autorisation d’exploration</w:t>
      </w:r>
      <w:r>
        <w:t xml:space="preserve">, avec l’inventaire.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Trois</w:t>
      </w:r>
      <w:r>
        <w:t xml:space="preserve"> </w:t>
      </w:r>
      <w:r>
        <w:t xml:space="preserve">: elle dépose son projet de</w:t>
      </w:r>
      <w:r>
        <w:t xml:space="preserve"> </w:t>
      </w:r>
      <w:r>
        <w:rPr>
          <w:b/>
          <w:bCs/>
        </w:rPr>
        <w:t xml:space="preserve">convention provisoire</w:t>
      </w:r>
      <w:r>
        <w:t xml:space="preserve"> </w:t>
      </w:r>
      <w:r>
        <w:t xml:space="preserve">— la CPAET.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Quatre</w:t>
      </w:r>
      <w:r>
        <w:t xml:space="preserve"> </w:t>
      </w:r>
      <w:r>
        <w:t xml:space="preserve">: elle dépose le</w:t>
      </w:r>
      <w:r>
        <w:t xml:space="preserve"> </w:t>
      </w:r>
      <w:r>
        <w:rPr>
          <w:b/>
          <w:bCs/>
        </w:rPr>
        <w:t xml:space="preserve">plan d’aménagement</w:t>
      </w:r>
      <w:r>
        <w:t xml:space="preserve"> </w:t>
      </w:r>
      <w:r>
        <w:t xml:space="preserve">et son plan d’industrialisation ; après avis du comité, l’État accorde le titre.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Cinq</w:t>
      </w:r>
      <w:r>
        <w:t xml:space="preserve"> </w:t>
      </w:r>
      <w:r>
        <w:t xml:space="preserve">: par assiette, elle dépose l’</w:t>
      </w:r>
      <w:r>
        <w:rPr>
          <w:b/>
          <w:bCs/>
        </w:rPr>
        <w:t xml:space="preserve">inventaire d’exploitation</w:t>
      </w:r>
      <w:r>
        <w:t xml:space="preserve">, le</w:t>
      </w:r>
      <w:r>
        <w:t xml:space="preserve"> </w:t>
      </w:r>
      <w:r>
        <w:rPr>
          <w:b/>
          <w:bCs/>
        </w:rPr>
        <w:t xml:space="preserve">plan annuel d’opérations</w:t>
      </w:r>
      <w:r>
        <w:t xml:space="preserve"> </w:t>
      </w:r>
      <w:r>
        <w:t xml:space="preserve">et le</w:t>
      </w:r>
      <w:r>
        <w:t xml:space="preserve"> </w:t>
      </w:r>
      <w:r>
        <w:rPr>
          <w:b/>
          <w:bCs/>
        </w:rPr>
        <w:t xml:space="preserve">cahier des clauses contractuelles</w:t>
      </w:r>
      <w:r>
        <w:t xml:space="preserve"> </w:t>
      </w:r>
      <w:r>
        <w:t xml:space="preserve">; l’Administration valide et</w:t>
      </w:r>
      <w:r>
        <w:t xml:space="preserve"> </w:t>
      </w:r>
      <w:r>
        <w:rPr>
          <w:b/>
          <w:bCs/>
        </w:rPr>
        <w:t xml:space="preserve">délivre l’autorisation d’exploiter</w:t>
      </w:r>
      <w:r>
        <w:t xml:space="preserve">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Six</w:t>
      </w:r>
      <w:r>
        <w:t xml:space="preserve"> </w:t>
      </w:r>
      <w:r>
        <w:t xml:space="preserve">: le</w:t>
      </w:r>
      <w:r>
        <w:t xml:space="preserve"> </w:t>
      </w:r>
      <w:r>
        <w:rPr>
          <w:b/>
          <w:bCs/>
        </w:rPr>
        <w:t xml:space="preserve">marquage</w:t>
      </w:r>
      <w:r>
        <w:t xml:space="preserve"> </w:t>
      </w:r>
      <w:r>
        <w:t xml:space="preserve">des arbres à exploiter se fait sous contrôle.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Sept</w:t>
      </w:r>
      <w:r>
        <w:t xml:space="preserve"> </w:t>
      </w:r>
      <w:r>
        <w:t xml:space="preserve">: l’entreprise</w:t>
      </w:r>
      <w:r>
        <w:t xml:space="preserve"> </w:t>
      </w:r>
      <w:r>
        <w:rPr>
          <w:b/>
          <w:bCs/>
        </w:rPr>
        <w:t xml:space="preserve">déclare l’abattage</w:t>
      </w:r>
      <w:r>
        <w:t xml:space="preserve"> </w:t>
      </w:r>
      <w:r>
        <w:t xml:space="preserve">des arbres autorisés.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Huit</w:t>
      </w:r>
      <w:r>
        <w:t xml:space="preserve"> </w:t>
      </w:r>
      <w:r>
        <w:t xml:space="preserve">: l’abattage alimente le</w:t>
      </w:r>
      <w:r>
        <w:t xml:space="preserve"> </w:t>
      </w:r>
      <w:r>
        <w:rPr>
          <w:b/>
          <w:bCs/>
        </w:rPr>
        <w:t xml:space="preserve">carnet de chantier, le DF10</w:t>
      </w:r>
      <w:r>
        <w:t xml:space="preserve">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Neuf</w:t>
      </w:r>
      <w:r>
        <w:t xml:space="preserve"> </w:t>
      </w:r>
      <w:r>
        <w:t xml:space="preserve">: le</w:t>
      </w:r>
      <w:r>
        <w:t xml:space="preserve"> </w:t>
      </w:r>
      <w:r>
        <w:rPr>
          <w:b/>
          <w:bCs/>
        </w:rPr>
        <w:t xml:space="preserve">transport</w:t>
      </w:r>
      <w:r>
        <w:t xml:space="preserve"> </w:t>
      </w:r>
      <w:r>
        <w:t xml:space="preserve">se fait sous bordereau de roulage ou feuille de route.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Dix</w:t>
      </w:r>
      <w:r>
        <w:t xml:space="preserve"> </w:t>
      </w:r>
      <w:r>
        <w:t xml:space="preserve">: la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, avec le registre entrées/sorties.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Onze</w:t>
      </w:r>
      <w:r>
        <w:t xml:space="preserve"> </w:t>
      </w:r>
      <w:r>
        <w:t xml:space="preserve">: les</w:t>
      </w:r>
      <w:r>
        <w:t xml:space="preserve"> </w:t>
      </w:r>
      <w:r>
        <w:rPr>
          <w:b/>
          <w:bCs/>
        </w:rPr>
        <w:t xml:space="preserve">états annuels</w:t>
      </w:r>
      <w:r>
        <w:t xml:space="preserve"> </w:t>
      </w:r>
      <w:r>
        <w:t xml:space="preserve">et le paiement des taxes, contrôlés par la DGF, la DGI et les Douanes.</w:t>
      </w:r>
      <w:r>
        <w:t xml:space="preserve"> </w:t>
      </w:r>
      <w:r>
        <w:t xml:space="preserve">&gt; Chaque étape laisse une</w:t>
      </w:r>
      <w:r>
        <w:t xml:space="preserve"> </w:t>
      </w:r>
      <w:r>
        <w:rPr>
          <w:b/>
          <w:bCs/>
        </w:rPr>
        <w:t xml:space="preserve">trace numérique</w:t>
      </w:r>
      <w:r>
        <w:t xml:space="preserve"> </w:t>
      </w:r>
      <w:r>
        <w:t xml:space="preserve">exploitable par le contrôle. »</w:t>
      </w:r>
    </w:p>
    <w:p>
      <w:pPr>
        <w:pStyle w:val="BodyText"/>
      </w:pPr>
      <w:r>
        <w:rPr>
          <w:b/>
          <w:bCs/>
        </w:rPr>
        <w:t xml:space="preserve">(Repère :</w:t>
      </w:r>
      <w:r>
        <w:t xml:space="preserve"> </w:t>
      </w:r>
      <w:r>
        <w:t xml:space="preserve">comptez les étapes avec les doigts, ou pointez la frise — cela aide le public à suivre.)</w:t>
      </w:r>
    </w:p>
    <w:p>
      <w:pPr>
        <w:pStyle w:val="BodyText"/>
      </w:pPr>
      <w:r>
        <w:rPr>
          <w:b/>
          <w:bCs/>
        </w:rPr>
        <w:t xml:space="preserve">(Transition) :</w:t>
      </w:r>
      <w:r>
        <w:t xml:space="preserve"> </w:t>
      </w:r>
      <w:r>
        <w:t xml:space="preserve">« Arrêtons-nous sur l’amont, car c’est là que se joue la première question de responsabilité. »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9" w:name="_b1ffc378b8463193055418fbba39ee324250228"/>
      <w:r>
        <w:t xml:space="preserve">Diapositive 9 — Amont : titre, UFA, AAC — qui décide quoi</w:t>
      </w:r>
      <w:bookmarkEnd w:id="19"/>
    </w:p>
    <w:p>
      <w:pPr>
        <w:pStyle w:val="FirstParagraph"/>
      </w:pPr>
      <w:r>
        <w:rPr>
          <w:b/>
          <w:bCs/>
        </w:rPr>
        <w:t xml:space="preserve">À l’écran :</w:t>
      </w:r>
      <w:r>
        <w:t xml:space="preserve"> </w:t>
      </w:r>
      <w:r>
        <w:t xml:space="preserve">trois blocs emboîtés —</w:t>
      </w:r>
      <w:r>
        <w:t xml:space="preserve"> </w:t>
      </w:r>
      <w:r>
        <w:rPr>
          <w:i/>
          <w:iCs/>
        </w:rPr>
        <w:t xml:space="preserve">Titre (cf. CFAD) → UFA → jusqu’à 30 assiettes annuelles</w:t>
      </w:r>
      <w:r>
        <w:t xml:space="preserve"> </w:t>
      </w:r>
      <w:r>
        <w:t xml:space="preserve">; à droite, la répartition des rôles.</w:t>
      </w:r>
    </w:p>
    <w:p>
      <w:pPr>
        <w:pStyle w:val="BodyText"/>
      </w:pPr>
      <w:r>
        <w:rPr>
          <w:b/>
          <w:bCs/>
        </w:rPr>
        <w:t xml:space="preserve">À dire :</w:t>
      </w:r>
      <w:r>
        <w:t xml:space="preserve"> </w:t>
      </w:r>
      <w:r>
        <w:t xml:space="preserve">&gt; « En amont, la loi organise un découpage précis.</w:t>
      </w:r>
      <w:r>
        <w:t xml:space="preserve"> </w:t>
      </w:r>
      <w:r>
        <w:t xml:space="preserve">&gt; Un</w:t>
      </w:r>
      <w:r>
        <w:t xml:space="preserve"> </w:t>
      </w:r>
      <w:r>
        <w:rPr>
          <w:b/>
          <w:bCs/>
        </w:rPr>
        <w:t xml:space="preserve">titre</w:t>
      </w:r>
      <w:r>
        <w:t xml:space="preserve"> </w:t>
      </w:r>
      <w:r>
        <w:t xml:space="preserve">— par exemple une concession CFAD — couvre une grande surface. Ce titre est découpé en</w:t>
      </w:r>
      <w:r>
        <w:t xml:space="preserve"> </w:t>
      </w:r>
      <w:r>
        <w:rPr>
          <w:b/>
          <w:bCs/>
        </w:rPr>
        <w:t xml:space="preserve">unités forestières d’aménagement</w:t>
      </w:r>
      <w:r>
        <w:t xml:space="preserve">, les UFA. Chaque UFA est elle-même découpée en</w:t>
      </w:r>
      <w:r>
        <w:t xml:space="preserve"> </w:t>
      </w:r>
      <w:r>
        <w:rPr>
          <w:b/>
          <w:bCs/>
        </w:rPr>
        <w:t xml:space="preserve">assiettes annuelles de coupe</w:t>
      </w:r>
      <w:r>
        <w:t xml:space="preserve"> </w:t>
      </w:r>
      <w:r>
        <w:t xml:space="preserve">— dans le plan d’aménagement, on va jusqu’à</w:t>
      </w:r>
      <w:r>
        <w:t xml:space="preserve"> </w:t>
      </w:r>
      <w:r>
        <w:rPr>
          <w:b/>
          <w:bCs/>
        </w:rPr>
        <w:t xml:space="preserve">une trentaine d’assiettes par UFA</w:t>
      </w:r>
      <w:r>
        <w:t xml:space="preserve">, sur toute la rotation.</w:t>
      </w:r>
      <w:r>
        <w:t xml:space="preserve"> </w:t>
      </w:r>
      <w:r>
        <w:t xml:space="preserve">&gt; Nous avons figé une règle de responsabilité très importante, et je veux qu’elle soit claire :</w:t>
      </w:r>
      <w:r>
        <w:t xml:space="preserve"> </w:t>
      </w:r>
      <w:r>
        <w:t xml:space="preserve">&gt; —</w:t>
      </w:r>
      <w:r>
        <w:t xml:space="preserve"> </w:t>
      </w:r>
      <w:r>
        <w:rPr>
          <w:b/>
          <w:bCs/>
        </w:rPr>
        <w:t xml:space="preserve">le cadre</w:t>
      </w:r>
      <w:r>
        <w:t xml:space="preserve"> </w:t>
      </w:r>
      <w:r>
        <w:t xml:space="preserve">— le titre, l’UFA, la grille des assiettes — vient du</w:t>
      </w:r>
      <w:r>
        <w:t xml:space="preserve"> </w:t>
      </w:r>
      <w:r>
        <w:rPr>
          <w:b/>
          <w:bCs/>
        </w:rPr>
        <w:t xml:space="preserve">Ministère</w:t>
      </w:r>
      <w:r>
        <w:t xml:space="preserve">, sur la base du plan d’aménagement ;</w:t>
      </w:r>
      <w:r>
        <w:t xml:space="preserve"> </w:t>
      </w:r>
      <w:r>
        <w:t xml:space="preserve">&gt; —</w:t>
      </w:r>
      <w:r>
        <w:t xml:space="preserve"> </w:t>
      </w:r>
      <w:r>
        <w:rPr>
          <w:b/>
          <w:bCs/>
        </w:rPr>
        <w:t xml:space="preserve">l’année</w:t>
      </w:r>
      <w:r>
        <w:t xml:space="preserve"> </w:t>
      </w:r>
      <w:r>
        <w:t xml:space="preserve">— l’inventaire, le plan annuel, l’activation de l’assiette — vient de</w:t>
      </w:r>
      <w:r>
        <w:t xml:space="preserve"> </w:t>
      </w:r>
      <w:r>
        <w:rPr>
          <w:b/>
          <w:bCs/>
        </w:rPr>
        <w:t xml:space="preserve">l’entreprise</w:t>
      </w:r>
      <w:r>
        <w:t xml:space="preserve"> </w:t>
      </w:r>
      <w:r>
        <w:t xml:space="preserve">;</w:t>
      </w:r>
      <w:r>
        <w:t xml:space="preserve"> </w:t>
      </w:r>
      <w:r>
        <w:t xml:space="preserve">&gt; — et</w:t>
      </w:r>
      <w:r>
        <w:t xml:space="preserve"> </w:t>
      </w:r>
      <w:r>
        <w:rPr>
          <w:b/>
          <w:bCs/>
        </w:rPr>
        <w:t xml:space="preserve">l’autorisation et l’ouverture</w:t>
      </w:r>
      <w:r>
        <w:t xml:space="preserve"> </w:t>
      </w:r>
      <w:r>
        <w:t xml:space="preserve">de l’assiette reviennent au</w:t>
      </w:r>
      <w:r>
        <w:t xml:space="preserve"> </w:t>
      </w:r>
      <w:r>
        <w:rPr>
          <w:b/>
          <w:bCs/>
        </w:rPr>
        <w:t xml:space="preserve">Ministère</w:t>
      </w:r>
      <w:r>
        <w:t xml:space="preserve">.</w:t>
      </w:r>
      <w:r>
        <w:t xml:space="preserve"> </w:t>
      </w:r>
      <w:r>
        <w:t xml:space="preserve">&gt; Autrement dit :</w:t>
      </w:r>
      <w:r>
        <w:t xml:space="preserve"> </w:t>
      </w:r>
      <w:r>
        <w:rPr>
          <w:b/>
          <w:bCs/>
        </w:rPr>
        <w:t xml:space="preserve">l’Administration tient la carte, l’entreprise propose son programme, l’Administration autorise.</w:t>
      </w:r>
      <w:r>
        <w:t xml:space="preserve"> </w:t>
      </w:r>
      <w:r>
        <w:t xml:space="preserve">»</w:t>
      </w:r>
    </w:p>
    <w:p>
      <w:pPr>
        <w:pStyle w:val="BodyText"/>
      </w:pPr>
      <w:r>
        <w:rPr>
          <w:b/>
          <w:bCs/>
        </w:rPr>
        <w:t xml:space="preserve">(Repère :</w:t>
      </w:r>
      <w:r>
        <w:t xml:space="preserve"> </w:t>
      </w:r>
      <w:r>
        <w:t xml:space="preserve">marquez bien la trilogie « le cadre / l’année / l’autorisation ».)</w:t>
      </w:r>
    </w:p>
    <w:p>
      <w:pPr>
        <w:pStyle w:val="BodyText"/>
      </w:pPr>
      <w:r>
        <w:rPr>
          <w:b/>
          <w:bCs/>
        </w:rPr>
        <w:t xml:space="preserve">(Transition) :</w:t>
      </w:r>
      <w:r>
        <w:t xml:space="preserve"> </w:t>
      </w:r>
      <w:r>
        <w:t xml:space="preserve">« Ce dernier point — l’autorisation d’exploiter — mérite sa propre diapositive. »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_886f8b2e51e508014ffa2ffb1b1fc7e1dd37a18"/>
      <w:r>
        <w:t xml:space="preserve">Diapositive 10 — Le PAO et les quatre autorisations d’exploiter</w:t>
      </w:r>
      <w:bookmarkEnd w:id="20"/>
    </w:p>
    <w:p>
      <w:pPr>
        <w:pStyle w:val="FirstParagraph"/>
      </w:pPr>
      <w:r>
        <w:rPr>
          <w:b/>
          <w:bCs/>
        </w:rPr>
        <w:t xml:space="preserve">À l’écran :</w:t>
      </w:r>
      <w:r>
        <w:t xml:space="preserve"> </w:t>
      </w:r>
      <w:r>
        <w:t xml:space="preserve">quatre cartes —</w:t>
      </w:r>
      <w:r>
        <w:t xml:space="preserve"> </w:t>
      </w:r>
      <w:r>
        <w:rPr>
          <w:i/>
          <w:iCs/>
        </w:rPr>
        <w:t xml:space="preserve">Certificat d’assiette de coupe · Permis annuel d’opérations · Certificat de vente de coupe · CAE</w:t>
      </w:r>
      <w:r>
        <w:t xml:space="preserve"> </w:t>
      </w:r>
      <w:r>
        <w:t xml:space="preserve">— puis une flèche « Demande → Décision → Notification de démarrage ».</w:t>
      </w:r>
    </w:p>
    <w:p>
      <w:pPr>
        <w:pStyle w:val="BodyText"/>
      </w:pPr>
      <w:r>
        <w:rPr>
          <w:b/>
          <w:bCs/>
        </w:rPr>
        <w:t xml:space="preserve">À dire :</w:t>
      </w:r>
      <w:r>
        <w:t xml:space="preserve"> </w:t>
      </w:r>
      <w:r>
        <w:t xml:space="preserve">&gt; « L’article 14 est sans ambiguïté :</w:t>
      </w:r>
      <w:r>
        <w:t xml:space="preserve"> </w:t>
      </w:r>
      <w:r>
        <w:rPr>
          <w:b/>
          <w:bCs/>
        </w:rPr>
        <w:t xml:space="preserve">pas d’exploitation sans autorisation préalable</w:t>
      </w:r>
      <w:r>
        <w:t xml:space="preserve">. La plateforme matérialise cela par</w:t>
      </w:r>
      <w:r>
        <w:t xml:space="preserve"> </w:t>
      </w:r>
      <w:r>
        <w:rPr>
          <w:b/>
          <w:bCs/>
        </w:rPr>
        <w:t xml:space="preserve">quatre autorisations</w:t>
      </w:r>
      <w:r>
        <w:t xml:space="preserve">, selon la nature de la forêt :</w:t>
      </w:r>
      <w:r>
        <w:t xml:space="preserve"> </w:t>
      </w:r>
      <w:r>
        <w:t xml:space="preserve">&gt; le</w:t>
      </w:r>
      <w:r>
        <w:t xml:space="preserve"> </w:t>
      </w:r>
      <w:r>
        <w:rPr>
          <w:b/>
          <w:bCs/>
        </w:rPr>
        <w:t xml:space="preserve">certificat annuel d’assiette de coupe</w:t>
      </w:r>
      <w:r>
        <w:t xml:space="preserve"> </w:t>
      </w:r>
      <w:r>
        <w:t xml:space="preserve">; le</w:t>
      </w:r>
      <w:r>
        <w:t xml:space="preserve"> </w:t>
      </w:r>
      <w:r>
        <w:rPr>
          <w:b/>
          <w:bCs/>
        </w:rPr>
        <w:t xml:space="preserve">permis annuel d’opérations</w:t>
      </w:r>
      <w:r>
        <w:t xml:space="preserve">, le PAO ; le</w:t>
      </w:r>
      <w:r>
        <w:t xml:space="preserve"> </w:t>
      </w:r>
      <w:r>
        <w:rPr>
          <w:b/>
          <w:bCs/>
        </w:rPr>
        <w:t xml:space="preserve">certificat de vente de coupe</w:t>
      </w:r>
      <w:r>
        <w:t xml:space="preserve"> </w:t>
      </w:r>
      <w:r>
        <w:t xml:space="preserve">; et le</w:t>
      </w:r>
      <w:r>
        <w:t xml:space="preserve"> </w:t>
      </w:r>
      <w:r>
        <w:rPr>
          <w:b/>
          <w:bCs/>
        </w:rPr>
        <w:t xml:space="preserve">CAE</w:t>
      </w:r>
      <w:r>
        <w:t xml:space="preserve"> </w:t>
      </w:r>
      <w:r>
        <w:t xml:space="preserve">pour les forêts communautaires.</w:t>
      </w:r>
      <w:r>
        <w:t xml:space="preserve"> </w:t>
      </w:r>
      <w:r>
        <w:t xml:space="preserve">&gt; Le parcours est toujours le même, et il est</w:t>
      </w:r>
      <w:r>
        <w:t xml:space="preserve"> </w:t>
      </w:r>
      <w:r>
        <w:rPr>
          <w:b/>
          <w:bCs/>
        </w:rPr>
        <w:t xml:space="preserve">traçable</w:t>
      </w:r>
      <w:r>
        <w:t xml:space="preserve"> 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l’entreprise fait la demande</w:t>
      </w:r>
      <w:r>
        <w:t xml:space="preserve">, en déposant son plan d’opérations 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le Ministère décide</w:t>
      </w:r>
      <w:r>
        <w:t xml:space="preserve"> </w:t>
      </w:r>
      <w:r>
        <w:t xml:space="preserve">— il délivre, ou il rejette</w:t>
      </w:r>
      <w:r>
        <w:t xml:space="preserve"> </w:t>
      </w:r>
      <w:r>
        <w:rPr>
          <w:b/>
          <w:bCs/>
        </w:rPr>
        <w:t xml:space="preserve">avec un motif obligatoire</w:t>
      </w:r>
      <w:r>
        <w:t xml:space="preserve"> </w:t>
      </w:r>
      <w:r>
        <w:t xml:space="preserve">;</w:t>
      </w:r>
      <w:r>
        <w:t xml:space="preserve"> </w:t>
      </w:r>
      <w:r>
        <w:t xml:space="preserve">&gt; puis</w:t>
      </w:r>
      <w:r>
        <w:t xml:space="preserve"> </w:t>
      </w:r>
      <w:r>
        <w:rPr>
          <w:b/>
          <w:bCs/>
        </w:rPr>
        <w:t xml:space="preserve">l’entreprise notifie le démarrage</w:t>
      </w:r>
      <w:r>
        <w:t xml:space="preserve"> </w:t>
      </w:r>
      <w:r>
        <w:t xml:space="preserve">des activités auprès de la délégation régionale.</w:t>
      </w:r>
      <w:r>
        <w:t xml:space="preserve"> </w:t>
      </w:r>
      <w:r>
        <w:t xml:space="preserve">&gt; Ce dernier point est nouveau et important : le système</w:t>
      </w:r>
      <w:r>
        <w:t xml:space="preserve"> </w:t>
      </w:r>
      <w:r>
        <w:rPr>
          <w:b/>
          <w:bCs/>
        </w:rPr>
        <w:t xml:space="preserve">refuse</w:t>
      </w:r>
      <w:r>
        <w:t xml:space="preserve"> </w:t>
      </w:r>
      <w:r>
        <w:t xml:space="preserve">de considérer une activité comme lancée tant que l’autorisation n’est pas délivrée</w:t>
      </w:r>
      <w:r>
        <w:t xml:space="preserve"> </w:t>
      </w:r>
      <w:r>
        <w:rPr>
          <w:b/>
          <w:bCs/>
        </w:rPr>
        <w:t xml:space="preserve">et</w:t>
      </w:r>
      <w:r>
        <w:t xml:space="preserve"> </w:t>
      </w:r>
      <w:r>
        <w:t xml:space="preserve">que le démarrage n’est pas notifié.</w:t>
      </w:r>
      <w:r>
        <w:t xml:space="preserve"> </w:t>
      </w:r>
      <w:r>
        <w:t xml:space="preserve">&gt; C’est la traduction exacte de l’article 14 dans le logiciel. »</w:t>
      </w:r>
    </w:p>
    <w:p>
      <w:pPr>
        <w:pStyle w:val="BodyText"/>
      </w:pPr>
      <w:r>
        <w:rPr>
          <w:b/>
          <w:bCs/>
        </w:rPr>
        <w:t xml:space="preserve">(Transition) :</w:t>
      </w:r>
      <w:r>
        <w:t xml:space="preserve"> </w:t>
      </w:r>
      <w:r>
        <w:t xml:space="preserve">« Mais autoriser ne suffit pas. Il faut vérifier, à chaque déclaration, que la loi est respectée. »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_04891f46e439332259f9fd583bf8c67bbe1d640"/>
      <w:r>
        <w:t xml:space="preserve">Diapositive 11 — La conformité à deux niveaux</w:t>
      </w:r>
      <w:bookmarkEnd w:id="21"/>
    </w:p>
    <w:p>
      <w:pPr>
        <w:pStyle w:val="FirstParagraph"/>
      </w:pPr>
      <w:r>
        <w:rPr>
          <w:b/>
          <w:bCs/>
        </w:rPr>
        <w:t xml:space="preserve">À l’écran :</w:t>
      </w:r>
      <w:r>
        <w:t xml:space="preserve"> </w:t>
      </w:r>
      <w:r>
        <w:t xml:space="preserve">deux colonnes —</w:t>
      </w:r>
      <w:r>
        <w:t xml:space="preserve"> </w:t>
      </w:r>
      <w:r>
        <w:rPr>
          <w:b/>
          <w:bCs/>
        </w:rPr>
        <w:t xml:space="preserve">Blocages durs (illicite)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Avertissements (l’Administration tranche)</w:t>
      </w:r>
      <w:r>
        <w:t xml:space="preserve"> </w:t>
      </w:r>
      <w:r>
        <w:t xml:space="preserve">— couleur rouge / orange.</w:t>
      </w:r>
    </w:p>
    <w:p>
      <w:pPr>
        <w:pStyle w:val="BodyText"/>
      </w:pPr>
      <w:r>
        <w:rPr>
          <w:b/>
          <w:bCs/>
        </w:rPr>
        <w:t xml:space="preserve">À dire :</w:t>
      </w:r>
      <w:r>
        <w:t xml:space="preserve"> </w:t>
      </w:r>
      <w:r>
        <w:t xml:space="preserve">&gt; « Voici la pièce maîtresse du système, et ce qui fait sa crédibilité.</w:t>
      </w:r>
      <w:r>
        <w:t xml:space="preserve"> </w:t>
      </w:r>
      <w:r>
        <w:t xml:space="preserve">&gt; La conformité n’est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binaire. Nous distinguons</w:t>
      </w:r>
      <w:r>
        <w:t xml:space="preserve"> </w:t>
      </w:r>
      <w:r>
        <w:rPr>
          <w:b/>
          <w:bCs/>
        </w:rPr>
        <w:t xml:space="preserve">deux niveaux</w:t>
      </w:r>
      <w:r>
        <w:t xml:space="preserve">.</w:t>
      </w:r>
      <w:r>
        <w:t xml:space="preserve"> </w:t>
      </w:r>
      <w:r>
        <w:t xml:space="preserve">&gt; Le premier niveau, ce sont les</w:t>
      </w:r>
      <w:r>
        <w:t xml:space="preserve"> </w:t>
      </w:r>
      <w:r>
        <w:rPr>
          <w:b/>
          <w:bCs/>
        </w:rPr>
        <w:t xml:space="preserve">blocages durs</w:t>
      </w:r>
      <w:r>
        <w:t xml:space="preserve"> </w:t>
      </w:r>
      <w:r>
        <w:t xml:space="preserve">: ce qui est</w:t>
      </w:r>
      <w:r>
        <w:t xml:space="preserve"> </w:t>
      </w:r>
      <w:r>
        <w:rPr>
          <w:b/>
          <w:bCs/>
        </w:rPr>
        <w:t xml:space="preserve">techniquement illégal</w:t>
      </w:r>
      <w:r>
        <w:t xml:space="preserve">. Le système</w:t>
      </w:r>
      <w:r>
        <w:t xml:space="preserve"> </w:t>
      </w:r>
      <w:r>
        <w:rPr>
          <w:b/>
          <w:bCs/>
        </w:rPr>
        <w:t xml:space="preserve">refuse la déclaration</w:t>
      </w:r>
      <w:r>
        <w:t xml:space="preserve">. Il y en a cinq :</w:t>
      </w:r>
      <w:r>
        <w:t xml:space="preserve"> </w:t>
      </w:r>
      <w:r>
        <w:t xml:space="preserve">&gt; — abattre</w:t>
      </w:r>
      <w:r>
        <w:t xml:space="preserve"> </w:t>
      </w:r>
      <w:r>
        <w:rPr>
          <w:b/>
          <w:bCs/>
        </w:rPr>
        <w:t xml:space="preserve">sans autorisation préalable</w:t>
      </w:r>
      <w:r>
        <w:t xml:space="preserve"> </w:t>
      </w:r>
      <w:r>
        <w:t xml:space="preserve">— article 14 ;</w:t>
      </w:r>
      <w:r>
        <w:t xml:space="preserve"> </w:t>
      </w:r>
      <w:r>
        <w:t xml:space="preserve">&gt; — un arbre dont le diamètre est</w:t>
      </w:r>
      <w:r>
        <w:t xml:space="preserve"> </w:t>
      </w:r>
      <w:r>
        <w:rPr>
          <w:b/>
          <w:bCs/>
        </w:rPr>
        <w:t xml:space="preserve">inférieur au minimum d’exploitation</w:t>
      </w:r>
      <w:r>
        <w:t xml:space="preserve"> </w:t>
      </w:r>
      <w:r>
        <w:t xml:space="preserve">— article 124 ;</w:t>
      </w:r>
      <w:r>
        <w:t xml:space="preserve"> </w:t>
      </w:r>
      <w:r>
        <w:t xml:space="preserve">&gt; — une</w:t>
      </w:r>
      <w:r>
        <w:t xml:space="preserve"> </w:t>
      </w:r>
      <w:r>
        <w:rPr>
          <w:b/>
          <w:bCs/>
        </w:rPr>
        <w:t xml:space="preserve">espèce mise en réserve</w:t>
      </w:r>
      <w:r>
        <w:t xml:space="preserve">, comme le Kévazingo ;</w:t>
      </w:r>
      <w:r>
        <w:t xml:space="preserve"> </w:t>
      </w:r>
      <w:r>
        <w:t xml:space="preserve">&gt; — un</w:t>
      </w:r>
      <w:r>
        <w:t xml:space="preserve"> </w:t>
      </w:r>
      <w:r>
        <w:rPr>
          <w:b/>
          <w:bCs/>
        </w:rPr>
        <w:t xml:space="preserve">code d’arbre en doublon</w:t>
      </w:r>
      <w:r>
        <w:t xml:space="preserve"> </w:t>
      </w:r>
      <w:r>
        <w:t xml:space="preserve">;</w:t>
      </w:r>
      <w:r>
        <w:t xml:space="preserve"> </w:t>
      </w:r>
      <w:r>
        <w:t xml:space="preserve">&gt; — ou un arbre</w:t>
      </w:r>
      <w:r>
        <w:t xml:space="preserve"> </w:t>
      </w:r>
      <w:r>
        <w:rPr>
          <w:b/>
          <w:bCs/>
        </w:rPr>
        <w:t xml:space="preserve">situé en dehors de l’assiette autorisée</w:t>
      </w:r>
      <w:r>
        <w:t xml:space="preserve">.</w:t>
      </w:r>
      <w:r>
        <w:t xml:space="preserve"> </w:t>
      </w:r>
      <w:r>
        <w:t xml:space="preserve">&gt; Sur ces points, impossible de soumettre.</w:t>
      </w:r>
      <w:r>
        <w:t xml:space="preserve"> </w:t>
      </w:r>
      <w:r>
        <w:rPr>
          <w:b/>
          <w:bCs/>
        </w:rPr>
        <w:t xml:space="preserve">Le logiciel ne laisse pas passer l’illégal.</w:t>
      </w:r>
      <w:r>
        <w:t xml:space="preserve"> </w:t>
      </w:r>
      <w:r>
        <w:t xml:space="preserve">&gt; Le second niveau, ce sont les</w:t>
      </w:r>
      <w:r>
        <w:t xml:space="preserve"> </w:t>
      </w:r>
      <w:r>
        <w:rPr>
          <w:b/>
          <w:bCs/>
        </w:rPr>
        <w:t xml:space="preserve">avertissements</w:t>
      </w:r>
      <w:r>
        <w:t xml:space="preserve"> </w:t>
      </w:r>
      <w:r>
        <w:t xml:space="preserve">: document manquant ou expiré, taxe impayée, autorisation en attente, carnet non tenu, espèce CITES sans permis. Là, la déclaration</w:t>
      </w:r>
      <w:r>
        <w:t xml:space="preserve"> </w:t>
      </w:r>
      <w:r>
        <w:rPr>
          <w:b/>
          <w:bCs/>
        </w:rPr>
        <w:t xml:space="preserve">est acceptée</w:t>
      </w:r>
      <w:r>
        <w:t xml:space="preserve">, mais signalée —</w:t>
      </w:r>
      <w:r>
        <w:t xml:space="preserve"> </w:t>
      </w:r>
      <w:r>
        <w:rPr>
          <w:b/>
          <w:bCs/>
        </w:rPr>
        <w:t xml:space="preserve">et l’agent du Ministère décide</w:t>
      </w:r>
      <w:r>
        <w:t xml:space="preserve"> </w:t>
      </w:r>
      <w:r>
        <w:t xml:space="preserve">de rejeter ou non.</w:t>
      </w:r>
      <w:r>
        <w:t xml:space="preserve"> </w:t>
      </w:r>
      <w:r>
        <w:t xml:space="preserve">&gt; Pourquoi cette distinction ? Parce qu’un document peut être en cours de renouvellement sans que l’activité soit illégale.</w:t>
      </w:r>
      <w:r>
        <w:t xml:space="preserve"> </w:t>
      </w:r>
      <w:r>
        <w:rPr>
          <w:b/>
          <w:bCs/>
        </w:rPr>
        <w:t xml:space="preserve">Nous ne substituons pas l’algorithme au jugement de l’administration : nous l’éclairons.</w:t>
      </w:r>
      <w:r>
        <w:t xml:space="preserve"> </w:t>
      </w:r>
      <w:r>
        <w:t xml:space="preserve">»</w:t>
      </w:r>
    </w:p>
    <w:p>
      <w:pPr>
        <w:pStyle w:val="BodyText"/>
      </w:pPr>
      <w:r>
        <w:rPr>
          <w:b/>
          <w:bCs/>
        </w:rPr>
        <w:t xml:space="preserve">(Repère :</w:t>
      </w:r>
      <w:r>
        <w:t xml:space="preserve"> </w:t>
      </w:r>
      <w:r>
        <w:t xml:space="preserve">c’est la diapositive la plus importante ; ralentissez. Laissez un silence après « le logiciel ne laisse pas passer l’illégal ».)</w:t>
      </w:r>
    </w:p>
    <w:p>
      <w:pPr>
        <w:pStyle w:val="BodyText"/>
      </w:pPr>
      <w:r>
        <w:rPr>
          <w:b/>
          <w:bCs/>
        </w:rPr>
        <w:t xml:space="preserve">(Transition) :</w:t>
      </w:r>
      <w:r>
        <w:t xml:space="preserve"> </w:t>
      </w:r>
      <w:r>
        <w:t xml:space="preserve">« Voyons cette conformité à l’œuvre, sur l’acte central : l’abattage. »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_6ecb8e924b46f2919a6645737d8d4de2f501edb"/>
      <w:r>
        <w:t xml:space="preserve">Diapositive 12 — La déclaration d’abattage, en temps réel</w:t>
      </w:r>
      <w:bookmarkEnd w:id="22"/>
    </w:p>
    <w:p>
      <w:pPr>
        <w:pStyle w:val="FirstParagraph"/>
      </w:pPr>
      <w:r>
        <w:rPr>
          <w:b/>
          <w:bCs/>
        </w:rPr>
        <w:t xml:space="preserve">À l’écran :</w:t>
      </w:r>
      <w:r>
        <w:t xml:space="preserve"> </w:t>
      </w:r>
      <w:r>
        <w:t xml:space="preserve">capture logique d’un formulaire —</w:t>
      </w:r>
      <w:r>
        <w:t xml:space="preserve"> </w:t>
      </w:r>
      <w:r>
        <w:rPr>
          <w:i/>
          <w:iCs/>
        </w:rPr>
        <w:t xml:space="preserve">Titre · Assiette · Code arbre · Espèce · Diamètre · GPS</w:t>
      </w:r>
      <w:r>
        <w:t xml:space="preserve"> </w:t>
      </w:r>
      <w:r>
        <w:t xml:space="preserve">→ verdict de conformité.</w:t>
      </w:r>
    </w:p>
    <w:p>
      <w:pPr>
        <w:pStyle w:val="BodyText"/>
      </w:pPr>
      <w:r>
        <w:rPr>
          <w:b/>
          <w:bCs/>
        </w:rPr>
        <w:t xml:space="preserve">À dire :</w:t>
      </w:r>
      <w:r>
        <w:t xml:space="preserve"> </w:t>
      </w:r>
      <w:r>
        <w:t xml:space="preserve">&gt; « L’acte central de la filière, c’est l’abattage. Voici comment il est déclaré.</w:t>
      </w:r>
      <w:r>
        <w:t xml:space="preserve"> </w:t>
      </w:r>
      <w:r>
        <w:t xml:space="preserve">&gt; L’entreprise sélectionne</w:t>
      </w:r>
      <w:r>
        <w:t xml:space="preserve"> </w:t>
      </w:r>
      <w:r>
        <w:rPr>
          <w:b/>
          <w:bCs/>
        </w:rPr>
        <w:t xml:space="preserve">le titre et l’assiette</w:t>
      </w:r>
      <w:r>
        <w:t xml:space="preserve">, saisit le</w:t>
      </w:r>
      <w:r>
        <w:t xml:space="preserve"> </w:t>
      </w:r>
      <w:r>
        <w:rPr>
          <w:b/>
          <w:bCs/>
        </w:rPr>
        <w:t xml:space="preserve">code de l’arbre</w:t>
      </w:r>
      <w:r>
        <w:t xml:space="preserve">, l’</w:t>
      </w:r>
      <w:r>
        <w:rPr>
          <w:b/>
          <w:bCs/>
        </w:rPr>
        <w:t xml:space="preserve">espèce</w:t>
      </w:r>
      <w:r>
        <w:t xml:space="preserve">, le</w:t>
      </w:r>
      <w:r>
        <w:t xml:space="preserve"> </w:t>
      </w:r>
      <w:r>
        <w:rPr>
          <w:b/>
          <w:bCs/>
        </w:rPr>
        <w:t xml:space="preserve">diamètre</w:t>
      </w:r>
      <w:r>
        <w:t xml:space="preserve">, et la</w:t>
      </w:r>
      <w:r>
        <w:t xml:space="preserve"> </w:t>
      </w:r>
      <w:r>
        <w:rPr>
          <w:b/>
          <w:bCs/>
        </w:rPr>
        <w:t xml:space="preserve">position GPS</w:t>
      </w:r>
      <w:r>
        <w:t xml:space="preserve">.</w:t>
      </w:r>
      <w:r>
        <w:t xml:space="preserve"> </w:t>
      </w:r>
      <w:r>
        <w:t xml:space="preserve">&gt; À la saisie, le système exécute</w:t>
      </w:r>
      <w:r>
        <w:t xml:space="preserve"> </w:t>
      </w:r>
      <w:r>
        <w:rPr>
          <w:b/>
          <w:bCs/>
        </w:rPr>
        <w:t xml:space="preserve">automatiquement</w:t>
      </w:r>
      <w:r>
        <w:t xml:space="preserve"> </w:t>
      </w:r>
      <w:r>
        <w:t xml:space="preserve">les contrôles dont je viens de parler : diamètre minimum, essences réservées, espèces CITES, doublons,</w:t>
      </w:r>
      <w:r>
        <w:t xml:space="preserve"> </w:t>
      </w:r>
      <w:r>
        <w:rPr>
          <w:b/>
          <w:bCs/>
        </w:rPr>
        <w:t xml:space="preserve">assiette ouverte</w:t>
      </w:r>
      <w:r>
        <w:t xml:space="preserve">,</w:t>
      </w:r>
      <w:r>
        <w:t xml:space="preserve"> </w:t>
      </w:r>
      <w:r>
        <w:rPr>
          <w:b/>
          <w:bCs/>
        </w:rPr>
        <w:t xml:space="preserve">documents valides</w:t>
      </w:r>
      <w:r>
        <w:t xml:space="preserve">, et un contrôle</w:t>
      </w:r>
      <w:r>
        <w:t xml:space="preserve"> </w:t>
      </w:r>
      <w:r>
        <w:rPr>
          <w:b/>
          <w:bCs/>
        </w:rPr>
        <w:t xml:space="preserve">géographique</w:t>
      </w:r>
      <w:r>
        <w:t xml:space="preserve"> </w:t>
      </w:r>
      <w:r>
        <w:t xml:space="preserve">: l’arbre est-il bien</w:t>
      </w:r>
      <w:r>
        <w:t xml:space="preserve"> </w:t>
      </w:r>
      <w:r>
        <w:rPr>
          <w:b/>
          <w:bCs/>
        </w:rPr>
        <w:t xml:space="preserve">à l’intérieur des limites de l’assiette</w:t>
      </w:r>
      <w:r>
        <w:t xml:space="preserve"> </w:t>
      </w:r>
      <w:r>
        <w:t xml:space="preserve">? Ce contrôle utilise la géométrie officielle de l’assiette.</w:t>
      </w:r>
      <w:r>
        <w:t xml:space="preserve"> </w:t>
      </w:r>
      <w:r>
        <w:t xml:space="preserve">&gt; Le résultat s’affiche immédiatement :</w:t>
      </w:r>
      <w:r>
        <w:t xml:space="preserve"> </w:t>
      </w:r>
      <w:r>
        <w:rPr>
          <w:b/>
          <w:bCs/>
        </w:rPr>
        <w:t xml:space="preserve">vert</w:t>
      </w:r>
      <w:r>
        <w:t xml:space="preserve"> </w:t>
      </w:r>
      <w:r>
        <w:t xml:space="preserve">si tout est en règle,</w:t>
      </w:r>
      <w:r>
        <w:t xml:space="preserve"> </w:t>
      </w:r>
      <w:r>
        <w:rPr>
          <w:b/>
          <w:bCs/>
        </w:rPr>
        <w:t xml:space="preserve">bloquant</w:t>
      </w:r>
      <w:r>
        <w:t xml:space="preserve"> </w:t>
      </w:r>
      <w:r>
        <w:t xml:space="preserve">si c’est illégal.</w:t>
      </w:r>
      <w:r>
        <w:t xml:space="preserve"> </w:t>
      </w:r>
      <w:r>
        <w:t xml:space="preserve">&gt; Puis</w:t>
      </w:r>
      <w:r>
        <w:t xml:space="preserve"> </w:t>
      </w:r>
      <w:r>
        <w:rPr>
          <w:b/>
          <w:bCs/>
        </w:rPr>
        <w:t xml:space="preserve">le Ministère approuve ou rejette</w:t>
      </w:r>
      <w:r>
        <w:t xml:space="preserve"> </w:t>
      </w:r>
      <w:r>
        <w:t xml:space="preserve">la déclaration. L’arbre ne devient réellement exploitable qu’après cette décision.</w:t>
      </w:r>
      <w:r>
        <w:t xml:space="preserve"> </w:t>
      </w:r>
      <w:r>
        <w:t xml:space="preserve">&gt; Le message à retenir :</w:t>
      </w:r>
      <w:r>
        <w:t xml:space="preserve"> </w:t>
      </w:r>
      <w:r>
        <w:rPr>
          <w:b/>
          <w:bCs/>
        </w:rPr>
        <w:t xml:space="preserve">on ne peut pas déclarer un abattage illégal, et on ne peut pas exploiter sans l’accord de l’Administration.</w:t>
      </w:r>
      <w:r>
        <w:t xml:space="preserve"> </w:t>
      </w:r>
      <w:r>
        <w:t xml:space="preserve">»</w:t>
      </w:r>
    </w:p>
    <w:p>
      <w:pPr>
        <w:pStyle w:val="BodyText"/>
      </w:pPr>
      <w:r>
        <w:rPr>
          <w:b/>
          <w:bCs/>
        </w:rPr>
        <w:t xml:space="preserve">(Transition) :</w:t>
      </w:r>
      <w:r>
        <w:t xml:space="preserve"> </w:t>
      </w:r>
      <w:r>
        <w:t xml:space="preserve">« Une fois l’arbre abattu, il faut prouver son origine. C’est le rôle de la traçabilité. »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_b6f2da55f181a0970eaae5aa5fecaa57973be7a"/>
      <w:r>
        <w:t xml:space="preserve">Diapositive 13 — La traçabilité de la grume</w:t>
      </w:r>
      <w:bookmarkEnd w:id="23"/>
    </w:p>
    <w:p>
      <w:pPr>
        <w:pStyle w:val="FirstParagraph"/>
      </w:pPr>
      <w:r>
        <w:rPr>
          <w:b/>
          <w:bCs/>
        </w:rPr>
        <w:t xml:space="preserve">À l’écran :</w:t>
      </w:r>
      <w:r>
        <w:t xml:space="preserve"> </w:t>
      </w:r>
      <w:r>
        <w:t xml:space="preserve">chaîne</w:t>
      </w:r>
      <w:r>
        <w:t xml:space="preserve"> </w:t>
      </w:r>
      <w:r>
        <w:rPr>
          <w:i/>
          <w:iCs/>
        </w:rPr>
        <w:t xml:space="preserve">Arbre marqué → Abattu → DF10 → Transport → Réception → Transformation</w:t>
      </w:r>
      <w:r>
        <w:t xml:space="preserve">, avec un QR.</w:t>
      </w:r>
    </w:p>
    <w:p>
      <w:pPr>
        <w:pStyle w:val="BodyText"/>
      </w:pPr>
      <w:r>
        <w:rPr>
          <w:b/>
          <w:bCs/>
        </w:rPr>
        <w:t xml:space="preserve">À dire :</w:t>
      </w:r>
      <w:r>
        <w:t xml:space="preserve"> </w:t>
      </w:r>
      <w:r>
        <w:t xml:space="preserve">&gt; « La traçabilité repose sur trois éléments.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Le marquage.</w:t>
      </w:r>
      <w:r>
        <w:t xml:space="preserve"> </w:t>
      </w:r>
      <w:r>
        <w:t xml:space="preserve">Chaque titulaire possède un marteau enregistré. Tout arbre abattu est identifié — par un marteau et un code d’identification — sur la souche, la culée et les grumes. Article 127 à 129.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Le carnet de chantier, le DF10.</w:t>
      </w:r>
      <w:r>
        <w:t xml:space="preserve"> </w:t>
      </w:r>
      <w:r>
        <w:t xml:space="preserve">Il est alimenté</w:t>
      </w:r>
      <w:r>
        <w:t xml:space="preserve"> </w:t>
      </w:r>
      <w:r>
        <w:rPr>
          <w:b/>
          <w:bCs/>
        </w:rPr>
        <w:t xml:space="preserve">automatiquement</w:t>
      </w:r>
      <w:r>
        <w:t xml:space="preserve"> </w:t>
      </w:r>
      <w:r>
        <w:t xml:space="preserve">par les événements : chaque arbre abattu reçoit un</w:t>
      </w:r>
      <w:r>
        <w:t xml:space="preserve"> </w:t>
      </w:r>
      <w:r>
        <w:rPr>
          <w:b/>
          <w:bCs/>
        </w:rPr>
        <w:t xml:space="preserve">numéro DF10</w:t>
      </w:r>
      <w:r>
        <w:t xml:space="preserve">, et le carnet peut être</w:t>
      </w:r>
      <w:r>
        <w:t xml:space="preserve"> </w:t>
      </w:r>
      <w:r>
        <w:rPr>
          <w:b/>
          <w:bCs/>
        </w:rPr>
        <w:t xml:space="preserve">exporté en PDF</w:t>
      </w:r>
      <w:r>
        <w:t xml:space="preserve">. La plateforme gère aussi les codes conventionnels d’abandon — par exemple une grume laissée sur place, article 134.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Le transport.</w:t>
      </w:r>
      <w:r>
        <w:t xml:space="preserve"> </w:t>
      </w:r>
      <w:r>
        <w:t xml:space="preserve">L’entreprise génère un</w:t>
      </w:r>
      <w:r>
        <w:t xml:space="preserve"> </w:t>
      </w:r>
      <w:r>
        <w:rPr>
          <w:b/>
          <w:bCs/>
        </w:rPr>
        <w:t xml:space="preserve">bordereau de roulage</w:t>
      </w:r>
      <w:r>
        <w:t xml:space="preserve">, une</w:t>
      </w:r>
      <w:r>
        <w:t xml:space="preserve"> </w:t>
      </w:r>
      <w:r>
        <w:rPr>
          <w:b/>
          <w:bCs/>
        </w:rPr>
        <w:t xml:space="preserve">feuille de route</w:t>
      </w:r>
      <w:r>
        <w:t xml:space="preserve"> </w:t>
      </w:r>
      <w:r>
        <w:t xml:space="preserve">ou une</w:t>
      </w:r>
      <w:r>
        <w:t xml:space="preserve"> </w:t>
      </w:r>
      <w:r>
        <w:rPr>
          <w:b/>
          <w:bCs/>
        </w:rPr>
        <w:t xml:space="preserve">spécification</w:t>
      </w:r>
      <w:r>
        <w:t xml:space="preserve">, avec le détail des grumes. Le document suit un cycle de vie :</w:t>
      </w:r>
      <w:r>
        <w:t xml:space="preserve"> </w:t>
      </w:r>
      <w:r>
        <w:rPr>
          <w:b/>
          <w:bCs/>
        </w:rPr>
        <w:t xml:space="preserve">brouillon, émis, réceptionné</w:t>
      </w:r>
      <w:r>
        <w:t xml:space="preserve">.</w:t>
      </w:r>
      <w:r>
        <w:t xml:space="preserve"> </w:t>
      </w:r>
      <w:r>
        <w:t xml:space="preserve">&gt; Résultat :</w:t>
      </w:r>
      <w:r>
        <w:t xml:space="preserve"> </w:t>
      </w:r>
      <w:r>
        <w:rPr>
          <w:b/>
          <w:bCs/>
        </w:rPr>
        <w:t xml:space="preserve">de l’arbre à l’usine, on peut reconstituer le parcours complet de chaque grume</w:t>
      </w:r>
      <w:r>
        <w:t xml:space="preserve"> </w:t>
      </w:r>
      <w:r>
        <w:t xml:space="preserve">— et le présenter à un contrôle ou à un acheteur européen. »</w:t>
      </w:r>
    </w:p>
    <w:p>
      <w:pPr>
        <w:pStyle w:val="BodyText"/>
      </w:pPr>
      <w:r>
        <w:rPr>
          <w:b/>
          <w:bCs/>
        </w:rPr>
        <w:t xml:space="preserve">(Transition) :</w:t>
      </w:r>
      <w:r>
        <w:t xml:space="preserve"> </w:t>
      </w:r>
      <w:r>
        <w:t xml:space="preserve">« À cela s’ajoutent les volets fiscal, social et environnemental. »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_0455423c36df7d95b723377aa1871e279f84dd9"/>
      <w:r>
        <w:t xml:space="preserve">Diapositive 14 — Fiscalité, social et RDUE</w:t>
      </w:r>
      <w:bookmarkEnd w:id="24"/>
    </w:p>
    <w:p>
      <w:pPr>
        <w:pStyle w:val="FirstParagraph"/>
      </w:pPr>
      <w:r>
        <w:rPr>
          <w:b/>
          <w:bCs/>
        </w:rPr>
        <w:t xml:space="preserve">À l’écran :</w:t>
      </w:r>
      <w:r>
        <w:t xml:space="preserve"> </w:t>
      </w:r>
      <w:r>
        <w:t xml:space="preserve">trois cartes —</w:t>
      </w:r>
      <w:r>
        <w:t xml:space="preserve"> </w:t>
      </w:r>
      <w:r>
        <w:rPr>
          <w:i/>
          <w:iCs/>
        </w:rPr>
        <w:t xml:space="preserve">Taxes &amp; échéances · CCC &amp; FDL communautaires · Diligence RDUE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À dire :</w:t>
      </w:r>
      <w:r>
        <w:t xml:space="preserve"> </w:t>
      </w:r>
      <w:r>
        <w:t xml:space="preserve">&gt; « Trois volets complètent le dispositif.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La fiscalité.</w:t>
      </w:r>
      <w:r>
        <w:t xml:space="preserve"> </w:t>
      </w:r>
      <w:r>
        <w:t xml:space="preserve">La plateforme suit les quittances — superficie, abattage, surveillance, transformation — et, surtout,</w:t>
      </w:r>
      <w:r>
        <w:t xml:space="preserve"> </w:t>
      </w:r>
      <w:r>
        <w:rPr>
          <w:b/>
          <w:bCs/>
        </w:rPr>
        <w:t xml:space="preserve">l’échéancier</w:t>
      </w:r>
      <w:r>
        <w:t xml:space="preserve"> </w:t>
      </w:r>
      <w:r>
        <w:t xml:space="preserve">: chaque échéance est soit due, soit en retard, soit payée. Et une règle de la loi est appliquée automatiquement :</w:t>
      </w:r>
      <w:r>
        <w:t xml:space="preserve"> </w:t>
      </w:r>
      <w:r>
        <w:rPr>
          <w:b/>
          <w:bCs/>
        </w:rPr>
        <w:t xml:space="preserve">le retard déclenche la surcharge du double droit</w:t>
      </w:r>
      <w:r>
        <w:t xml:space="preserve">, article 283.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Le social.</w:t>
      </w:r>
      <w:r>
        <w:t xml:space="preserve"> </w:t>
      </w:r>
      <w:r>
        <w:t xml:space="preserve">Le</w:t>
      </w:r>
      <w:r>
        <w:t xml:space="preserve"> </w:t>
      </w:r>
      <w:r>
        <w:rPr>
          <w:b/>
          <w:bCs/>
        </w:rPr>
        <w:t xml:space="preserve">cahier des clauses contractuelles</w:t>
      </w:r>
      <w:r>
        <w:t xml:space="preserve">, le CCC, lie un titre à une communauté d’accueil. La contribution au fonds de développement local est calculée sur le volume récolté — par défaut</w:t>
      </w:r>
      <w:r>
        <w:t xml:space="preserve"> </w:t>
      </w:r>
      <w:r>
        <w:rPr>
          <w:b/>
          <w:bCs/>
        </w:rPr>
        <w:t xml:space="preserve">800 francs CFA par mètre cube</w:t>
      </w:r>
      <w:r>
        <w:t xml:space="preserve">. Les procès-verbaux du comité de suivi sont archivés.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Et la RDUE.</w:t>
      </w:r>
      <w:r>
        <w:t xml:space="preserve"> </w:t>
      </w:r>
      <w:r>
        <w:t xml:space="preserve">C’est l’enjeu d’avenir. Le Gabon est classé</w:t>
      </w:r>
      <w:r>
        <w:t xml:space="preserve"> </w:t>
      </w:r>
      <w:r>
        <w:rPr>
          <w:b/>
          <w:bCs/>
        </w:rPr>
        <w:t xml:space="preserve">à faible risque</w:t>
      </w:r>
      <w:r>
        <w:t xml:space="preserve"> </w:t>
      </w:r>
      <w:r>
        <w:t xml:space="preserve">par l’Europe, mais la diligence reste exigée</w:t>
      </w:r>
      <w:r>
        <w:t xml:space="preserve"> </w:t>
      </w:r>
      <w:r>
        <w:rPr>
          <w:b/>
          <w:bCs/>
        </w:rPr>
        <w:t xml:space="preserve">au niveau de la parcelle d’origine</w:t>
      </w:r>
      <w:r>
        <w:t xml:space="preserve">. La plateforme permet de déclarer une parcelle, de compter les grumes abattues et géolocalisées, de joindre le procès-verbal de consultation, et de faire décider le Ministère.</w:t>
      </w:r>
      <w:r>
        <w:t xml:space="preserve"> </w:t>
      </w:r>
      <w:r>
        <w:rPr>
          <w:b/>
          <w:bCs/>
        </w:rPr>
        <w:t xml:space="preserve">C’est notre passeport vers le marché européen.</w:t>
      </w:r>
      <w:r>
        <w:t xml:space="preserve"> </w:t>
      </w:r>
      <w:r>
        <w:t xml:space="preserve">»</w:t>
      </w:r>
    </w:p>
    <w:p>
      <w:pPr>
        <w:pStyle w:val="BodyText"/>
      </w:pPr>
      <w:r>
        <w:rPr>
          <w:b/>
          <w:bCs/>
        </w:rPr>
        <w:t xml:space="preserve">(Transition) :</w:t>
      </w:r>
      <w:r>
        <w:t xml:space="preserve"> </w:t>
      </w:r>
      <w:r>
        <w:t xml:space="preserve">« Enfin, un volet volontaire mais stratégique : la certification. »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_90b78bed0d1c2c433d047b47202c228e41e815c"/>
      <w:r>
        <w:t xml:space="preserve">Diapositive 15 — La certification tierce partie</w:t>
      </w:r>
      <w:r>
        <w:t xml:space="preserve"> </w:t>
      </w:r>
      <w:r>
        <w:rPr>
          <w:i/>
          <w:iCs/>
        </w:rPr>
        <w:t xml:space="preserve">(optionnelle)</w:t>
      </w:r>
      <w:bookmarkEnd w:id="25"/>
    </w:p>
    <w:p>
      <w:pPr>
        <w:pStyle w:val="FirstParagraph"/>
      </w:pPr>
      <w:r>
        <w:rPr>
          <w:b/>
          <w:bCs/>
        </w:rPr>
        <w:t xml:space="preserve">À l’écran :</w:t>
      </w:r>
      <w:r>
        <w:t xml:space="preserve"> </w:t>
      </w:r>
      <w:r>
        <w:t xml:space="preserve">cartes</w:t>
      </w:r>
      <w:r>
        <w:t xml:space="preserve"> </w:t>
      </w:r>
      <w:r>
        <w:rPr>
          <w:i/>
          <w:iCs/>
        </w:rPr>
        <w:t xml:space="preserve">FSC · PAFC · légalité+</w:t>
      </w:r>
      <w:r>
        <w:t xml:space="preserve"> </w:t>
      </w:r>
      <w:r>
        <w:t xml:space="preserve">; chiffres :</w:t>
      </w:r>
      <w:r>
        <w:t xml:space="preserve"> </w:t>
      </w:r>
      <w:r>
        <w:rPr>
          <w:i/>
          <w:iCs/>
        </w:rPr>
        <w:t xml:space="preserve">FSC 2 062 190 ha · PAFC 596 822 ha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À dire :</w:t>
      </w:r>
      <w:r>
        <w:t xml:space="preserve"> </w:t>
      </w:r>
      <w:r>
        <w:t xml:space="preserve">&gt; « La certification privée est un atout de compétitivité. Le Gabon compte aujourd’hui</w:t>
      </w:r>
      <w:r>
        <w:t xml:space="preserve"> </w:t>
      </w:r>
      <w:r>
        <w:rPr>
          <w:b/>
          <w:bCs/>
        </w:rPr>
        <w:t xml:space="preserve">plus de deux millions d’hectares certifiés FSC</w:t>
      </w:r>
      <w:r>
        <w:t xml:space="preserve"> </w:t>
      </w:r>
      <w:r>
        <w:t xml:space="preserve">et près de</w:t>
      </w:r>
      <w:r>
        <w:t xml:space="preserve"> </w:t>
      </w:r>
      <w:r>
        <w:rPr>
          <w:b/>
          <w:bCs/>
        </w:rPr>
        <w:t xml:space="preserve">six cent mille hectares PAFC</w:t>
      </w:r>
      <w:r>
        <w:t xml:space="preserve">.</w:t>
      </w:r>
      <w:r>
        <w:t xml:space="preserve"> </w:t>
      </w:r>
      <w:r>
        <w:t xml:space="preserve">&gt; La plateforme permet à une entreprise de</w:t>
      </w:r>
      <w:r>
        <w:t xml:space="preserve"> </w:t>
      </w:r>
      <w:r>
        <w:rPr>
          <w:b/>
          <w:bCs/>
        </w:rPr>
        <w:t xml:space="preserve">déclarer</w:t>
      </w:r>
      <w:r>
        <w:t xml:space="preserve"> </w:t>
      </w:r>
      <w:r>
        <w:t xml:space="preserve">un certificat — son schéma, sa référence, sa surface, sa validité — et au Ministère de le</w:t>
      </w:r>
      <w:r>
        <w:t xml:space="preserve"> </w:t>
      </w:r>
      <w:r>
        <w:rPr>
          <w:b/>
          <w:bCs/>
        </w:rPr>
        <w:t xml:space="preserve">vérifier, de le suspendre ou de le rejeter</w:t>
      </w:r>
      <w:r>
        <w:t xml:space="preserve">. La validité est suivie automatiquement.</w:t>
      </w:r>
      <w:r>
        <w:t xml:space="preserve"> </w:t>
      </w:r>
      <w:r>
        <w:t xml:space="preserve">&gt; Point essentiel :</w:t>
      </w:r>
      <w:r>
        <w:t xml:space="preserve"> </w:t>
      </w:r>
      <w:r>
        <w:rPr>
          <w:b/>
          <w:bCs/>
        </w:rPr>
        <w:t xml:space="preserve">la certification ne remplace pas la diligence raisonnée</w:t>
      </w:r>
      <w:r>
        <w:t xml:space="preserve"> </w:t>
      </w:r>
      <w:r>
        <w:t xml:space="preserve">exigée par la RDUE. Elle</w:t>
      </w:r>
      <w:r>
        <w:t xml:space="preserve"> </w:t>
      </w:r>
      <w:r>
        <w:rPr>
          <w:b/>
          <w:bCs/>
        </w:rPr>
        <w:t xml:space="preserve">l’enrichit</w:t>
      </w:r>
      <w:r>
        <w:t xml:space="preserve"> </w:t>
      </w:r>
      <w:r>
        <w:t xml:space="preserve">— elle apporte des preuves supplémentaires, sans dispenser de l’analyse de la parcelle. »</w:t>
      </w:r>
    </w:p>
    <w:p>
      <w:pPr>
        <w:pStyle w:val="BodyText"/>
      </w:pPr>
      <w:r>
        <w:rPr>
          <w:b/>
          <w:bCs/>
        </w:rPr>
        <w:t xml:space="preserve">(Transition) :</w:t>
      </w:r>
      <w:r>
        <w:t xml:space="preserve"> </w:t>
      </w:r>
      <w:r>
        <w:t xml:space="preserve">« Et pendant ce temps, que voit concrètement l’Administration ? »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_950b255a010929c00ff2bfdb8f78d055a381f0c"/>
      <w:r>
        <w:t xml:space="preserve">Diapositive 16 — Ce que voit l’Administration</w:t>
      </w:r>
      <w:bookmarkEnd w:id="26"/>
    </w:p>
    <w:p>
      <w:pPr>
        <w:pStyle w:val="FirstParagraph"/>
      </w:pPr>
      <w:r>
        <w:rPr>
          <w:b/>
          <w:bCs/>
        </w:rPr>
        <w:t xml:space="preserve">À l’écran :</w:t>
      </w:r>
      <w:r>
        <w:t xml:space="preserve"> </w:t>
      </w:r>
      <w:r>
        <w:t xml:space="preserve">un « cockpit » schématique :</w:t>
      </w:r>
      <w:r>
        <w:t xml:space="preserve"> </w:t>
      </w:r>
      <w:r>
        <w:rPr>
          <w:i/>
          <w:iCs/>
        </w:rPr>
        <w:t xml:space="preserve">Titres · Documents en attente · Déclarations · Anomalies · Recouvrement · Tableau de bord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À dire :</w:t>
      </w:r>
      <w:r>
        <w:t xml:space="preserve"> </w:t>
      </w:r>
      <w:r>
        <w:t xml:space="preserve">&gt; « Tout ce que je viens de décrire converge vers un poste de travail pour l’agent.</w:t>
      </w:r>
      <w:r>
        <w:t xml:space="preserve"> </w:t>
      </w:r>
      <w:r>
        <w:t xml:space="preserve">&gt; Il y voit :</w:t>
      </w:r>
      <w:r>
        <w:t xml:space="preserve"> </w:t>
      </w:r>
      <w:r>
        <w:rPr>
          <w:b/>
          <w:bCs/>
        </w:rPr>
        <w:t xml:space="preserve">les titres</w:t>
      </w:r>
      <w:r>
        <w:t xml:space="preserve"> </w:t>
      </w:r>
      <w:r>
        <w:t xml:space="preserve">à instruire, avec un</w:t>
      </w:r>
      <w:r>
        <w:t xml:space="preserve"> </w:t>
      </w:r>
      <w:r>
        <w:rPr>
          <w:b/>
          <w:bCs/>
        </w:rPr>
        <w:t xml:space="preserve">motif obligatoire à chaque rejet</w:t>
      </w:r>
      <w:r>
        <w:t xml:space="preserve"> </w:t>
      </w:r>
      <w:r>
        <w:t xml:space="preserve">;</w:t>
      </w:r>
      <w:r>
        <w:t xml:space="preserve"> </w:t>
      </w:r>
      <w:r>
        <w:rPr>
          <w:b/>
          <w:bCs/>
        </w:rPr>
        <w:t xml:space="preserve">les documents en attente</w:t>
      </w:r>
      <w:r>
        <w:t xml:space="preserve"> </w:t>
      </w:r>
      <w:r>
        <w:t xml:space="preserve">de validation, par niveau ;</w:t>
      </w:r>
      <w:r>
        <w:t xml:space="preserve"> </w:t>
      </w:r>
      <w:r>
        <w:rPr>
          <w:b/>
          <w:bCs/>
        </w:rPr>
        <w:t xml:space="preserve">les déclarations</w:t>
      </w:r>
      <w:r>
        <w:t xml:space="preserve"> </w:t>
      </w:r>
      <w:r>
        <w:t xml:space="preserve">à approuver ; et surtout</w:t>
      </w:r>
      <w:r>
        <w:t xml:space="preserve"> </w:t>
      </w:r>
      <w:r>
        <w:rPr>
          <w:b/>
          <w:bCs/>
        </w:rPr>
        <w:t xml:space="preserve">les anomalies</w:t>
      </w:r>
      <w:r>
        <w:t xml:space="preserve"> </w:t>
      </w:r>
      <w:r>
        <w:t xml:space="preserve">— abattage sans autorisation, arbre sous le diamètre minimum, assiette fermée, abattage hors limites, taxes impayées, espèce réservée, transport sans bordereau.</w:t>
      </w:r>
      <w:r>
        <w:t xml:space="preserve"> </w:t>
      </w:r>
      <w:r>
        <w:t xml:space="preserve">&gt; Il dispose aussi du</w:t>
      </w:r>
      <w:r>
        <w:t xml:space="preserve"> </w:t>
      </w:r>
      <w:r>
        <w:rPr>
          <w:b/>
          <w:bCs/>
        </w:rPr>
        <w:t xml:space="preserve">suivi du recouvrement</w:t>
      </w:r>
      <w:r>
        <w:t xml:space="preserve"> </w:t>
      </w:r>
      <w:r>
        <w:t xml:space="preserve">et d’un</w:t>
      </w:r>
      <w:r>
        <w:t xml:space="preserve"> </w:t>
      </w:r>
      <w:r>
        <w:rPr>
          <w:b/>
          <w:bCs/>
        </w:rPr>
        <w:t xml:space="preserve">tableau de bord</w:t>
      </w:r>
      <w:r>
        <w:t xml:space="preserve"> </w:t>
      </w:r>
      <w:r>
        <w:t xml:space="preserve">— volumes par essence, taux de transformation, contributions communautaires.</w:t>
      </w:r>
      <w:r>
        <w:t xml:space="preserve"> </w:t>
      </w:r>
      <w:r>
        <w:t xml:space="preserve">&gt; En résumé :</w:t>
      </w:r>
      <w:r>
        <w:t xml:space="preserve"> </w:t>
      </w:r>
      <w:r>
        <w:rPr>
          <w:b/>
          <w:bCs/>
        </w:rPr>
        <w:t xml:space="preserve">l’Administration ne voit plus des piles de dossiers. Elle voit des décisions à prendre, et les risques à traiter.</w:t>
      </w:r>
      <w:r>
        <w:t xml:space="preserve"> </w:t>
      </w:r>
      <w:r>
        <w:t xml:space="preserve">»</w:t>
      </w:r>
    </w:p>
    <w:p>
      <w:pPr>
        <w:pStyle w:val="BodyText"/>
      </w:pPr>
      <w:r>
        <w:rPr>
          <w:b/>
          <w:bCs/>
        </w:rPr>
        <w:t xml:space="preserve">(Transition) :</w:t>
      </w:r>
      <w:r>
        <w:t xml:space="preserve"> </w:t>
      </w:r>
      <w:r>
        <w:t xml:space="preserve">« Pour rendre tout cela tangible, prenons trois scénarios. »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_24e721765e0a1b57def3f0c25b52f9dd92f981b"/>
      <w:r>
        <w:t xml:space="preserve">Diapositive 17 — Trois scénarios concrets</w:t>
      </w:r>
      <w:bookmarkEnd w:id="27"/>
    </w:p>
    <w:p>
      <w:pPr>
        <w:pStyle w:val="FirstParagraph"/>
      </w:pPr>
      <w:r>
        <w:rPr>
          <w:b/>
          <w:bCs/>
        </w:rPr>
        <w:t xml:space="preserve">À l’écran :</w:t>
      </w:r>
      <w:r>
        <w:t xml:space="preserve"> </w:t>
      </w:r>
      <w:r>
        <w:t xml:space="preserve">trois scénarios, trois couleurs.</w:t>
      </w:r>
      <w:r>
        <w:t xml:space="preserve"> </w:t>
      </w:r>
      <w:r>
        <w:rPr>
          <w:b/>
          <w:bCs/>
        </w:rPr>
        <w:t xml:space="preserve">Scénario vert — conforme.</w:t>
      </w:r>
      <w:r>
        <w:t xml:space="preserve"> </w:t>
      </w:r>
      <w:r>
        <w:rPr>
          <w:b/>
          <w:bCs/>
        </w:rPr>
        <w:t xml:space="preserve">Scénario rouge — irrégularité.</w:t>
      </w:r>
      <w:r>
        <w:t xml:space="preserve"> </w:t>
      </w:r>
      <w:r>
        <w:rPr>
          <w:b/>
          <w:bCs/>
        </w:rPr>
        <w:t xml:space="preserve">Scénario orange — l’Administration tranche.</w:t>
      </w:r>
    </w:p>
    <w:p>
      <w:pPr>
        <w:pStyle w:val="BodyText"/>
      </w:pPr>
      <w:r>
        <w:rPr>
          <w:b/>
          <w:bCs/>
        </w:rPr>
        <w:t xml:space="preserve">À dire :</w:t>
      </w:r>
      <w:r>
        <w:t xml:space="preserve"> </w:t>
      </w:r>
      <w:r>
        <w:t xml:space="preserve">&gt; «</w:t>
      </w:r>
      <w:r>
        <w:t xml:space="preserve"> </w:t>
      </w:r>
      <w:r>
        <w:rPr>
          <w:b/>
          <w:bCs/>
        </w:rPr>
        <w:t xml:space="preserve">Scénario un — tout est conforme.</w:t>
      </w:r>
      <w:r>
        <w:t xml:space="preserve"> </w:t>
      </w:r>
      <w:r>
        <w:t xml:space="preserve">L’entreprise a son agrément et ses quittances à jour. Son assiette est ouverte et autorisée. Elle déclare l’abattage d’un arbre dans les limites, au-dessus du diamètre minimum, espèce autorisée. Le système valide, le Ministère approuve, l’arbre entre au DF10, le bordereau de transport est généré, la grume arrive à l’usine.</w:t>
      </w:r>
      <w:r>
        <w:t xml:space="preserve"> </w:t>
      </w:r>
      <w:r>
        <w:rPr>
          <w:b/>
          <w:bCs/>
        </w:rPr>
        <w:t xml:space="preserve">Un dossier propre, prouvé, sans friction.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Scénario deux — une irrégularité.</w:t>
      </w:r>
      <w:r>
        <w:t xml:space="preserve"> </w:t>
      </w:r>
      <w:r>
        <w:t xml:space="preserve">L’entreprise tente de déclarer un arbre</w:t>
      </w:r>
      <w:r>
        <w:t xml:space="preserve"> </w:t>
      </w:r>
      <w:r>
        <w:rPr>
          <w:b/>
          <w:bCs/>
        </w:rPr>
        <w:t xml:space="preserve">sous le diamètre minimum</w:t>
      </w:r>
      <w:r>
        <w:t xml:space="preserve">, ou</w:t>
      </w:r>
      <w:r>
        <w:t xml:space="preserve"> </w:t>
      </w:r>
      <w:r>
        <w:rPr>
          <w:b/>
          <w:bCs/>
        </w:rPr>
        <w:t xml:space="preserve">hors des limites de l’assiette</w:t>
      </w:r>
      <w:r>
        <w:t xml:space="preserve">, ou une</w:t>
      </w:r>
      <w:r>
        <w:t xml:space="preserve"> </w:t>
      </w:r>
      <w:r>
        <w:rPr>
          <w:b/>
          <w:bCs/>
        </w:rPr>
        <w:t xml:space="preserve">espèce mise en réserve</w:t>
      </w:r>
      <w:r>
        <w:t xml:space="preserve">. Le système</w:t>
      </w:r>
      <w:r>
        <w:t xml:space="preserve"> </w:t>
      </w:r>
      <w:r>
        <w:rPr>
          <w:b/>
          <w:bCs/>
        </w:rPr>
        <w:t xml:space="preserve">bloque net</w:t>
      </w:r>
      <w:r>
        <w:t xml:space="preserve">. Il n’y a pas de déclaration possible. C’est la traduction immédiate de l’article 124 et de l’interdiction des coupes hors limites.</w:t>
      </w:r>
      <w:r>
        <w:t xml:space="preserve"> </w:t>
      </w:r>
      <w:r>
        <w:rPr>
          <w:b/>
          <w:bCs/>
        </w:rPr>
        <w:t xml:space="preserve">La fraude ne passe pas techniquement.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Scénario trois — un avertissement.</w:t>
      </w:r>
      <w:r>
        <w:t xml:space="preserve"> </w:t>
      </w:r>
      <w:r>
        <w:t xml:space="preserve">L’entreprise a un</w:t>
      </w:r>
      <w:r>
        <w:t xml:space="preserve"> </w:t>
      </w:r>
      <w:r>
        <w:rPr>
          <w:b/>
          <w:bCs/>
        </w:rPr>
        <w:t xml:space="preserve">document en cours de renouvellement</w:t>
      </w:r>
      <w:r>
        <w:t xml:space="preserve">, ou une</w:t>
      </w:r>
      <w:r>
        <w:t xml:space="preserve"> </w:t>
      </w:r>
      <w:r>
        <w:rPr>
          <w:b/>
          <w:bCs/>
        </w:rPr>
        <w:t xml:space="preserve">taxe non encore réglée</w:t>
      </w:r>
      <w:r>
        <w:t xml:space="preserve">. Le système</w:t>
      </w:r>
      <w:r>
        <w:t xml:space="preserve"> </w:t>
      </w:r>
      <w:r>
        <w:rPr>
          <w:b/>
          <w:bCs/>
        </w:rPr>
        <w:t xml:space="preserve">accepte la déclaration</w:t>
      </w:r>
      <w:r>
        <w:t xml:space="preserve">, mais la</w:t>
      </w:r>
      <w:r>
        <w:t xml:space="preserve"> </w:t>
      </w:r>
      <w:r>
        <w:rPr>
          <w:b/>
          <w:bCs/>
        </w:rPr>
        <w:t xml:space="preserve">signale</w:t>
      </w:r>
      <w:r>
        <w:t xml:space="preserve">. Le dossier arrive devant l’agent, avec l’alerte.</w:t>
      </w:r>
      <w:r>
        <w:t xml:space="preserve"> </w:t>
      </w:r>
      <w:r>
        <w:rPr>
          <w:b/>
          <w:bCs/>
        </w:rPr>
        <w:t xml:space="preserve">Et c’est l’agent qui décide</w:t>
      </w:r>
      <w:r>
        <w:t xml:space="preserve"> </w:t>
      </w:r>
      <w:r>
        <w:t xml:space="preserve">— il peut accepter, ou rejeter. Nous n’avons retiré aucun pouvoir à l’Administration. »</w:t>
      </w:r>
    </w:p>
    <w:p>
      <w:pPr>
        <w:pStyle w:val="BodyText"/>
      </w:pPr>
      <w:r>
        <w:rPr>
          <w:b/>
          <w:bCs/>
        </w:rPr>
        <w:t xml:space="preserve">(Repère :</w:t>
      </w:r>
      <w:r>
        <w:t xml:space="preserve"> </w:t>
      </w:r>
      <w:r>
        <w:t xml:space="preserve">changez de ton entre les trois scénarios — vert = fluide, rouge = ferme, orange = nuancé.)</w:t>
      </w:r>
    </w:p>
    <w:p>
      <w:pPr>
        <w:pStyle w:val="BodyText"/>
      </w:pPr>
      <w:r>
        <w:rPr>
          <w:b/>
          <w:bCs/>
        </w:rPr>
        <w:t xml:space="preserve">(Transition) :</w:t>
      </w:r>
      <w:r>
        <w:t xml:space="preserve"> </w:t>
      </w:r>
      <w:r>
        <w:t xml:space="preserve">« Alors, concrètement, qu’est-ce que cela change pour l’État ? »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_e152a1cf1e813c3f695f24ec00058bcd5e66ae5"/>
      <w:r>
        <w:t xml:space="preserve">Diapositive 18 — Ce que cela change pour l’État</w:t>
      </w:r>
      <w:bookmarkEnd w:id="28"/>
    </w:p>
    <w:p>
      <w:pPr>
        <w:pStyle w:val="FirstParagraph"/>
      </w:pPr>
      <w:r>
        <w:rPr>
          <w:b/>
          <w:bCs/>
        </w:rPr>
        <w:t xml:space="preserve">À l’écran :</w:t>
      </w:r>
      <w:r>
        <w:t xml:space="preserve"> </w:t>
      </w:r>
      <w:r>
        <w:t xml:space="preserve">4 bénéfices —</w:t>
      </w:r>
      <w:r>
        <w:t xml:space="preserve"> </w:t>
      </w:r>
      <w:r>
        <w:rPr>
          <w:i/>
          <w:iCs/>
        </w:rPr>
        <w:t xml:space="preserve">Recouvrement · Preuve · Conformité marchés · Économie de contrôle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À dire :</w:t>
      </w:r>
      <w:r>
        <w:t xml:space="preserve"> </w:t>
      </w:r>
      <w:r>
        <w:t xml:space="preserve">&gt; « Quatre bénéfices directs.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Un — le recouvrement.</w:t>
      </w:r>
      <w:r>
        <w:t xml:space="preserve"> </w:t>
      </w:r>
      <w:r>
        <w:t xml:space="preserve">Les taxes et redevances sont suivies, avec leurs échéances et la surcharge automatique en cas de retard. On ne « perd » plus une échéance.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Deux — la preuve.</w:t>
      </w:r>
      <w:r>
        <w:t xml:space="preserve"> </w:t>
      </w:r>
      <w:r>
        <w:t xml:space="preserve">Chaque autorisation, chaque décision, chaque abattage est horodaté et archivable. En cas de contentieux, l’État a</w:t>
      </w:r>
      <w:r>
        <w:t xml:space="preserve"> </w:t>
      </w:r>
      <w:r>
        <w:rPr>
          <w:b/>
          <w:bCs/>
        </w:rPr>
        <w:t xml:space="preserve">la preuve</w:t>
      </w:r>
      <w:r>
        <w:t xml:space="preserve">, pas un doute.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Trois — l’accès aux marchés.</w:t>
      </w:r>
      <w:r>
        <w:t xml:space="preserve"> </w:t>
      </w:r>
      <w:r>
        <w:t xml:space="preserve">Un pays qui peut</w:t>
      </w:r>
      <w:r>
        <w:t xml:space="preserve"> </w:t>
      </w:r>
      <w:r>
        <w:rPr>
          <w:b/>
          <w:bCs/>
        </w:rPr>
        <w:t xml:space="preserve">démontrer</w:t>
      </w:r>
      <w:r>
        <w:t xml:space="preserve"> </w:t>
      </w:r>
      <w:r>
        <w:t xml:space="preserve">la légalité de ses grumes protège ses exportations, notamment vers l’Europe, à l’heure de la RDUE.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Quatre — l’efficacité du contrôle.</w:t>
      </w:r>
      <w:r>
        <w:t xml:space="preserve"> </w:t>
      </w:r>
      <w:r>
        <w:t xml:space="preserve">Les agents concentrent leur effort sur les</w:t>
      </w:r>
      <w:r>
        <w:t xml:space="preserve"> </w:t>
      </w:r>
      <w:r>
        <w:rPr>
          <w:b/>
          <w:bCs/>
        </w:rPr>
        <w:t xml:space="preserve">anomalies signalées</w:t>
      </w:r>
      <w:r>
        <w:t xml:space="preserve">, au lieu de tout vérifier manuellement.</w:t>
      </w:r>
      <w:r>
        <w:t xml:space="preserve"> </w:t>
      </w:r>
      <w:r>
        <w:t xml:space="preserve">&gt; En une phrase :</w:t>
      </w:r>
      <w:r>
        <w:t xml:space="preserve"> </w:t>
      </w:r>
      <w:r>
        <w:rPr>
          <w:b/>
          <w:bCs/>
        </w:rPr>
        <w:t xml:space="preserve">la plateforme transforme la confiance déclarative en preuve vérifiable.</w:t>
      </w:r>
      <w:r>
        <w:t xml:space="preserve"> </w:t>
      </w:r>
      <w:r>
        <w:t xml:space="preserve">»</w:t>
      </w:r>
    </w:p>
    <w:p>
      <w:pPr>
        <w:pStyle w:val="BodyText"/>
      </w:pPr>
      <w:r>
        <w:rPr>
          <w:b/>
          <w:bCs/>
        </w:rPr>
        <w:t xml:space="preserve">(Transition) :</w:t>
      </w:r>
      <w:r>
        <w:t xml:space="preserve"> </w:t>
      </w:r>
      <w:r>
        <w:t xml:space="preserve">« Tout cela est déjà largement construit. Voici où nous en sommes et ce qui reste. »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_43c470b50f042e68e93217b2ba9a8ac183e612c"/>
      <w:r>
        <w:t xml:space="preserve">Diapositive 19 — Feuille de route</w:t>
      </w:r>
      <w:r>
        <w:t xml:space="preserve"> </w:t>
      </w:r>
      <w:r>
        <w:rPr>
          <w:i/>
          <w:iCs/>
        </w:rPr>
        <w:t xml:space="preserve">(optionnelle)</w:t>
      </w:r>
      <w:bookmarkEnd w:id="29"/>
    </w:p>
    <w:p>
      <w:pPr>
        <w:pStyle w:val="FirstParagraph"/>
      </w:pPr>
      <w:r>
        <w:rPr>
          <w:b/>
          <w:bCs/>
        </w:rPr>
        <w:t xml:space="preserve">À l’écran :</w:t>
      </w:r>
      <w:r>
        <w:t xml:space="preserve"> </w:t>
      </w:r>
      <w:r>
        <w:t xml:space="preserve">une timeline —</w:t>
      </w:r>
      <w:r>
        <w:t xml:space="preserve"> </w:t>
      </w:r>
      <w:r>
        <w:rPr>
          <w:i/>
          <w:iCs/>
        </w:rPr>
        <w:t xml:space="preserve">Acquis</w:t>
      </w:r>
      <w:r>
        <w:t xml:space="preserve"> </w:t>
      </w:r>
      <w:r>
        <w:t xml:space="preserve">(socle, documents, titres, autorisations, traçabilité, fiscalité, RDUE, certifications) /</w:t>
      </w:r>
      <w:r>
        <w:t xml:space="preserve"> </w:t>
      </w:r>
      <w:r>
        <w:rPr>
          <w:i/>
          <w:iCs/>
        </w:rPr>
        <w:t xml:space="preserve">À venir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À dire :</w:t>
      </w:r>
      <w:r>
        <w:t xml:space="preserve"> </w:t>
      </w:r>
      <w:r>
        <w:t xml:space="preserve">&gt; « Nous n’en sommes pas au stade de l’idée. Le socle est</w:t>
      </w:r>
      <w:r>
        <w:t xml:space="preserve"> </w:t>
      </w:r>
      <w:r>
        <w:rPr>
          <w:b/>
          <w:bCs/>
        </w:rPr>
        <w:t xml:space="preserve">déjà construit et testé</w:t>
      </w:r>
      <w:r>
        <w:t xml:space="preserve"> </w:t>
      </w:r>
      <w:r>
        <w:t xml:space="preserve">: organisations, documents, titres et assiettes, autorisations d’exploiter, traçabilité DF10 et transport, fiscalité et échéances, communautés, RDUE, et certification.</w:t>
      </w:r>
      <w:r>
        <w:t xml:space="preserve"> </w:t>
      </w:r>
      <w:r>
        <w:t xml:space="preserve">&gt; Les prochaines étapes sont identifiées 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la distinction fine des autorités</w:t>
      </w:r>
      <w:r>
        <w:t xml:space="preserve"> </w:t>
      </w:r>
      <w:r>
        <w:t xml:space="preserve">— inspecteur provincial, direction centrale, faune, environnement, douanes — pour que chaque agent ait exactement les droits de son service 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le plan de protection de la faune et l’étude d’impact environnemental</w:t>
      </w:r>
      <w:r>
        <w:t xml:space="preserve">, pour compléter le volet environnemental ;</w:t>
      </w:r>
      <w:r>
        <w:t xml:space="preserve"> </w:t>
      </w:r>
      <w:r>
        <w:t xml:space="preserve">&gt; et l’</w:t>
      </w:r>
      <w:r>
        <w:rPr>
          <w:b/>
          <w:bCs/>
        </w:rPr>
        <w:t xml:space="preserve">interfaçage</w:t>
      </w:r>
      <w:r>
        <w:t xml:space="preserve"> </w:t>
      </w:r>
      <w:r>
        <w:t xml:space="preserve">avec les systèmes existants, notamment la transmission automatique des états à la Direction des Forêts.</w:t>
      </w:r>
      <w:r>
        <w:t xml:space="preserve"> </w:t>
      </w:r>
      <w:r>
        <w:t xml:space="preserve">&gt; Aucune de ces étapes ne remet en cause le socle : elles s’y ajoutent. »</w:t>
      </w:r>
    </w:p>
    <w:p>
      <w:pPr>
        <w:pStyle w:val="BodyText"/>
      </w:pPr>
      <w:r>
        <w:rPr>
          <w:b/>
          <w:bCs/>
        </w:rPr>
        <w:t xml:space="preserve">(Transition) :</w:t>
      </w:r>
      <w:r>
        <w:t xml:space="preserve"> </w:t>
      </w:r>
      <w:r>
        <w:t xml:space="preserve">« Permettez-moi de conclure. »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_af877333fe7717013e2995c4d627042d3ff493d"/>
      <w:r>
        <w:t xml:space="preserve">Diapositive 20 — Conclusion et demande de validation</w:t>
      </w:r>
      <w:bookmarkEnd w:id="30"/>
    </w:p>
    <w:p>
      <w:pPr>
        <w:pStyle w:val="FirstParagraph"/>
      </w:pPr>
      <w:r>
        <w:rPr>
          <w:b/>
          <w:bCs/>
        </w:rPr>
        <w:t xml:space="preserve">À l’écran :</w:t>
      </w:r>
      <w:r>
        <w:t xml:space="preserve"> </w:t>
      </w:r>
      <w:r>
        <w:t xml:space="preserve">une phrase :</w:t>
      </w:r>
      <w:r>
        <w:t xml:space="preserve"> </w:t>
      </w:r>
      <w:r>
        <w:rPr>
          <w:i/>
          <w:iCs/>
        </w:rPr>
        <w:t xml:space="preserve">« L’entreprise déclare. L’Administration décide. La loi se prouve. »</w:t>
      </w:r>
    </w:p>
    <w:p>
      <w:pPr>
        <w:pStyle w:val="BodyText"/>
      </w:pPr>
      <w:r>
        <w:rPr>
          <w:b/>
          <w:bCs/>
        </w:rPr>
        <w:t xml:space="preserve">À dire :</w:t>
      </w:r>
      <w:r>
        <w:t xml:space="preserve"> </w:t>
      </w:r>
      <w:r>
        <w:t xml:space="preserve">&gt; « Mesdames et Messieurs,</w:t>
      </w:r>
      <w:r>
        <w:t xml:space="preserve"> </w:t>
      </w:r>
      <w:r>
        <w:t xml:space="preserve">&gt; Nous retiendrons trois phrases.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L’entreprise déclare. L’Administration décide. La loi se prouve.</w:t>
      </w:r>
      <w:r>
        <w:t xml:space="preserve"> </w:t>
      </w:r>
      <w:r>
        <w:t xml:space="preserve">&gt; Le système n’enlève aucun pouvoir à l’administration : il le rend</w:t>
      </w:r>
      <w:r>
        <w:t xml:space="preserve"> </w:t>
      </w:r>
      <w:r>
        <w:rPr>
          <w:b/>
          <w:bCs/>
        </w:rPr>
        <w:t xml:space="preserve">plus rapide, plus traçable, plus décisif</w:t>
      </w:r>
      <w:r>
        <w:t xml:space="preserve">. Il rend techniquement impossible ce que la loi interdit, et il éclaire ce qui relève de votre appréciation.</w:t>
      </w:r>
      <w:r>
        <w:t xml:space="preserve"> </w:t>
      </w:r>
      <w:r>
        <w:t xml:space="preserve">&gt; Ce que nous vous demandons aujourd’hui, c’est</w:t>
      </w:r>
      <w:r>
        <w:t xml:space="preserve"> </w:t>
      </w:r>
      <w:r>
        <w:rPr>
          <w:b/>
          <w:bCs/>
        </w:rPr>
        <w:t xml:space="preserve">votre validation du workflow</w:t>
      </w:r>
      <w:r>
        <w:t xml:space="preserve"> </w:t>
      </w:r>
      <w:r>
        <w:t xml:space="preserve">que nous venons de décrire, et</w:t>
      </w:r>
      <w:r>
        <w:t xml:space="preserve"> </w:t>
      </w:r>
      <w:r>
        <w:rPr>
          <w:b/>
          <w:bCs/>
        </w:rPr>
        <w:t xml:space="preserve">votre retour</w:t>
      </w:r>
      <w:r>
        <w:t xml:space="preserve"> </w:t>
      </w:r>
      <w:r>
        <w:t xml:space="preserve">sur les points de responsabilité — notamment la répartition entre l’Administration et l’entreprise.</w:t>
      </w:r>
      <w:r>
        <w:t xml:space="preserve"> </w:t>
      </w:r>
      <w:r>
        <w:t xml:space="preserve">&gt; Nous sommes prêts à passer à l’implémentation institutionnelle, étape par étape, avec vos services.</w:t>
      </w:r>
      <w:r>
        <w:t xml:space="preserve"> </w:t>
      </w:r>
      <w:r>
        <w:t xml:space="preserve">&gt; Je vous remercie. »</w:t>
      </w:r>
    </w:p>
    <w:p>
      <w:pPr>
        <w:pStyle w:val="BodyText"/>
      </w:pPr>
      <w:r>
        <w:rPr>
          <w:i/>
          <w:iCs/>
        </w:rPr>
        <w:t xml:space="preserve">(Repère : pause, puis ouvrez les échanges : « Nous sommes à votre disposition pour vos questions. »)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_57fe7ef101869610be289fdd6c8ff76bc1e2419"/>
      <w:r>
        <w:t xml:space="preserve">Annexe A — Questions probables du Gouvernement &amp; réponses</w:t>
      </w:r>
      <w:bookmarkEnd w:id="31"/>
    </w:p>
    <w:p>
      <w:pPr>
        <w:pStyle w:val="FirstParagraph"/>
      </w:pPr>
      <w:r>
        <w:rPr>
          <w:b/>
          <w:bCs/>
        </w:rPr>
        <w:t xml:space="preserve">« Est-ce que cela remplace les agents ? »</w:t>
      </w:r>
      <w:r>
        <w:t xml:space="preserve"> </w:t>
      </w:r>
      <w:r>
        <w:t xml:space="preserve">&gt; Non. Le logiciel ne décide jamais à la place de l’agent sur les points d’appréciation. Il bloque l’illégal</w:t>
      </w:r>
      <w:r>
        <w:t xml:space="preserve"> </w:t>
      </w:r>
      <w:r>
        <w:rPr>
          <w:b/>
          <w:bCs/>
        </w:rPr>
        <w:t xml:space="preserve">technique</w:t>
      </w:r>
      <w:r>
        <w:t xml:space="preserve"> </w:t>
      </w:r>
      <w:r>
        <w:t xml:space="preserve">— hors limites, sous-diamètre, espèce réservée — et pour tout le reste, il</w:t>
      </w:r>
      <w:r>
        <w:t xml:space="preserve"> </w:t>
      </w:r>
      <w:r>
        <w:rPr>
          <w:b/>
          <w:bCs/>
        </w:rPr>
        <w:t xml:space="preserve">signale</w:t>
      </w:r>
      <w:r>
        <w:t xml:space="preserve"> </w:t>
      </w:r>
      <w:r>
        <w:t xml:space="preserve">et l’agent tranche. Nous automatisons la vérification, pas la décision.</w:t>
      </w:r>
    </w:p>
    <w:p>
      <w:pPr>
        <w:pStyle w:val="BodyText"/>
      </w:pPr>
      <w:r>
        <w:rPr>
          <w:b/>
          <w:bCs/>
        </w:rPr>
        <w:t xml:space="preserve">« Que se passe-t-il si l’entreprise n’a pas d’accès à internet ? »</w:t>
      </w:r>
      <w:r>
        <w:t xml:space="preserve"> </w:t>
      </w:r>
      <w:r>
        <w:t xml:space="preserve">&gt; Les points sensibles — la conformité — sont calculés et stockés côté serveur, avec la géométrie officielle des assiettes. Le terminal mobile est prévu pour fonctionner par lots et se synchroniser ; les contrôles définitifs sont validés à la synchronisation. C’est un point d’ingénierie identifié, pas un obstacle de principe.</w:t>
      </w:r>
    </w:p>
    <w:p>
      <w:pPr>
        <w:pStyle w:val="BodyText"/>
      </w:pPr>
      <w:r>
        <w:rPr>
          <w:b/>
          <w:bCs/>
        </w:rPr>
        <w:t xml:space="preserve">« Comment garantit-on l’authenticité du marquage et des documents ? »</w:t>
      </w:r>
      <w:r>
        <w:t xml:space="preserve"> </w:t>
      </w:r>
      <w:r>
        <w:t xml:space="preserve">&gt; C’est un point ouvert que nous assumons : l’authenticité physique — marteau, code-barres du DF10 — relève d’un dispositif à part entière (marteaux, QR, signature). La plateforme pose la</w:t>
      </w:r>
      <w:r>
        <w:t xml:space="preserve"> </w:t>
      </w:r>
      <w:r>
        <w:rPr>
          <w:b/>
          <w:bCs/>
        </w:rPr>
        <w:t xml:space="preserve">traçabilité logique</w:t>
      </w:r>
      <w:r>
        <w:t xml:space="preserve"> </w:t>
      </w:r>
      <w:r>
        <w:t xml:space="preserve">; l’authenticité physique sera sécurisée par QR et, à terme, signature. Nous ne revendiquons pas de le résoudre par le seul logiciel.</w:t>
      </w:r>
    </w:p>
    <w:p>
      <w:pPr>
        <w:pStyle w:val="BodyText"/>
      </w:pPr>
      <w:r>
        <w:rPr>
          <w:b/>
          <w:bCs/>
        </w:rPr>
        <w:t xml:space="preserve">« Et les forêts communautaires ? »</w:t>
      </w:r>
      <w:r>
        <w:t xml:space="preserve"> </w:t>
      </w:r>
      <w:r>
        <w:t xml:space="preserve">&gt; Le titulaire y est la</w:t>
      </w:r>
      <w:r>
        <w:t xml:space="preserve"> </w:t>
      </w:r>
      <w:r>
        <w:rPr>
          <w:b/>
          <w:bCs/>
        </w:rPr>
        <w:t xml:space="preserve">communauté</w:t>
      </w:r>
      <w:r>
        <w:t xml:space="preserve">, pas une entreprise. La plateforme le gère : une communauté est une organisation, elle obtient un</w:t>
      </w:r>
      <w:r>
        <w:t xml:space="preserve"> </w:t>
      </w:r>
      <w:r>
        <w:rPr>
          <w:b/>
          <w:bCs/>
        </w:rPr>
        <w:t xml:space="preserve">CAE</w:t>
      </w:r>
      <w:r>
        <w:t xml:space="preserve">, et sa vente passe par un</w:t>
      </w:r>
      <w:r>
        <w:t xml:space="preserve"> </w:t>
      </w:r>
      <w:r>
        <w:rPr>
          <w:b/>
          <w:bCs/>
        </w:rPr>
        <w:t xml:space="preserve">contrat d’approvisionnement</w:t>
      </w:r>
      <w:r>
        <w:t xml:space="preserve"> </w:t>
      </w:r>
      <w:r>
        <w:t xml:space="preserve">avec une société de transformation, conformément aux articles 156 et 158.</w:t>
      </w:r>
    </w:p>
    <w:p>
      <w:pPr>
        <w:pStyle w:val="BodyText"/>
      </w:pPr>
      <w:r>
        <w:rPr>
          <w:b/>
          <w:bCs/>
        </w:rPr>
        <w:t xml:space="preserve">« Est-ce conforme au Code forestier, ou est-ce que cela crée de nouvelles obligations ? »</w:t>
      </w:r>
      <w:r>
        <w:t xml:space="preserve"> </w:t>
      </w:r>
      <w:r>
        <w:t xml:space="preserve">&gt; La plateforme</w:t>
      </w:r>
      <w:r>
        <w:t xml:space="preserve"> </w:t>
      </w:r>
      <w:r>
        <w:rPr>
          <w:b/>
          <w:bCs/>
        </w:rPr>
        <w:t xml:space="preserve">n’ajoute aucune obligation de fond</w:t>
      </w:r>
      <w:r>
        <w:t xml:space="preserve"> </w:t>
      </w:r>
      <w:r>
        <w:t xml:space="preserve">: chaque écran applique un article existant ou une exigence de marché. Sa seule nouveauté est</w:t>
      </w:r>
      <w:r>
        <w:t xml:space="preserve"> </w:t>
      </w:r>
      <w:r>
        <w:rPr>
          <w:b/>
          <w:bCs/>
        </w:rPr>
        <w:t xml:space="preserve">procédurale</w:t>
      </w:r>
      <w:r>
        <w:t xml:space="preserve"> </w:t>
      </w:r>
      <w:r>
        <w:t xml:space="preserve">: elle organise la preuve. Toute règle nouvelle devrait, en tout état de cause, faire l’objet d’un texte réglementaire.</w:t>
      </w:r>
    </w:p>
    <w:p>
      <w:pPr>
        <w:pStyle w:val="BodyText"/>
      </w:pPr>
      <w:r>
        <w:rPr>
          <w:b/>
          <w:bCs/>
        </w:rPr>
        <w:t xml:space="preserve">« Qui peut décider d’une dérogation ? »</w:t>
      </w:r>
      <w:r>
        <w:t xml:space="preserve"> </w:t>
      </w:r>
      <w:r>
        <w:t xml:space="preserve">&gt; À ce stade,</w:t>
      </w:r>
      <w:r>
        <w:t xml:space="preserve"> </w:t>
      </w:r>
      <w:r>
        <w:rPr>
          <w:b/>
          <w:bCs/>
        </w:rPr>
        <w:t xml:space="preserve">aucun override</w:t>
      </w:r>
      <w:r>
        <w:t xml:space="preserve"> </w:t>
      </w:r>
      <w:r>
        <w:t xml:space="preserve">n’est prévu. Si un tel mécanisme s’avérait nécessaire, il serait</w:t>
      </w:r>
      <w:r>
        <w:t xml:space="preserve"> </w:t>
      </w:r>
      <w:r>
        <w:rPr>
          <w:b/>
          <w:bCs/>
        </w:rPr>
        <w:t xml:space="preserve">réservé au Ministère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entièrement tracé</w:t>
      </w:r>
      <w:r>
        <w:t xml:space="preserve"> </w:t>
      </w:r>
      <w:r>
        <w:t xml:space="preserve">— qui, quand, pourquoi. C’est un choix de conception, pas un oubli.</w:t>
      </w:r>
    </w:p>
    <w:p>
      <w:pPr>
        <w:pStyle w:val="BodyText"/>
      </w:pPr>
      <w:r>
        <w:rPr>
          <w:b/>
          <w:bCs/>
        </w:rPr>
        <w:t xml:space="preserve">« Combien de temps pour voir les premiers résultats ? »</w:t>
      </w:r>
      <w:r>
        <w:t xml:space="preserve"> </w:t>
      </w:r>
      <w:r>
        <w:t xml:space="preserve">&gt; Le socle est déjà fonctionnel et testé. Les gains se matérialisent dès la mise en service sur un premier ensemble de titres : suivi des échéances, détection des abattages hors limites, preuve documentaire.</w:t>
      </w:r>
    </w:p>
    <w:p>
      <w:pPr>
        <w:pStyle w:val="BodyText"/>
      </w:pPr>
      <w:r>
        <w:rPr>
          <w:b/>
          <w:bCs/>
        </w:rPr>
        <w:t xml:space="preserve">« Que deviennent les données historiques ? »</w:t>
      </w:r>
      <w:r>
        <w:t xml:space="preserve"> </w:t>
      </w:r>
      <w:r>
        <w:t xml:space="preserve">&gt; C’est un chantier identifié : la reprise des comptes et des dossiers existants — le</w:t>
      </w:r>
      <w:r>
        <w:t xml:space="preserve"> </w:t>
      </w:r>
      <w:r>
        <w:rPr>
          <w:b/>
          <w:bCs/>
        </w:rPr>
        <w:t xml:space="preserve">backfill</w:t>
      </w:r>
      <w:r>
        <w:t xml:space="preserve"> </w:t>
      </w:r>
      <w:r>
        <w:t xml:space="preserve">— fait partie de la feuille de route, pour ne rien perdre de l’historique.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_b019ef5734378b1d388c735b41f59118f01bc5e"/>
      <w:r>
        <w:t xml:space="preserve">Annexe B — Chiffres clés à connaître</w:t>
      </w:r>
      <w:bookmarkEnd w:id="3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Donnée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Surface forestière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23,5 millions d’hectares</w:t>
            </w:r>
            <w:r>
              <w:t xml:space="preserve"> </w:t>
            </w:r>
            <w:r>
              <w:t xml:space="preserve">≈</w:t>
            </w:r>
            <w:r>
              <w:t xml:space="preserve"> </w:t>
            </w:r>
            <w:r>
              <w:rPr>
                <w:b/>
                <w:bCs/>
              </w:rPr>
              <w:t xml:space="preserve">87 %</w:t>
            </w:r>
            <w:r>
              <w:t xml:space="preserve"> </w:t>
            </w:r>
            <w:r>
              <w:t xml:space="preserve">du territoire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Propriété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100 % État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Forêt de production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 millions d’hectares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Références légales cœur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14</w:t>
            </w:r>
            <w:r>
              <w:t xml:space="preserve"> </w:t>
            </w:r>
            <w:r>
              <w:t xml:space="preserve">(autorisation préalable),</w:t>
            </w:r>
            <w:r>
              <w:t xml:space="preserve"> </w:t>
            </w:r>
            <w:r>
              <w:rPr>
                <w:b/>
                <w:bCs/>
              </w:rPr>
              <w:t xml:space="preserve">Art. 124</w:t>
            </w:r>
            <w:r>
              <w:t xml:space="preserve"> </w:t>
            </w:r>
            <w:r>
              <w:t xml:space="preserve">(DME/essences),</w:t>
            </w:r>
            <w:r>
              <w:t xml:space="preserve"> </w:t>
            </w:r>
            <w:r>
              <w:rPr>
                <w:b/>
                <w:bCs/>
              </w:rPr>
              <w:t xml:space="preserve">Art. 45–48</w:t>
            </w:r>
            <w:r>
              <w:t xml:space="preserve"> </w:t>
            </w:r>
            <w:r>
              <w:t xml:space="preserve">(PAO, AAC ouverte 3 ans),</w:t>
            </w:r>
            <w:r>
              <w:t xml:space="preserve"> </w:t>
            </w:r>
            <w:r>
              <w:rPr>
                <w:b/>
                <w:bCs/>
              </w:rPr>
              <w:t xml:space="preserve">Art. 283</w:t>
            </w:r>
            <w:r>
              <w:t xml:space="preserve"> </w:t>
            </w:r>
            <w:r>
              <w:t xml:space="preserve">(double droit)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Autorisations d’exploiter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  <w:r>
              <w:t xml:space="preserve"> </w:t>
            </w:r>
            <w:r>
              <w:t xml:space="preserve">: certificat d’assiette, PAO, certificat de vente de coupe, CAE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Contribution communautaire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800 FCFA/m³</w:t>
            </w:r>
            <w:r>
              <w:t xml:space="preserve"> </w:t>
            </w:r>
            <w:r>
              <w:t xml:space="preserve">par défaut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FSC 2 062 190 ha</w:t>
            </w:r>
            <w:r>
              <w:t xml:space="preserve"> 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PAFC 596 822 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Classement RDUE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Faible risque</w:t>
            </w:r>
            <w:r>
              <w:t xml:space="preserve"> </w:t>
            </w:r>
            <w:r>
              <w:t xml:space="preserve">— mais diligence</w:t>
            </w:r>
            <w:r>
              <w:t xml:space="preserve"> </w:t>
            </w:r>
            <w:r>
              <w:rPr>
                <w:b/>
                <w:bCs/>
              </w:rPr>
              <w:t xml:space="preserve">au niveau parcelle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Essences en réserve</w:t>
            </w:r>
          </w:p>
        </w:tc>
        <w:tc>
          <w:tcPr/>
          <w:p>
            <w:pPr>
              <w:pStyle w:val="Compact"/>
            </w:pPr>
            <w:r>
              <w:t xml:space="preserve">Kévazingo (interdit), Afo, Andok, Douka/Makoré, Moabi (25 ans)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_b5af0ed4b3947fc68690750c32e3c0c2091ff8e"/>
      <w:r>
        <w:t xml:space="preserve">Annexe C — Glossaire (à l’usage du présentateur)</w:t>
      </w:r>
      <w:bookmarkEnd w:id="33"/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Titre</w:t>
      </w:r>
      <w:r>
        <w:t xml:space="preserve"> </w:t>
      </w:r>
      <w:r>
        <w:t xml:space="preserve">: droit d’exploitation forestière (CFAD, PFA, PGG, forêt communautaire).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UFA</w:t>
      </w:r>
      <w:r>
        <w:t xml:space="preserve"> </w:t>
      </w:r>
      <w:r>
        <w:t xml:space="preserve">: unité forestière d’aménagement — découpage du titre.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AAC / assiette annuelle de coupe</w:t>
      </w:r>
      <w:r>
        <w:t xml:space="preserve"> </w:t>
      </w:r>
      <w:r>
        <w:t xml:space="preserve">: la parcelle effective de l’année ; reste</w:t>
      </w:r>
      <w:r>
        <w:t xml:space="preserve"> </w:t>
      </w:r>
      <w:r>
        <w:rPr>
          <w:b/>
          <w:bCs/>
        </w:rPr>
        <w:t xml:space="preserve">ouverte 3 ans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PAO</w:t>
      </w:r>
      <w:r>
        <w:t xml:space="preserve"> </w:t>
      </w:r>
      <w:r>
        <w:t xml:space="preserve">: permis annuel d’opérations — le programme de récolte de l’assiette.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CCC</w:t>
      </w:r>
      <w:r>
        <w:t xml:space="preserve"> </w:t>
      </w:r>
      <w:r>
        <w:t xml:space="preserve">: cahier des clauses contractuelles — lien entre un titre et une communauté.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FDL</w:t>
      </w:r>
      <w:r>
        <w:t xml:space="preserve"> </w:t>
      </w:r>
      <w:r>
        <w:t xml:space="preserve">: fonds de développement local — contribution communautaire par mètre cube.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DF10</w:t>
      </w:r>
      <w:r>
        <w:t xml:space="preserve"> </w:t>
      </w:r>
      <w:r>
        <w:t xml:space="preserve">: carnet de chantier — registre des arbres abattus.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DME</w:t>
      </w:r>
      <w:r>
        <w:t xml:space="preserve"> </w:t>
      </w:r>
      <w:r>
        <w:t xml:space="preserve">: diamètre minimum d’exploitation.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CAE</w:t>
      </w:r>
      <w:r>
        <w:t xml:space="preserve"> </w:t>
      </w:r>
      <w:r>
        <w:t xml:space="preserve">: autorisation d’exploiter en forêt communautaire.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RDUE / EUDR</w:t>
      </w:r>
      <w:r>
        <w:t xml:space="preserve"> </w:t>
      </w:r>
      <w:r>
        <w:t xml:space="preserve">: règlement européen contre la déforestation — preuve de légalité à la parcelle.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Blocage dur</w:t>
      </w:r>
      <w:r>
        <w:t xml:space="preserve"> </w:t>
      </w:r>
      <w:r>
        <w:t xml:space="preserve">: refus automatique (illicite).</w:t>
      </w:r>
      <w:r>
        <w:t xml:space="preserve"> </w:t>
      </w:r>
      <w:r>
        <w:rPr>
          <w:b/>
          <w:bCs/>
        </w:rPr>
        <w:t xml:space="preserve">Avertissement</w:t>
      </w:r>
      <w:r>
        <w:t xml:space="preserve"> </w:t>
      </w:r>
      <w:r>
        <w:t xml:space="preserve">: signalement, le Ministère tranche.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Script de présentation orale. À adapter au protocole et au temps imparti. Toute affirmation juridique cite la Loi n° 016/01 ; les exigences de marché proviennent du Timber Trade Portal — Fiche Pays Gabon.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2026-10-12T23:54:16Z</dcterms:created>
  <dcterms:modified xsi:type="dcterms:W3CDTF">2026-10-12T23:54:16Z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