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"/>
        </w:rPr>
        <w:t xml:space="preserve">Workflow forestier — Gabon</w:t>
      </w:r>
    </w:p>
    <w:p>
      <w:pPr>
        <w:pStyle w:val="Subtitle"/>
      </w:pPr>
      <w:r>
        <w:rPr>
          <w:lang w:val="fr"/>
        </w:rPr>
        <w:t xml:space="preserve">Document explicatif — texte &amp; tableaux</w:t>
      </w:r>
    </w:p>
    <w:p>
      <w:pPr>
        <w:pStyle w:val="Author"/>
      </w:pPr>
      <w:r>
        <w:rPr>
          <w:lang w:val="fr"/>
        </w:rPr>
        <w:t xml:space="preserve">Plateforme numérique de traçabilité et de légalité forestières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4109824fd646ffa32a5730ba3f2afc3a92bd26"/>
      <w:r>
        <w:rPr>
          <w:lang w:val="fr"/>
        </w:rPr>
        <w:t xml:space="preserve">1. Objet et lecture du document</w:t>
      </w:r>
      <w:bookmarkEnd w:id="9"/>
    </w:p>
    <w:p>
      <w:pPr>
        <w:pStyle w:val="FirstParagraph"/>
      </w:pPr>
      <w:r>
        <w:rPr>
          <w:lang w:val="fr"/>
        </w:rPr>
        <w:t xml:space="preserve">Ce document explique,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en texte et en tableaux</w:t>
      </w:r>
      <w:r>
        <w:rPr>
          <w:lang w:val="fr"/>
        </w:rPr>
        <w:t xml:space="preserve">, la chaîne de valeur forestière</w:t>
      </w:r>
      <w:r>
        <w:rPr>
          <w:lang w:val="fr"/>
        </w:rPr>
        <w:t xml:space="preserve"> </w:t>
      </w:r>
      <w:r>
        <w:rPr>
          <w:lang w:val="fr"/>
        </w:rPr>
        <w:t xml:space="preserve">légale au Gabon et le workflow cible entre l’</w:t>
      </w:r>
      <w:r>
        <w:rPr>
          <w:b/>
          <w:bCs/>
          <w:lang w:val="fr"/>
        </w:rPr>
        <w:t xml:space="preserve">Entreprise</w:t>
      </w:r>
      <w:r>
        <w:rPr>
          <w:lang w:val="fr"/>
        </w:rPr>
        <w:t xml:space="preserve"> </w:t>
      </w:r>
      <w:r>
        <w:rPr>
          <w:lang w:val="fr"/>
        </w:rPr>
        <w:t xml:space="preserve">(opérateur économique)</w:t>
      </w:r>
      <w:r>
        <w:rPr>
          <w:lang w:val="fr"/>
        </w:rPr>
        <w:t xml:space="preserve"> </w:t>
      </w:r>
      <w:r>
        <w:rPr>
          <w:lang w:val="fr"/>
        </w:rPr>
        <w:t xml:space="preserve">et l’</w:t>
      </w:r>
      <w:r>
        <w:rPr>
          <w:b/>
          <w:bCs/>
          <w:lang w:val="fr"/>
        </w:rPr>
        <w:t xml:space="preserve">Administration</w:t>
      </w:r>
      <w:r>
        <w:rPr>
          <w:lang w:val="fr"/>
        </w:rPr>
        <w:t xml:space="preserve"> </w:t>
      </w:r>
      <w:r>
        <w:rPr>
          <w:lang w:val="fr"/>
        </w:rPr>
        <w:t xml:space="preserve">(Ministère et autorités compétentes).</w:t>
      </w:r>
    </w:p>
    <w:p>
      <w:pPr>
        <w:pStyle w:val="BodyText"/>
      </w:pPr>
      <w:r>
        <w:rPr>
          <w:lang w:val="fr"/>
        </w:rPr>
        <w:t xml:space="preserve">Il sert de référence écrite au guide visuel. Chaque étape, chaque document et chaque</w:t>
      </w:r>
      <w:r>
        <w:rPr>
          <w:lang w:val="fr"/>
        </w:rPr>
        <w:t xml:space="preserve"> </w:t>
      </w:r>
      <w:r>
        <w:rPr>
          <w:lang w:val="fr"/>
        </w:rPr>
        <w:t xml:space="preserve">décision y sont décrits avec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l’autorité légale qui délivre</w:t>
      </w:r>
      <w:r>
        <w:rPr>
          <w:lang w:val="fr"/>
        </w:rPr>
        <w:t xml:space="preserve"> </w:t>
      </w:r>
      <w:r>
        <w:rPr>
          <w:lang w:val="fr"/>
        </w:rPr>
        <w:t xml:space="preserve">et la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base légale</w:t>
      </w:r>
      <w:r>
        <w:rPr>
          <w:lang w:val="fr"/>
        </w:rPr>
        <w:t xml:space="preserve"> </w:t>
      </w:r>
      <w:r>
        <w:rPr>
          <w:lang w:val="fr"/>
        </w:rPr>
        <w:t xml:space="preserve">(Code forestier, Loi 016/01, et textes connexes).</w:t>
      </w:r>
    </w:p>
    <w:p>
      <w:pPr>
        <w:pStyle w:val="BlockText"/>
      </w:pPr>
      <w:r>
        <w:rPr>
          <w:b/>
          <w:bCs/>
          <w:lang w:val="fr"/>
        </w:rPr>
        <w:t xml:space="preserve">Règle de lecture, en une phrase :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L’entreprise déclare. L’Administration décide. La loi se prouve.</w:t>
      </w:r>
    </w:p>
    <w:p>
      <w:pPr>
        <w:pStyle w:val="FirstParagraph"/>
      </w:pPr>
      <w:r>
        <w:rPr>
          <w:lang w:val="fr"/>
        </w:rPr>
        <w:t xml:space="preserve">Trois principes structurent l’ensemble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"/>
        </w:rPr>
        <w:t xml:space="preserve">L’entreprise déclare et exécute</w:t>
      </w:r>
      <w:r>
        <w:rPr>
          <w:lang w:val="fr"/>
        </w:rPr>
        <w:t xml:space="preserve"> </w:t>
      </w:r>
      <w:r>
        <w:rPr>
          <w:lang w:val="fr"/>
        </w:rPr>
        <w:t xml:space="preserve">: elle dépose les demandes, produit les pièces,</w:t>
      </w:r>
      <w:r>
        <w:rPr>
          <w:lang w:val="fr"/>
        </w:rPr>
        <w:t xml:space="preserve"> </w:t>
      </w:r>
      <w:r>
        <w:rPr>
          <w:lang w:val="fr"/>
        </w:rPr>
        <w:t xml:space="preserve">exécute les opérations et alimente les carnets.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L’Administration instruit, délivre et contrôle</w:t>
      </w:r>
      <w:r>
        <w:rPr>
          <w:lang w:val="fr"/>
        </w:rPr>
        <w:t xml:space="preserve"> </w:t>
      </w:r>
      <w:r>
        <w:rPr>
          <w:lang w:val="fr"/>
        </w:rPr>
        <w:t xml:space="preserve">: elle délivre les autorisations,</w:t>
      </w:r>
      <w:r>
        <w:rPr>
          <w:lang w:val="fr"/>
        </w:rPr>
        <w:t xml:space="preserve"> </w:t>
      </w:r>
      <w:r>
        <w:rPr>
          <w:lang w:val="fr"/>
        </w:rPr>
        <w:t xml:space="preserve">ouvre et ferme les assiettes, approuve ou rejette, 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garde toujours le dernier mot</w:t>
      </w:r>
      <w:r>
        <w:rPr>
          <w:lang w:val="fr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fr"/>
        </w:rPr>
        <w:t xml:space="preserve">La légalité se prouve</w:t>
      </w:r>
      <w:r>
        <w:rPr>
          <w:lang w:val="fr"/>
        </w:rPr>
        <w:t xml:space="preserve"> </w:t>
      </w:r>
      <w:r>
        <w:rPr>
          <w:lang w:val="fr"/>
        </w:rPr>
        <w:t xml:space="preserve">: chaque document a une autorité, une validité et une base légale traçables.</w:t>
      </w:r>
    </w:p>
    <w:p>
      <w:pPr>
        <w:pStyle w:val="Heading1"/>
      </w:pPr>
      <w:bookmarkStart w:id="10" w:name="_18a942b9bae5c3c26f9066039f9a12f074b8ebb"/>
      <w:r>
        <w:rPr>
          <w:lang w:val="fr"/>
        </w:rPr>
        <w:t xml:space="preserve">2. Les acteurs et leurs rôles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Acteur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Rôle dans le workflow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Décide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(opérateur économique)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Déclare, exécute, produit les preuves, paie les taxes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Générale des Forêts (DGF)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Instruit, délivre, contrôle au niveau central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Directions Provinciales &amp; Cantonnements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Délivrent et contrôlent au niveau local (AAC, PAO, DF10, transport)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DGFAP — Faune &amp; Aires Protégées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Plan de protection de la faune, avis faune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DGICBVPF — Industries, Commerce du Bois &amp; Valorisation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 transformation, PI/PDI, contrôle transformation, organe de gestion CITES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DGE — Environnement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Étude d’impact environnemental (Loi 007/2014)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ANPN — Agence Nationale des Parcs Nationaux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Avis scientifique (CITES), aires protégées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DGI — Impôts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Quittance taxe de superficie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Douanes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Taxe d’abattage à l’exportation, contrôle des sorties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Trésor / AGEOS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Redevance de surveillance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Communautés villageoises &amp; coopératives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Forêt communautaire, CCC/FDL (art. 251)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Coparties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Message clé :</w:t>
      </w:r>
      <w:r>
        <w:rPr>
          <w:lang w:val="fr"/>
        </w:rPr>
        <w:t xml:space="preserve"> </w:t>
      </w:r>
      <w:r>
        <w:rPr>
          <w:lang w:val="fr"/>
        </w:rPr>
        <w:t xml:space="preserve">l’entreprise n’est jamais juge de sa propre légalité. Elle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déclare</w:t>
      </w:r>
      <w:r>
        <w:rPr>
          <w:lang w:val="fr"/>
        </w:rPr>
        <w:t xml:space="preserve"> </w:t>
      </w:r>
      <w:r>
        <w:rPr>
          <w:lang w:val="fr"/>
        </w:rPr>
        <w:t xml:space="preserve">;</w:t>
      </w:r>
      <w:r>
        <w:rPr>
          <w:lang w:val="fr"/>
        </w:rPr>
        <w:t xml:space="preserve"> </w:t>
      </w:r>
      <w:r>
        <w:rPr>
          <w:lang w:val="fr"/>
        </w:rPr>
        <w:t xml:space="preserve">le système vérifie ce qui est objectivement vérifiable ;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l’agent décide</w:t>
      </w:r>
      <w:r>
        <w:rPr>
          <w:lang w:val="fr"/>
        </w:rPr>
        <w:t xml:space="preserve">.</w:t>
      </w:r>
    </w:p>
    <w:p>
      <w:pPr>
        <w:pStyle w:val="Heading1"/>
      </w:pPr>
      <w:bookmarkStart w:id="11" w:name="_14ce4f16b7e170cc79536c43d4b4dc9735c7530"/>
      <w:r>
        <w:rPr>
          <w:lang w:val="fr"/>
        </w:rPr>
        <w:t xml:space="preserve">3. Le workflow en 11 étapes</w:t>
      </w:r>
      <w:bookmarkEnd w:id="11"/>
    </w:p>
    <w:p>
      <w:pPr>
        <w:pStyle w:val="FirstParagraph"/>
      </w:pPr>
      <w:r>
        <w:rPr>
          <w:lang w:val="fr"/>
        </w:rPr>
        <w:t xml:space="preserve">Chaque étape a une action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Entreprise</w:t>
      </w:r>
      <w:r>
        <w:rPr>
          <w:lang w:val="fr"/>
        </w:rPr>
        <w:t xml:space="preserve"> </w:t>
      </w:r>
      <w:r>
        <w:rPr>
          <w:lang w:val="fr"/>
        </w:rPr>
        <w:t xml:space="preserve">et une décision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Autorité</w:t>
      </w:r>
      <w:r>
        <w:rPr>
          <w:lang w:val="fr"/>
        </w:rPr>
        <w:t xml:space="preserve">. La base légale</w:t>
      </w:r>
      <w:r>
        <w:rPr>
          <w:lang w:val="fr"/>
        </w:rPr>
        <w:t xml:space="preserve"> </w:t>
      </w:r>
      <w:r>
        <w:rPr>
          <w:lang w:val="fr"/>
        </w:rPr>
        <w:t xml:space="preserve">est indiquée lorsque le Code forestier la fixe explicitement.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(déclare / exécute)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qui délivre ou décide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 / acte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Base légale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Dépose la demande d’agrément professionnel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DGF + DGICBVPF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 professionnel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Demande l’exploration + inventaire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DGF / Direction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d’exploration (≤ 12 mois)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Dépose le projet CPAET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MEFME / DGF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Convention provisoire (≤ 3 ans)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106–109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Plan d’aménagement + plan d’industrialisation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Ministre / DGF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 par décret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20–26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Inventaire d’exploitation, PAO, CCC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d’exploiter l’assiette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45, 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Marque les arbres (marteau + code)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 / Cantonnement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Contrôle du marquage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130–133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Déclare l’abattage (espèce, DBH, GPS)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Approbation ou rejet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Carnet de chantier DF10 (alimenté auto)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 / Cantonnement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Carnet visé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Émet bordereau / feuille de route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forestière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Bordereau de roulage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Transforme (registre entrées / sorties)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DGICBVPF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Contrôle de la transformation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États annuels (≤ 31 mars) + taxes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DGF · DGI · Douanes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Quittances &amp; états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244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Idée-force :</w:t>
      </w:r>
      <w:r>
        <w:rPr>
          <w:lang w:val="fr"/>
        </w:rPr>
        <w:t xml:space="preserve"> </w:t>
      </w:r>
      <w:r>
        <w:rPr>
          <w:lang w:val="fr"/>
        </w:rPr>
        <w:t xml:space="preserve">le même schéma se répète —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l’entreprise propose, l’autorité dispose.</w:t>
      </w:r>
    </w:p>
    <w:p>
      <w:pPr>
        <w:pStyle w:val="Heading1"/>
      </w:pPr>
      <w:bookmarkStart w:id="12" w:name="_50e5d990640e5f7c427997f082ab6a964448792"/>
      <w:r>
        <w:rPr>
          <w:lang w:val="fr"/>
        </w:rPr>
        <w:t xml:space="preserve">4. Les 4 autorisations d’exploiter (article 14)</w:t>
      </w:r>
      <w:bookmarkEnd w:id="12"/>
    </w:p>
    <w:p>
      <w:pPr>
        <w:pStyle w:val="FirstParagraph"/>
      </w:pPr>
      <w:r>
        <w:rPr>
          <w:lang w:val="fr"/>
        </w:rPr>
        <w:t xml:space="preserve">Aucune exploitation n’est licite sans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autorisation préalable</w:t>
      </w:r>
      <w:r>
        <w:rPr>
          <w:lang w:val="fr"/>
        </w:rPr>
        <w:t xml:space="preserve">. Quatre autorisations</w:t>
      </w:r>
      <w:r>
        <w:rPr>
          <w:lang w:val="fr"/>
        </w:rPr>
        <w:t xml:space="preserve"> </w:t>
      </w:r>
      <w:r>
        <w:rPr>
          <w:lang w:val="fr"/>
        </w:rPr>
        <w:t xml:space="preserve">existent ; leur cycle de vie est identique.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Contexte d’usage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Certificat annuel d’assiette de coupe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UFA en convention provisoire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Permis annuel d’opérations (PAO)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UFA avec plan d’aménagement validé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Certificat de vente de coupe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Ventes de coupe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CAE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Forêt communautaire</w:t>
            </w:r>
          </w:p>
        </w:tc>
      </w:tr>
    </w:tbl>
    <w:p>
      <w:pPr>
        <w:pStyle w:val="FirstParagraph"/>
      </w:pPr>
      <w:r>
        <w:rPr>
          <w:b/>
          <w:bCs/>
          <w:lang w:val="fr"/>
        </w:rPr>
        <w:t xml:space="preserve">Cycle commun (3 temps)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Demande</w:t>
      </w:r>
      <w:r>
        <w:rPr>
          <w:lang w:val="fr"/>
        </w:rPr>
        <w:t xml:space="preserve"> </w:t>
      </w:r>
      <w:r>
        <w:rPr>
          <w:lang w:val="fr"/>
        </w:rPr>
        <w:t xml:space="preserve">— l’entreprise dépose son plan (statut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soumis</w:t>
      </w:r>
      <w:r>
        <w:rPr>
          <w:lang w:val="fr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Décision</w:t>
      </w:r>
      <w:r>
        <w:rPr>
          <w:lang w:val="fr"/>
        </w:rPr>
        <w:t xml:space="preserve"> </w:t>
      </w:r>
      <w:r>
        <w:rPr>
          <w:lang w:val="fr"/>
        </w:rPr>
        <w:t xml:space="preserve">— l’autorité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délivre</w:t>
      </w:r>
      <w:r>
        <w:rPr>
          <w:lang w:val="fr"/>
        </w:rPr>
        <w:t xml:space="preserve"> </w:t>
      </w:r>
      <w:r>
        <w:rPr>
          <w:lang w:val="fr"/>
        </w:rPr>
        <w:t xml:space="preserve">ou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rejette</w:t>
      </w:r>
      <w:r>
        <w:rPr>
          <w:lang w:val="fr"/>
        </w:rPr>
        <w:t xml:space="preserve"> </w:t>
      </w:r>
      <w:r>
        <w:rPr>
          <w:lang w:val="fr"/>
        </w:rPr>
        <w:t xml:space="preserve">; le rejet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motivé</w:t>
      </w:r>
      <w:r>
        <w:rPr>
          <w:lang w:val="fr"/>
        </w:rPr>
        <w:t xml:space="preserve"> </w:t>
      </w:r>
      <w:r>
        <w:rPr>
          <w:lang w:val="fr"/>
        </w:rPr>
        <w:t xml:space="preserve">(obligatoire).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Notification de démarrage</w:t>
      </w:r>
      <w:r>
        <w:rPr>
          <w:lang w:val="fr"/>
        </w:rPr>
        <w:t xml:space="preserve"> </w:t>
      </w:r>
      <w:r>
        <w:rPr>
          <w:lang w:val="fr"/>
        </w:rPr>
        <w:t xml:space="preserve">— l’entreprise annonce le lancement ; l’activité n’est</w:t>
      </w:r>
      <w:r>
        <w:rPr>
          <w:lang w:val="fr"/>
        </w:rPr>
        <w:t xml:space="preserve"> </w:t>
      </w:r>
      <w:r>
        <w:rPr>
          <w:lang w:val="fr"/>
        </w:rPr>
        <w:t xml:space="preserve">réputée lancée qu’après délivrance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et</w:t>
      </w:r>
      <w:r>
        <w:rPr>
          <w:lang w:val="fr"/>
        </w:rPr>
        <w:t xml:space="preserve"> </w:t>
      </w:r>
      <w:r>
        <w:rPr>
          <w:lang w:val="fr"/>
        </w:rPr>
        <w:t xml:space="preserve">notification.</w:t>
      </w:r>
    </w:p>
    <w:p>
      <w:pPr>
        <w:pStyle w:val="Heading1"/>
      </w:pPr>
      <w:bookmarkStart w:id="13" w:name="_1d7d29ffacaded760e113a314cff2fffb03afbb"/>
      <w:r>
        <w:rPr>
          <w:lang w:val="fr"/>
        </w:rPr>
        <w:t xml:space="preserve">5. Le découpage du territoire — qui décide quoi</w:t>
      </w:r>
      <w:bookmarkEnd w:id="13"/>
    </w:p>
    <w:p>
      <w:pPr>
        <w:pStyle w:val="FirstParagraph"/>
      </w:pPr>
      <w:r>
        <w:rPr>
          <w:lang w:val="fr"/>
        </w:rPr>
        <w:t xml:space="preserve">Le territoire forestier s’emboîte :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Titre → UFA → Assiette Annuelle de Coupe (AAC)</w:t>
      </w:r>
      <w:r>
        <w:rPr>
          <w:lang w:val="fr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Niveau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Qui décide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(CFAD / PFA / FC)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Périmètre, titulaire, régime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UFA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le territoire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un périmètre délimité (surface, limites, cartographie)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PA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(plan d’aménagement)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le document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: le règlement du territoire — rotation, DME, possibilité annuelle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Ministère (art. 20–26)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Grille des ~30 AAC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 unités quinquennales × 5 ans (issue du PA)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L’année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Inventaire d’exploitation, PAO, activation de l’assiette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L’ouverture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d’exploiter, ouverture puis fermeture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Ministère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Message clé :</w:t>
      </w:r>
      <w:r>
        <w:rPr>
          <w:lang w:val="fr"/>
        </w:rPr>
        <w:t xml:space="preserve"> </w:t>
      </w:r>
      <w:r>
        <w:rPr>
          <w:lang w:val="fr"/>
        </w:rPr>
        <w:t xml:space="preserve">le cadre (titre, UFA, grille des AAC) est posé par le Ministère ;</w:t>
      </w:r>
      <w:r>
        <w:rPr>
          <w:lang w:val="fr"/>
        </w:rPr>
        <w:t xml:space="preserve"> </w:t>
      </w:r>
      <w:r>
        <w:rPr>
          <w:lang w:val="fr"/>
        </w:rPr>
        <w:t xml:space="preserve">l’entreprise ne fait que l’activer, année après année.</w:t>
      </w:r>
    </w:p>
    <w:p>
      <w:pPr>
        <w:pStyle w:val="Heading2"/>
      </w:pPr>
      <w:bookmarkStart w:id="14" w:name="_9fedb28dad091f60e9399243a819f74616c6d43"/>
      <w:r>
        <w:rPr>
          <w:lang w:val="fr"/>
        </w:rPr>
        <w:t xml:space="preserve">5.1 UFA et PA : ne pas confondre</w:t>
      </w:r>
      <w:bookmarkEnd w:id="14"/>
    </w:p>
    <w:p>
      <w:pPr>
        <w:pStyle w:val="FirstParagraph"/>
      </w:pPr>
      <w:r>
        <w:rPr>
          <w:b/>
          <w:bCs/>
          <w:lang w:val="fr"/>
        </w:rPr>
        <w:t xml:space="preserve">UFA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PA</w:t>
      </w:r>
      <w:r>
        <w:rPr>
          <w:lang w:val="fr"/>
        </w:rPr>
        <w:t xml:space="preserve"> </w:t>
      </w:r>
      <w:r>
        <w:rPr>
          <w:lang w:val="fr"/>
        </w:rPr>
        <w:t xml:space="preserve">ne désignent pas la même chose — l’un est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lieu</w:t>
      </w:r>
      <w:r>
        <w:rPr>
          <w:lang w:val="fr"/>
        </w:rPr>
        <w:t xml:space="preserve">, l’autre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document</w:t>
      </w:r>
      <w:r>
        <w:rPr>
          <w:lang w:val="fr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UFA — le territoire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 — le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un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lieu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(le contenant)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un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règlement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(le contenu)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Ce que c’est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un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périmètre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délimité par l’administration dans le domaine permanent : surface, limites, cartographie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plan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qui régit ce territoire : rotation (≥ 20 ans), DME, possibilité annuelle, séries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Ce qu’il produit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il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contient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les AAC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il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produit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la grille des 30 AAC (6 unités quinquennales × 5 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Qui l’établit / l’approuve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délimitation par l’administration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approuvé par le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Ministre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(art. 20–26), révision tous les 5 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Base légale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20–22 (découpage du domaine)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20–22 (contenu) et art. 45 (PAO)</w:t>
            </w:r>
          </w:p>
        </w:tc>
      </w:tr>
    </w:tbl>
    <w:p>
      <w:pPr>
        <w:pStyle w:val="FirstParagraph"/>
      </w:pPr>
      <w:r>
        <w:rPr>
          <w:b/>
          <w:bCs/>
          <w:lang w:val="fr"/>
        </w:rPr>
        <w:t xml:space="preserve">En une phrase :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l’UFA est le terrain ; le PA est le plan d’urbanisme de ce terrain.</w:t>
      </w:r>
      <w:r>
        <w:rPr>
          <w:lang w:val="fr"/>
        </w:rPr>
        <w:t xml:space="preserve"> </w:t>
      </w:r>
      <w:r>
        <w:rPr>
          <w:lang w:val="fr"/>
        </w:rPr>
        <w:t xml:space="preserve">On ne confond jamais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le lieu</w:t>
      </w:r>
      <w:r>
        <w:rPr>
          <w:lang w:val="fr"/>
        </w:rPr>
        <w:t xml:space="preserve"> </w:t>
      </w:r>
      <w:r>
        <w:rPr>
          <w:lang w:val="fr"/>
        </w:rPr>
        <w:t xml:space="preserve">(où l’on exploite) 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son règlement</w:t>
      </w:r>
      <w:r>
        <w:rPr>
          <w:lang w:val="fr"/>
        </w:rPr>
        <w:t xml:space="preserve"> </w:t>
      </w:r>
      <w:r>
        <w:rPr>
          <w:lang w:val="fr"/>
        </w:rPr>
        <w:t xml:space="preserve">(comment on l’exploite durablement).</w:t>
      </w:r>
    </w:p>
    <w:p>
      <w:pPr>
        <w:pStyle w:val="BlockText"/>
      </w:pPr>
      <w:r>
        <w:rPr>
          <w:lang w:val="fr"/>
        </w:rPr>
        <w:t xml:space="preserve">Principe anti-conflit :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le cadre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l’année</w:t>
      </w:r>
      <w:r>
        <w:rPr>
          <w:lang w:val="fr"/>
        </w:rPr>
        <w:t xml:space="preserve"> </w:t>
      </w:r>
      <w:r>
        <w:rPr>
          <w:lang w:val="fr"/>
        </w:rPr>
        <w:t xml:space="preserve">ne sont jamais décidés par le même acteur.</w:t>
      </w:r>
    </w:p>
    <w:p>
      <w:pPr>
        <w:pStyle w:val="Heading1"/>
      </w:pPr>
      <w:bookmarkStart w:id="15" w:name="_5bed20ebae40a5295b2c998bed9b26c03e9777a"/>
      <w:r>
        <w:rPr>
          <w:lang w:val="fr"/>
        </w:rPr>
        <w:t xml:space="preserve">6. La porte de conformité — deux niveaux</w:t>
      </w:r>
      <w:bookmarkEnd w:id="15"/>
    </w:p>
    <w:p>
      <w:pPr>
        <w:pStyle w:val="FirstParagraph"/>
      </w:pPr>
      <w:r>
        <w:rPr>
          <w:lang w:val="fr"/>
        </w:rPr>
        <w:t xml:space="preserve">Chaque déclaration d’abattage franchit une porte de conformité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deux niveaux</w:t>
      </w:r>
      <w:r>
        <w:rPr>
          <w:lang w:val="fr"/>
        </w:rPr>
        <w:t xml:space="preserve">.</w:t>
      </w:r>
    </w:p>
    <w:p>
      <w:pPr>
        <w:pStyle w:val="Heading2"/>
      </w:pPr>
      <w:bookmarkStart w:id="16" w:name="_b926175b7c62e3bdaa15850d6a634cf8a0048d9"/>
      <w:r>
        <w:rPr>
          <w:lang w:val="fr"/>
        </w:rPr>
        <w:t xml:space="preserve">6.1 Niveau 1 — Blocages durs (illégalité technique)</w:t>
      </w:r>
      <w:bookmarkEnd w:id="16"/>
    </w:p>
    <w:p>
      <w:pPr>
        <w:pStyle w:val="FirstParagraph"/>
      </w:pPr>
      <w:r>
        <w:rPr>
          <w:lang w:val="fr"/>
        </w:rPr>
        <w:t xml:space="preserve">La déclaration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refusée par le système</w:t>
      </w:r>
      <w:r>
        <w:rPr>
          <w:lang w:val="fr"/>
        </w:rPr>
        <w:t xml:space="preserve"> </w:t>
      </w:r>
      <w:r>
        <w:rPr>
          <w:lang w:val="fr"/>
        </w:rPr>
        <w:t xml:space="preserve">: elle ne peut pas être soumise.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Blocage dur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Fondement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Exploitation sans autorisation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Coupe d’un arbre sous le diamètre minimum (DME)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Essence mise en réserve ou interdite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Décret 2009 / CITES II (Kévazingo)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Code d’arbre en doublon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Traçabilité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Arbre hors des limites de l’AAC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Limites du titre</w:t>
            </w:r>
          </w:p>
        </w:tc>
      </w:tr>
    </w:tbl>
    <w:p>
      <w:pPr>
        <w:pStyle w:val="Heading2"/>
      </w:pPr>
      <w:bookmarkStart w:id="17" w:name="_63f16efb752c326489e7e3fd0d8935690898659"/>
      <w:r>
        <w:rPr>
          <w:lang w:val="fr"/>
        </w:rPr>
        <w:t xml:space="preserve">6.2 Niveau 2 — Avertissements (l’autorité tranche)</w:t>
      </w:r>
      <w:bookmarkEnd w:id="17"/>
    </w:p>
    <w:p>
      <w:pPr>
        <w:pStyle w:val="FirstParagraph"/>
      </w:pPr>
      <w:r>
        <w:rPr>
          <w:lang w:val="fr"/>
        </w:rPr>
        <w:t xml:space="preserve">La déclaration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est acceptée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signalée</w:t>
      </w:r>
      <w:r>
        <w:rPr>
          <w:lang w:val="fr"/>
        </w:rPr>
        <w:t xml:space="preserve"> </w:t>
      </w:r>
      <w:r>
        <w:rPr>
          <w:lang w:val="fr"/>
        </w:rPr>
        <w:t xml:space="preserve">; l’agent peut rejeter.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Avertissement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 manquant ou expiré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Agrément, quittance, certificat échu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Taxe impayée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Surcharge double droit — art. 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en attente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Soumise mais non encore délivrée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Carnet non tenu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DF10 incomplet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Espèce CITES sans permis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Export sans autorisation CITES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Message clé :</w:t>
      </w:r>
      <w:r>
        <w:rPr>
          <w:lang w:val="fr"/>
        </w:rPr>
        <w:t xml:space="preserve"> </w:t>
      </w:r>
      <w:r>
        <w:rPr>
          <w:lang w:val="fr"/>
        </w:rPr>
        <w:t xml:space="preserve">le système ne remplace pas l’agent — il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bloque l’illicite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éclaire le reste</w:t>
      </w:r>
      <w:r>
        <w:rPr>
          <w:lang w:val="fr"/>
        </w:rPr>
        <w:t xml:space="preserve">.</w:t>
      </w:r>
    </w:p>
    <w:p>
      <w:pPr>
        <w:pStyle w:val="Heading1"/>
      </w:pPr>
      <w:bookmarkStart w:id="18" w:name="_4cebd6387c3c8451331f10fd8bde6842c16be23"/>
      <w:r>
        <w:rPr>
          <w:lang w:val="fr"/>
        </w:rPr>
        <w:t xml:space="preserve">7. Référentiel des documents &amp; autorités</w:t>
      </w:r>
      <w:bookmarkEnd w:id="18"/>
    </w:p>
    <w:p>
      <w:pPr>
        <w:pStyle w:val="Heading2"/>
      </w:pPr>
      <w:bookmarkStart w:id="19" w:name="_7682c6de96eb5be0b75c9f26f54bcee62d3b497"/>
      <w:r>
        <w:rPr>
          <w:lang w:val="fr"/>
        </w:rPr>
        <w:t xml:space="preserve">7.1 Niveau entreprise — agrément · fiscalité · industrie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qui délivre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Validité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Base légale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 professionnel (exploitation / vente de grumes : DGF ; transformation : DGICBVPF)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DGF / DGICBVPF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Quittance taxe de superficie (400 F CFA/ha, ≤ 31 mars)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DGI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Annuelle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Certificat de conformité du Plan d’Industrialisation (PI)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DGICBVPF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23 / 226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Certificat de conformité du Plan de Développement Industriel (PDI)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DGICBVPF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226</w:t>
            </w:r>
          </w:p>
        </w:tc>
      </w:tr>
    </w:tbl>
    <w:p>
      <w:pPr>
        <w:pStyle w:val="Heading2"/>
      </w:pPr>
      <w:bookmarkStart w:id="20" w:name="_788de6cc48e4f83950c2fa6d6b0eea352be4be2"/>
      <w:r>
        <w:rPr>
          <w:lang w:val="fr"/>
        </w:rPr>
        <w:t xml:space="preserve">7.2 Niveau unité d’aménagement (UFA / AAC)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qui délivre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Validité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Base légale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Autorisation de mise en exploitation (AAC)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3 ans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CPAET (convention provisoire aménagement-exploitation-transformation)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MEFME / DGF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3 ans non renouvelable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106–109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Plan d’Aménagement (PA)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Ministre / DGF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30 ans (révision 5 ans)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20–26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Plan de Gestion (PG)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28–30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PAO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Annuel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45 / 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Plan de Protection de la Faune (PPF) + certificat de conformité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DGFAP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Étude d’Impact Environnemental (EIE) + certificat de conformité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DGE / DGFAP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Annuelle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Loi 007/2014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Quittance redevance de surveillance (≤ 300 F CFA/ha)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AGEOS / Trésor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Annuelle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Loi de finances 2018</w:t>
            </w:r>
          </w:p>
        </w:tc>
      </w:tr>
    </w:tbl>
    <w:p>
      <w:pPr>
        <w:pStyle w:val="Heading2"/>
      </w:pPr>
      <w:bookmarkStart w:id="21" w:name="_548ecc9d5ea910d26a205cb327d6dd1755256b6"/>
      <w:r>
        <w:rPr>
          <w:lang w:val="fr"/>
        </w:rPr>
        <w:t xml:space="preserve">7.3 Niveau produit — chaîne de production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qui délivre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Base légale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Carnet de chantier (DF10)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Direction Provinciale / Cantonnement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49 / 130–133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Quittance taxe d’abattage à l’exportation (1,5 % produits transformés)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Douanes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Bordereau de roulage / transport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 forestière provinciale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Spécification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Autorités forestières ports / provinciales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art. 138–140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Permis d’exportation CITES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ANPN (avis scientifique) + DGICBVPF (organe de gestion)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CITES</w:t>
            </w:r>
          </w:p>
        </w:tc>
      </w:tr>
    </w:tbl>
    <w:p>
      <w:pPr>
        <w:pStyle w:val="Heading2"/>
      </w:pPr>
      <w:bookmarkStart w:id="22" w:name="_3e55e21d500dff8b629bda0e7d7f9a4306bf4d4"/>
      <w:r>
        <w:rPr>
          <w:lang w:val="fr"/>
        </w:rPr>
        <w:t xml:space="preserve">7.4 Niveau social, droits des tiers et EUDR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Sujet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Consultation des parties prenantes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Procès-verbal de consultation (information / consultation / participation ; pas de CLPE général)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+ Communautés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Copie du plan d’aménagement / PSG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Mise à disposition des communautés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Obligations communautaires (CCC / FDL)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Contribution sur volume (défaut 800 F CFA/m³), PV CGSP, décision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/ Ministère (art. 251)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Diligence raisonnée EUDR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Déclaration par parcelle d’origine géolocalisée, compteurs de grumes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/ Ministère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Certifications (FSC / PAFC)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Preuve complémentaire de gestion durable — ne remplace pas la RDUE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Entreprise / Ministère (vérification)</w:t>
            </w:r>
          </w:p>
        </w:tc>
      </w:tr>
    </w:tbl>
    <w:p>
      <w:pPr>
        <w:pStyle w:val="Heading1"/>
      </w:pPr>
      <w:bookmarkStart w:id="23" w:name="_c8514ea0ff12919cc5e2fcef673eaea2794cf3e"/>
      <w:r>
        <w:rPr>
          <w:lang w:val="fr"/>
        </w:rPr>
        <w:t xml:space="preserve">8. Les types d’opérateurs</w:t>
      </w:r>
      <w:bookmarkEnd w:id="23"/>
    </w:p>
    <w:p>
      <w:pPr>
        <w:pStyle w:val="FirstParagraph"/>
      </w:pPr>
      <w:r>
        <w:rPr>
          <w:lang w:val="fr"/>
        </w:rPr>
        <w:t xml:space="preserve">Tous les profils d’entreprise sont conservés ; les capacités sont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cumulables</w:t>
      </w:r>
      <w:r>
        <w:rPr>
          <w:lang w:val="fr"/>
        </w:rPr>
        <w:t xml:space="preserve">, 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rien n’est nécessairement obligatoire</w:t>
      </w:r>
      <w:r>
        <w:rPr>
          <w:lang w:val="fr"/>
        </w:rPr>
        <w:t xml:space="preserve"> </w:t>
      </w:r>
      <w:r>
        <w:rPr>
          <w:lang w:val="fr"/>
        </w:rPr>
        <w:t xml:space="preserve">— chaque profil active les étapes qui le concernent.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Type d’opérateur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 applicables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Exploitant forestier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« forestier seul », pas d’usine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Agrément, titre, AAC/PAO, abattage,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Transformateur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« industriel », usine sans concession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Agrément, achat/approvisionnement, transport, transformation, états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Intégré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concession + usine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Titre, AAC/PAO, abattage, transport, transformation, états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Négoce / Export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achat-revente, export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Agrément, spécification, douanes, droits de sortie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Forêt communautaire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titulaire = la communauté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Convention, PSG, CAE, contrat d’approvisionnement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Coopérative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groupement d’opérateurs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Organisation, titres, agrégation des volumes</w:t>
            </w:r>
          </w:p>
        </w:tc>
      </w:tr>
    </w:tbl>
    <w:p>
      <w:pPr>
        <w:pStyle w:val="FirstParagraph"/>
      </w:pPr>
      <w:r>
        <w:rPr>
          <w:b/>
          <w:bCs/>
          <w:lang w:val="fr"/>
        </w:rPr>
        <w:t xml:space="preserve">Tronc commun à tous :</w:t>
      </w:r>
      <w:r>
        <w:rPr>
          <w:lang w:val="fr"/>
        </w:rPr>
        <w:t xml:space="preserve"> </w:t>
      </w:r>
      <w:r>
        <w:rPr>
          <w:lang w:val="fr"/>
        </w:rPr>
        <w:t xml:space="preserve">organisation titulaire, documents suivis (autorité + validité),</w:t>
      </w:r>
      <w:r>
        <w:rPr>
          <w:lang w:val="fr"/>
        </w:rPr>
        <w:t xml:space="preserve"> </w:t>
      </w:r>
      <w:r>
        <w:rPr>
          <w:lang w:val="fr"/>
        </w:rPr>
        <w:t xml:space="preserve">conformité à deux niveaux, traçabilité DF10, taxes et échéances.</w:t>
      </w:r>
    </w:p>
    <w:p>
      <w:pPr>
        <w:pStyle w:val="Heading1"/>
      </w:pPr>
      <w:bookmarkStart w:id="24" w:name="_ea9304c0b2204ef608c48a6fbc9e1d10925e9a6"/>
      <w:r>
        <w:rPr>
          <w:lang w:val="fr"/>
        </w:rPr>
        <w:t xml:space="preserve">9. Trois scénarios concrets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Déroulé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① Dossier conforme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Agrément et quittances à jour ; AAC ouverte et autorisée ; arbre ≥ DME dans les limites ; déclaration approuvée ; DF10 + bordereau générés ; grume à l’usine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Passe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fluide et prouvé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② Irrégularité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Titre et AAC en règle ; mais arbre sous le DME, ou hors AAC, ou essence en réserve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Bloqué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— l’illicite ne passe 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③ Avertissement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Titre et AAC en règle ; document en renouvellement ou taxe non réglée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Le Ministère décide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(rejet possible)</w:t>
            </w:r>
          </w:p>
        </w:tc>
      </w:tr>
    </w:tbl>
    <w:p>
      <w:pPr>
        <w:pStyle w:val="Heading1"/>
      </w:pPr>
      <w:bookmarkStart w:id="25" w:name="_ec36793541d13457c686a76e7458da436429bf7"/>
      <w:r>
        <w:rPr>
          <w:lang w:val="fr"/>
        </w:rPr>
        <w:t xml:space="preserve">10. La traçabilité de la grume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Preuve produite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Marquage de l’arbre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Marteau + code d’arbre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Abattage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Déclaration approuvée, arbre ≥ DME et dans l’AAC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Carnet de chantier DF10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Numéro DF10, codes d’abandon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Bordereau de roulage / feuille de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Réception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QR par grume (cycle émis → reçu)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Registre entrées / sorties, spécification</w:t>
            </w:r>
          </w:p>
        </w:tc>
      </w:tr>
    </w:tbl>
    <w:p>
      <w:pPr>
        <w:pStyle w:val="FirstParagraph"/>
      </w:pPr>
      <w:r>
        <w:rPr>
          <w:b/>
          <w:bCs/>
          <w:lang w:val="fr"/>
        </w:rPr>
        <w:t xml:space="preserve">Ce que l’on reconstruit :</w:t>
      </w:r>
      <w:r>
        <w:rPr>
          <w:lang w:val="fr"/>
        </w:rPr>
        <w:t xml:space="preserve"> </w:t>
      </w:r>
      <w:r>
        <w:rPr>
          <w:lang w:val="fr"/>
        </w:rPr>
        <w:t xml:space="preserve">le parcours complet de chaque grume, de la souche au lot exporté.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Ce qui sécurise le marché :</w:t>
      </w:r>
      <w:r>
        <w:rPr>
          <w:lang w:val="fr"/>
        </w:rPr>
        <w:t xml:space="preserve"> </w:t>
      </w:r>
      <w:r>
        <w:rPr>
          <w:lang w:val="fr"/>
        </w:rPr>
        <w:t xml:space="preserve">la traçabilité, la diligence EUDR par parcelle et, en complément,</w:t>
      </w:r>
      <w:r>
        <w:rPr>
          <w:lang w:val="fr"/>
        </w:rPr>
        <w:t xml:space="preserve"> </w:t>
      </w:r>
      <w:r>
        <w:rPr>
          <w:lang w:val="fr"/>
        </w:rPr>
        <w:t xml:space="preserve">les certifications tierces (FSC / PAFC).</w:t>
      </w:r>
    </w:p>
    <w:p>
      <w:pPr>
        <w:pStyle w:val="Heading1"/>
      </w:pPr>
      <w:bookmarkStart w:id="26" w:name="_52dc4430d442cb30b38aeeac9ddc735c670b19e"/>
      <w:r>
        <w:rPr>
          <w:lang w:val="fr"/>
        </w:rPr>
        <w:t xml:space="preserve">11. Ce que la plateforme apporte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Avant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Avec la plateforme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Documents papier dispersés, validités non suivies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Chaque document a une autorité, une validité et un état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suivi automatiquement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Contrôle a posteriori, contentieux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Contrôle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au moment de la déclaration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Traçabilité partielle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Chaîne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arbre → grume → produit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reconstituable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Décisions non tracées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Chaque décision est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horodatée, motivée et signée</w:t>
            </w:r>
          </w:p>
        </w:tc>
      </w:tr>
    </w:tbl>
    <w:p>
      <w:pPr>
        <w:pStyle w:val="Heading1"/>
      </w:pPr>
      <w:bookmarkStart w:id="27" w:name="_5c43a734e81a6df56187c5d5aab37e47d2759ad"/>
      <w:r>
        <w:rPr>
          <w:lang w:val="fr"/>
        </w:rPr>
        <w:t xml:space="preserve">12. Points ouverts (feuille de route)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Sujet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Modèle multi-autorités (DGF / DGFAP / DGE / ANPN / Douanes)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préciser : périmètres et droits par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Liens du dossier avec les organisations réelles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finaliser au fil des prochains 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Visa administration du DF10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ajouter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Pièces de matérialisation des limites (CAE)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ajouter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PPF / EIE dans le dossier d’aménagement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Transmission automatique DGF des états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brancher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Géolocalisation par grume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À ajouter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Document explicatif — texte et tableaux. Source : Code forestier gabonais (Loi 016/01) et</w:t>
      </w:r>
      <w:r>
        <w:rPr>
          <w:i/>
          <w:iCs/>
          <w:lang w:val="fr"/>
        </w:rPr>
        <w:t xml:space="preserve"> </w:t>
      </w:r>
      <w:r>
        <w:rPr>
          <w:i/>
          <w:iCs/>
          <w:lang w:val="fr"/>
        </w:rPr>
        <w:t xml:space="preserve">fiches pays Timber Trade Portal. Le présent document est la version écrite du guide visuel.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forestier — Gabon</dc:title>
  <dc:creator>Plateforme numérique de traçabilité et de légalité forestières</dc:creator>
  <dc:language>fr</dc:language>
  <cp:keywords/>
  <dcterms:created xsi:type="dcterms:W3CDTF">2026-10-13T01:01:46Z</dcterms:created>
  <dcterms:modified xsi:type="dcterms:W3CDTF">2026-10-13T01:01:46Z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 explicatif — texte &amp; tableaux</vt:lpwstr>
  </property>
</Properties>
</file>