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Command Centre Handover</w:t>
      </w:r>
    </w:p>
    <w:p>
      <w:pPr>
        <w:pStyle w:val="Subtitle"/>
      </w:pPr>
      <w:r>
        <w:t>Myriad of Dragons | Unity 6000.5.6f1 | Prepared 13 August 2026</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F2F4F7"/>
            <w:tcMar>
              <w:top w:w="80" w:type="dxa"/>
              <w:bottom w:w="80" w:type="dxa"/>
              <w:start w:w="120" w:type="dxa"/>
              <w:end w:w="120" w:type="dxa"/>
            </w:tcMar>
            <w:vAlign w:val="center"/>
          </w:tcPr>
          <w:p>
            <w:pPr>
              <w:spacing w:after="40" w:line="240" w:lineRule="auto"/>
            </w:pPr>
            <w:r>
              <w:rPr>
                <w:b/>
                <w:sz w:val="18"/>
              </w:rPr>
              <w:t>Repository</w:t>
            </w:r>
          </w:p>
        </w:tc>
        <w:tc>
          <w:tcPr>
            <w:tcW w:type="dxa" w:w="7460"/>
            <w:tcMar>
              <w:top w:w="80" w:type="dxa"/>
              <w:bottom w:w="80" w:type="dxa"/>
              <w:start w:w="120" w:type="dxa"/>
              <w:end w:w="120" w:type="dxa"/>
            </w:tcMar>
            <w:vAlign w:val="center"/>
          </w:tcPr>
          <w:p>
            <w:pPr>
              <w:spacing w:after="40" w:line="240" w:lineRule="auto"/>
            </w:pPr>
            <w:r>
              <w:rPr>
                <w:sz w:val="18"/>
              </w:rPr>
              <w:t>C:\Users\zihan\Downloads\MyriadOfDragonsUnity</w:t>
            </w:r>
          </w:p>
        </w:tc>
      </w:tr>
      <w:tr>
        <w:tc>
          <w:tcPr>
            <w:tcW w:type="dxa" w:w="1900"/>
            <w:shd w:fill="F2F4F7"/>
            <w:tcMar>
              <w:top w:w="80" w:type="dxa"/>
              <w:bottom w:w="80" w:type="dxa"/>
              <w:start w:w="120" w:type="dxa"/>
              <w:end w:w="120" w:type="dxa"/>
            </w:tcMar>
            <w:vAlign w:val="center"/>
          </w:tcPr>
          <w:p>
            <w:pPr>
              <w:spacing w:after="40" w:line="240" w:lineRule="auto"/>
            </w:pPr>
            <w:r>
              <w:rPr>
                <w:b/>
                <w:sz w:val="18"/>
              </w:rPr>
              <w:t>Branch / HEAD</w:t>
            </w:r>
          </w:p>
        </w:tc>
        <w:tc>
          <w:tcPr>
            <w:tcW w:type="dxa" w:w="7460"/>
            <w:tcMar>
              <w:top w:w="80" w:type="dxa"/>
              <w:bottom w:w="80" w:type="dxa"/>
              <w:start w:w="120" w:type="dxa"/>
              <w:end w:w="120" w:type="dxa"/>
            </w:tcMar>
            <w:vAlign w:val="center"/>
          </w:tcPr>
          <w:p>
            <w:pPr>
              <w:spacing w:after="40" w:line="240" w:lineRule="auto"/>
            </w:pPr>
            <w:r>
              <w:rPr>
                <w:sz w:val="18"/>
              </w:rPr>
              <w:t>main / 7ae6d361bbbe923adc3bf28c15e599769b1f5a0f</w:t>
            </w:r>
          </w:p>
        </w:tc>
      </w:tr>
      <w:tr>
        <w:tc>
          <w:tcPr>
            <w:tcW w:type="dxa" w:w="1900"/>
            <w:shd w:fill="F2F4F7"/>
            <w:tcMar>
              <w:top w:w="80" w:type="dxa"/>
              <w:bottom w:w="80" w:type="dxa"/>
              <w:start w:w="120" w:type="dxa"/>
              <w:end w:w="120" w:type="dxa"/>
            </w:tcMar>
            <w:vAlign w:val="center"/>
          </w:tcPr>
          <w:p>
            <w:pPr>
              <w:spacing w:after="40" w:line="240" w:lineRule="auto"/>
            </w:pPr>
            <w:r>
              <w:rPr>
                <w:b/>
                <w:sz w:val="18"/>
              </w:rPr>
              <w:t>Battle baseline</w:t>
            </w:r>
          </w:p>
        </w:tc>
        <w:tc>
          <w:tcPr>
            <w:tcW w:type="dxa" w:w="7460"/>
            <w:tcMar>
              <w:top w:w="80" w:type="dxa"/>
              <w:bottom w:w="80" w:type="dxa"/>
              <w:start w:w="120" w:type="dxa"/>
              <w:end w:w="120" w:type="dxa"/>
            </w:tcMar>
            <w:vAlign w:val="center"/>
          </w:tcPr>
          <w:p>
            <w:pPr>
              <w:spacing w:after="40" w:line="240" w:lineRule="auto"/>
            </w:pPr>
            <w:r>
              <w:rPr>
                <w:sz w:val="18"/>
              </w:rPr>
              <w:t>Pre-session 2604bf8 | Current Battle head 7ae6d36</w:t>
            </w:r>
          </w:p>
        </w:tc>
      </w:tr>
      <w:tr>
        <w:tc>
          <w:tcPr>
            <w:tcW w:type="dxa" w:w="1900"/>
            <w:shd w:fill="F2F4F7"/>
            <w:tcMar>
              <w:top w:w="80" w:type="dxa"/>
              <w:bottom w:w="80" w:type="dxa"/>
              <w:start w:w="120" w:type="dxa"/>
              <w:end w:w="120" w:type="dxa"/>
            </w:tcMar>
            <w:vAlign w:val="center"/>
          </w:tcPr>
          <w:p>
            <w:pPr>
              <w:spacing w:after="40" w:line="240" w:lineRule="auto"/>
            </w:pPr>
            <w:r>
              <w:rPr>
                <w:b/>
                <w:sz w:val="18"/>
              </w:rPr>
              <w:t>Audience</w:t>
            </w:r>
          </w:p>
        </w:tc>
        <w:tc>
          <w:tcPr>
            <w:tcW w:type="dxa" w:w="7460"/>
            <w:tcMar>
              <w:top w:w="80" w:type="dxa"/>
              <w:bottom w:w="80" w:type="dxa"/>
              <w:start w:w="120" w:type="dxa"/>
              <w:end w:w="120" w:type="dxa"/>
            </w:tcMar>
            <w:vAlign w:val="center"/>
          </w:tcPr>
          <w:p>
            <w:pPr>
              <w:spacing w:after="40" w:line="240" w:lineRule="auto"/>
            </w:pPr>
            <w:r>
              <w:rPr>
                <w:sz w:val="18"/>
              </w:rPr>
              <w:t>Replacement AI acting as Command Centre</w:t>
            </w:r>
          </w:p>
        </w:tc>
      </w:tr>
      <w:tr>
        <w:tc>
          <w:tcPr>
            <w:tcW w:type="dxa" w:w="1900"/>
            <w:shd w:fill="F2F4F7"/>
            <w:tcMar>
              <w:top w:w="80" w:type="dxa"/>
              <w:bottom w:w="80" w:type="dxa"/>
              <w:start w:w="120" w:type="dxa"/>
              <w:end w:w="120" w:type="dxa"/>
            </w:tcMar>
            <w:vAlign w:val="center"/>
          </w:tcPr>
          <w:p>
            <w:pPr>
              <w:spacing w:after="40" w:line="240" w:lineRule="auto"/>
            </w:pPr>
            <w:r>
              <w:rPr>
                <w:b/>
                <w:sz w:val="18"/>
              </w:rPr>
              <w:t>Confidence</w:t>
            </w:r>
          </w:p>
        </w:tc>
        <w:tc>
          <w:tcPr>
            <w:tcW w:type="dxa" w:w="7460"/>
            <w:tcMar>
              <w:top w:w="80" w:type="dxa"/>
              <w:bottom w:w="80" w:type="dxa"/>
              <w:start w:w="120" w:type="dxa"/>
              <w:end w:w="120" w:type="dxa"/>
            </w:tcMar>
            <w:vAlign w:val="center"/>
          </w:tcPr>
          <w:p>
            <w:pPr>
              <w:spacing w:after="40" w:line="240" w:lineRule="auto"/>
            </w:pPr>
            <w:r>
              <w:rPr>
                <w:sz w:val="18"/>
              </w:rPr>
              <w:t>Battle evidence high; Tutorial and Social deployment remain unverified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4D6"/>
          </w:tcPr>
          <w:p>
            <w:pPr>
              <w:spacing w:after="40" w:line="240" w:lineRule="auto"/>
            </w:pPr>
            <w:r>
              <w:rPr>
                <w:b/>
                <w:color w:val="0B2545"/>
                <w:sz w:val="19"/>
              </w:rPr>
              <w:t>Immediate operating instruction</w:t>
            </w:r>
          </w:p>
          <w:p>
            <w:pPr>
              <w:spacing w:after="40" w:line="240" w:lineRule="auto"/>
            </w:pPr>
            <w:r>
              <w:rPr>
                <w:sz w:val="19"/>
              </w:rPr>
              <w:t>Treat running code and current tests as the highest authority. Read docs/MOS_v1.2.md and docs/AI_CONTRIBUTING.md before directing implementation. Preserve the dirty worktree. Never use broad staging, cleanup, reset, or checkout commands. Assign narrow file allowlists to each seat.</w:t>
            </w:r>
          </w:p>
        </w:tc>
      </w:tr>
    </w:tbl>
    <w:p>
      <w:pPr>
        <w:spacing w:after="0"/>
      </w:pPr>
    </w:p>
    <w:p>
      <w:pPr>
        <w:pStyle w:val="Heading1"/>
        <w:keepNext/>
      </w:pPr>
      <w:r>
        <w:t>1. Executive snapshot</w:t>
      </w:r>
    </w:p>
    <w:tbl>
      <w:tblPr>
        <w:tblStyle w:val="TableGrid"/>
        <w:tblW w:type="dxa" w:w="9360"/>
        <w:jc w:val="left"/>
        <w:tblLayout w:type="fixed"/>
        <w:tblLook w:firstColumn="1" w:firstRow="1" w:lastColumn="0" w:lastRow="0" w:noHBand="0" w:noVBand="1" w:val="04A0"/>
        <w:tblInd w:w="120" w:type="dxa"/>
      </w:tblPr>
      <w:tblGrid>
        <w:gridCol w:w="1800"/>
        <w:gridCol w:w="1600"/>
        <w:gridCol w:w="5960"/>
      </w:tblGrid>
      <w:tr>
        <w:trPr>
          <w:tblHeader w:val="true"/>
        </w:trPr>
        <w:tc>
          <w:tcPr>
            <w:tcW w:type="dxa" w:w="1800"/>
            <w:tcMar>
              <w:top w:w="80" w:type="dxa"/>
              <w:bottom w:w="80" w:type="dxa"/>
              <w:start w:w="120" w:type="dxa"/>
              <w:end w:w="120" w:type="dxa"/>
            </w:tcMar>
            <w:vAlign w:val="center"/>
            <w:shd w:fill="E8EEF5"/>
          </w:tcPr>
          <w:p>
            <w:pPr>
              <w:spacing w:after="40" w:line="240" w:lineRule="auto"/>
            </w:pPr>
            <w:r>
              <w:rPr>
                <w:b/>
                <w:color w:val="0B2545"/>
                <w:sz w:val="18"/>
              </w:rPr>
              <w:t>Area</w:t>
            </w:r>
          </w:p>
        </w:tc>
        <w:tc>
          <w:tcPr>
            <w:tcW w:type="dxa" w:w="1600"/>
            <w:tcMar>
              <w:top w:w="80" w:type="dxa"/>
              <w:bottom w:w="80" w:type="dxa"/>
              <w:start w:w="120" w:type="dxa"/>
              <w:end w:w="120" w:type="dxa"/>
            </w:tcMar>
            <w:vAlign w:val="center"/>
            <w:shd w:fill="E8EEF5"/>
          </w:tcPr>
          <w:p>
            <w:pPr>
              <w:spacing w:after="40" w:line="240" w:lineRule="auto"/>
            </w:pPr>
            <w:r>
              <w:rPr>
                <w:b/>
                <w:color w:val="0B2545"/>
                <w:sz w:val="18"/>
              </w:rPr>
              <w:t>Status</w:t>
            </w:r>
          </w:p>
        </w:tc>
        <w:tc>
          <w:tcPr>
            <w:tcW w:type="dxa" w:w="5960"/>
            <w:tcMar>
              <w:top w:w="80" w:type="dxa"/>
              <w:bottom w:w="80" w:type="dxa"/>
              <w:start w:w="120" w:type="dxa"/>
              <w:end w:w="120" w:type="dxa"/>
            </w:tcMar>
            <w:vAlign w:val="center"/>
            <w:shd w:fill="E8EEF5"/>
          </w:tcPr>
          <w:p>
            <w:pPr>
              <w:spacing w:after="40" w:line="240" w:lineRule="auto"/>
            </w:pPr>
            <w:r>
              <w:rPr>
                <w:b/>
                <w:color w:val="0B2545"/>
                <w:sz w:val="18"/>
              </w:rPr>
              <w:t>Command Centre meaning</w:t>
            </w:r>
          </w:p>
        </w:tc>
      </w:tr>
      <w:tr>
        <w:tc>
          <w:tcPr>
            <w:tcW w:type="dxa" w:w="1800"/>
            <w:tcMar>
              <w:top w:w="80" w:type="dxa"/>
              <w:bottom w:w="80" w:type="dxa"/>
              <w:start w:w="120" w:type="dxa"/>
              <w:end w:w="120" w:type="dxa"/>
            </w:tcMar>
            <w:vAlign w:val="center"/>
          </w:tcPr>
          <w:p>
            <w:pPr>
              <w:spacing w:after="40" w:line="240" w:lineRule="auto"/>
            </w:pPr>
            <w:r>
              <w:rPr>
                <w:sz w:val="18"/>
              </w:rPr>
              <w:t>Battle regression coverage</w:t>
            </w:r>
          </w:p>
        </w:tc>
        <w:tc>
          <w:tcPr>
            <w:tcW w:type="dxa" w:w="1600"/>
            <w:shd w:fill="EAF4EA"/>
            <w:tcMar>
              <w:top w:w="80" w:type="dxa"/>
              <w:bottom w:w="80" w:type="dxa"/>
              <w:start w:w="120" w:type="dxa"/>
              <w:end w:w="120" w:type="dxa"/>
            </w:tcMar>
            <w:vAlign w:val="center"/>
          </w:tcPr>
          <w:p>
            <w:pPr>
              <w:spacing w:after="40" w:line="240" w:lineRule="auto"/>
            </w:pPr>
            <w:r>
              <w:rPr>
                <w:sz w:val="18"/>
              </w:rPr>
              <w:t>GREEN</w:t>
            </w:r>
          </w:p>
        </w:tc>
        <w:tc>
          <w:tcPr>
            <w:tcW w:type="dxa" w:w="5960"/>
            <w:tcMar>
              <w:top w:w="80" w:type="dxa"/>
              <w:bottom w:w="80" w:type="dxa"/>
              <w:start w:w="120" w:type="dxa"/>
              <w:end w:w="120" w:type="dxa"/>
            </w:tcMar>
            <w:vAlign w:val="center"/>
          </w:tcPr>
          <w:p>
            <w:pPr>
              <w:spacing w:after="40" w:line="240" w:lineRule="auto"/>
            </w:pPr>
            <w:r>
              <w:rPr>
                <w:sz w:val="18"/>
              </w:rPr>
              <w:t>Six local commits. The user manually reported BattleLogicTests all green after the final corrections and added batches.</w:t>
            </w:r>
          </w:p>
        </w:tc>
      </w:tr>
      <w:tr>
        <w:tc>
          <w:tcPr>
            <w:tcW w:type="dxa" w:w="1800"/>
            <w:tcMar>
              <w:top w:w="80" w:type="dxa"/>
              <w:bottom w:w="80" w:type="dxa"/>
              <w:start w:w="120" w:type="dxa"/>
              <w:end w:w="120" w:type="dxa"/>
            </w:tcMar>
            <w:vAlign w:val="center"/>
          </w:tcPr>
          <w:p>
            <w:pPr>
              <w:spacing w:after="40" w:line="240" w:lineRule="auto"/>
            </w:pPr>
            <w:r>
              <w:rPr>
                <w:sz w:val="18"/>
              </w:rPr>
              <w:t>Battle production code</w:t>
            </w:r>
          </w:p>
        </w:tc>
        <w:tc>
          <w:tcPr>
            <w:tcW w:type="dxa" w:w="1600"/>
            <w:shd w:fill="EAF4EA"/>
            <w:tcMar>
              <w:top w:w="80" w:type="dxa"/>
              <w:bottom w:w="80" w:type="dxa"/>
              <w:start w:w="120" w:type="dxa"/>
              <w:end w:w="120" w:type="dxa"/>
            </w:tcMar>
            <w:vAlign w:val="center"/>
          </w:tcPr>
          <w:p>
            <w:pPr>
              <w:spacing w:after="40" w:line="240" w:lineRule="auto"/>
            </w:pPr>
            <w:r>
              <w:rPr>
                <w:sz w:val="18"/>
              </w:rPr>
              <w:t>UNCHANGED</w:t>
            </w:r>
          </w:p>
        </w:tc>
        <w:tc>
          <w:tcPr>
            <w:tcW w:type="dxa" w:w="5960"/>
            <w:tcMar>
              <w:top w:w="80" w:type="dxa"/>
              <w:bottom w:w="80" w:type="dxa"/>
              <w:start w:w="120" w:type="dxa"/>
              <w:end w:w="120" w:type="dxa"/>
            </w:tcMar>
            <w:vAlign w:val="center"/>
          </w:tcPr>
          <w:p>
            <w:pPr>
              <w:spacing w:after="40" w:line="240" w:lineRule="auto"/>
            </w:pPr>
            <w:r>
              <w:rPr>
                <w:sz w:val="18"/>
              </w:rPr>
              <w:t>The handover Battle work is test-only. Diff from 2604bf8 to 7ae6d36 shows zero production Battle/Card changes.</w:t>
            </w:r>
          </w:p>
        </w:tc>
      </w:tr>
      <w:tr>
        <w:tc>
          <w:tcPr>
            <w:tcW w:type="dxa" w:w="1800"/>
            <w:tcMar>
              <w:top w:w="80" w:type="dxa"/>
              <w:bottom w:w="80" w:type="dxa"/>
              <w:start w:w="120" w:type="dxa"/>
              <w:end w:w="120" w:type="dxa"/>
            </w:tcMar>
            <w:vAlign w:val="center"/>
          </w:tcPr>
          <w:p>
            <w:pPr>
              <w:spacing w:after="40" w:line="240" w:lineRule="auto"/>
            </w:pPr>
            <w:r>
              <w:rPr>
                <w:sz w:val="18"/>
              </w:rPr>
              <w:t>Tutorial client service</w:t>
            </w:r>
          </w:p>
        </w:tc>
        <w:tc>
          <w:tcPr>
            <w:tcW w:type="dxa" w:w="1600"/>
            <w:shd w:fill="FFF4D6"/>
            <w:tcMar>
              <w:top w:w="80" w:type="dxa"/>
              <w:bottom w:w="80" w:type="dxa"/>
              <w:start w:w="120" w:type="dxa"/>
              <w:end w:w="120" w:type="dxa"/>
            </w:tcMar>
            <w:vAlign w:val="center"/>
          </w:tcPr>
          <w:p>
            <w:pPr>
              <w:spacing w:after="40" w:line="240" w:lineRule="auto"/>
            </w:pPr>
            <w:r>
              <w:rPr>
                <w:sz w:val="18"/>
              </w:rPr>
              <w:t>LOCALLY FIXED</w:t>
            </w:r>
          </w:p>
        </w:tc>
        <w:tc>
          <w:tcPr>
            <w:tcW w:type="dxa" w:w="5960"/>
            <w:tcMar>
              <w:top w:w="80" w:type="dxa"/>
              <w:bottom w:w="80" w:type="dxa"/>
              <w:start w:w="120" w:type="dxa"/>
              <w:end w:w="120" w:type="dxa"/>
            </w:tcMar>
            <w:vAlign w:val="center"/>
          </w:tcPr>
          <w:p>
            <w:pPr>
              <w:spacing w:after="40" w:line="240" w:lineRule="auto"/>
            </w:pPr>
            <w:r>
              <w:rPr>
                <w:sz w:val="18"/>
              </w:rPr>
              <w:t>CS0452 corrected in untracked Tutorial files; standalone Roslyn compilation passed. Fresh Unity TutorialServiceTests evidence is not recorded here.</w:t>
            </w:r>
          </w:p>
        </w:tc>
      </w:tr>
      <w:tr>
        <w:tc>
          <w:tcPr>
            <w:tcW w:type="dxa" w:w="1800"/>
            <w:tcMar>
              <w:top w:w="80" w:type="dxa"/>
              <w:bottom w:w="80" w:type="dxa"/>
              <w:start w:w="120" w:type="dxa"/>
              <w:end w:w="120" w:type="dxa"/>
            </w:tcMar>
            <w:vAlign w:val="center"/>
          </w:tcPr>
          <w:p>
            <w:pPr>
              <w:spacing w:after="40" w:line="240" w:lineRule="auto"/>
            </w:pPr>
            <w:r>
              <w:rPr>
                <w:sz w:val="18"/>
              </w:rPr>
              <w:t>Tutorial playable flow</w:t>
            </w:r>
          </w:p>
        </w:tc>
        <w:tc>
          <w:tcPr>
            <w:tcW w:type="dxa" w:w="1600"/>
            <w:shd w:fill="FFF4D6"/>
            <w:tcMar>
              <w:top w:w="80" w:type="dxa"/>
              <w:bottom w:w="80" w:type="dxa"/>
              <w:start w:w="120" w:type="dxa"/>
              <w:end w:w="120" w:type="dxa"/>
            </w:tcMar>
            <w:vAlign w:val="center"/>
          </w:tcPr>
          <w:p>
            <w:pPr>
              <w:spacing w:after="40" w:line="240" w:lineRule="auto"/>
            </w:pPr>
            <w:r>
              <w:rPr>
                <w:sz w:val="18"/>
              </w:rPr>
              <w:t>PARTIAL / BLOCKED</w:t>
            </w:r>
          </w:p>
        </w:tc>
        <w:tc>
          <w:tcPr>
            <w:tcW w:type="dxa" w:w="5960"/>
            <w:tcMar>
              <w:top w:w="80" w:type="dxa"/>
              <w:bottom w:w="80" w:type="dxa"/>
              <w:start w:w="120" w:type="dxa"/>
              <w:end w:w="120" w:type="dxa"/>
            </w:tcMar>
            <w:vAlign w:val="center"/>
          </w:tcPr>
          <w:p>
            <w:pPr>
              <w:spacing w:after="40" w:line="240" w:lineRule="auto"/>
            </w:pPr>
            <w:r>
              <w:rPr>
                <w:sz w:val="18"/>
              </w:rPr>
              <w:t>Content/test baseline exists; authoritative grant, saved Formation, checkpoint ledger, and tutorial-context result handling are incomplete.</w:t>
            </w:r>
          </w:p>
        </w:tc>
      </w:tr>
      <w:tr>
        <w:tc>
          <w:tcPr>
            <w:tcW w:type="dxa" w:w="1800"/>
            <w:tcMar>
              <w:top w:w="80" w:type="dxa"/>
              <w:bottom w:w="80" w:type="dxa"/>
              <w:start w:w="120" w:type="dxa"/>
              <w:end w:w="120" w:type="dxa"/>
            </w:tcMar>
            <w:vAlign w:val="center"/>
          </w:tcPr>
          <w:p>
            <w:pPr>
              <w:spacing w:after="40" w:line="240" w:lineRule="auto"/>
            </w:pPr>
            <w:r>
              <w:rPr>
                <w:sz w:val="18"/>
              </w:rPr>
              <w:t>Social safety</w:t>
            </w:r>
          </w:p>
        </w:tc>
        <w:tc>
          <w:tcPr>
            <w:tcW w:type="dxa" w:w="1600"/>
            <w:shd w:fill="FFF4D6"/>
            <w:tcMar>
              <w:top w:w="80" w:type="dxa"/>
              <w:bottom w:w="80" w:type="dxa"/>
              <w:start w:w="120" w:type="dxa"/>
              <w:end w:w="120" w:type="dxa"/>
            </w:tcMar>
            <w:vAlign w:val="center"/>
          </w:tcPr>
          <w:p>
            <w:pPr>
              <w:spacing w:after="40" w:line="240" w:lineRule="auto"/>
            </w:pPr>
            <w:r>
              <w:rPr>
                <w:sz w:val="18"/>
              </w:rPr>
              <w:t>LOCAL / NOT DEPLOYED</w:t>
            </w:r>
          </w:p>
        </w:tc>
        <w:tc>
          <w:tcPr>
            <w:tcW w:type="dxa" w:w="5960"/>
            <w:tcMar>
              <w:top w:w="80" w:type="dxa"/>
              <w:bottom w:w="80" w:type="dxa"/>
              <w:start w:w="120" w:type="dxa"/>
              <w:end w:w="120" w:type="dxa"/>
            </w:tcMar>
            <w:vAlign w:val="center"/>
          </w:tcPr>
          <w:p>
            <w:pPr>
              <w:spacing w:after="40" w:line="240" w:lineRule="auto"/>
            </w:pPr>
            <w:r>
              <w:rPr>
                <w:sz w:val="18"/>
              </w:rPr>
              <w:t>Authored and reviewed; server tests reportedly 31/31. Access policy remains draft/unapplied; production behavior is unverified.</w:t>
            </w:r>
          </w:p>
        </w:tc>
      </w:tr>
      <w:tr>
        <w:tc>
          <w:tcPr>
            <w:tcW w:type="dxa" w:w="1800"/>
            <w:tcMar>
              <w:top w:w="80" w:type="dxa"/>
              <w:bottom w:w="80" w:type="dxa"/>
              <w:start w:w="120" w:type="dxa"/>
              <w:end w:w="120" w:type="dxa"/>
            </w:tcMar>
            <w:vAlign w:val="center"/>
          </w:tcPr>
          <w:p>
            <w:pPr>
              <w:spacing w:after="40" w:line="240" w:lineRule="auto"/>
            </w:pPr>
            <w:r>
              <w:rPr>
                <w:sz w:val="18"/>
              </w:rPr>
              <w:t>Repository hygiene</w:t>
            </w:r>
          </w:p>
        </w:tc>
        <w:tc>
          <w:tcPr>
            <w:tcW w:type="dxa" w:w="1600"/>
            <w:shd w:fill="FCE8E6"/>
            <w:tcMar>
              <w:top w:w="80" w:type="dxa"/>
              <w:bottom w:w="80" w:type="dxa"/>
              <w:start w:w="120" w:type="dxa"/>
              <w:end w:w="120" w:type="dxa"/>
            </w:tcMar>
            <w:vAlign w:val="center"/>
          </w:tcPr>
          <w:p>
            <w:pPr>
              <w:spacing w:after="40" w:line="240" w:lineRule="auto"/>
            </w:pPr>
            <w:r>
              <w:rPr>
                <w:sz w:val="18"/>
              </w:rPr>
              <w:t>HIGH RISK</w:t>
            </w:r>
          </w:p>
        </w:tc>
        <w:tc>
          <w:tcPr>
            <w:tcW w:type="dxa" w:w="5960"/>
            <w:tcMar>
              <w:top w:w="80" w:type="dxa"/>
              <w:bottom w:w="80" w:type="dxa"/>
              <w:start w:w="120" w:type="dxa"/>
              <w:end w:w="120" w:type="dxa"/>
            </w:tcMar>
            <w:vAlign w:val="center"/>
          </w:tcPr>
          <w:p>
            <w:pPr>
              <w:spacing w:after="40" w:line="240" w:lineRule="auto"/>
            </w:pPr>
            <w:r>
              <w:rPr>
                <w:sz w:val="18"/>
              </w:rPr>
              <w:t>Many unrelated modified/untracked files exist from parallel seats. Broad staging or cleanup is unsafe.</w:t>
            </w:r>
          </w:p>
        </w:tc>
      </w:tr>
    </w:tbl>
    <w:p>
      <w:pPr>
        <w:pStyle w:val="Heading1"/>
        <w:keepNext/>
      </w:pPr>
      <w:r>
        <w:t>2. Copy/paste brief for the replacement Command Centre</w:t>
      </w:r>
    </w:p>
    <w:p>
      <w:pPr>
        <w:spacing w:before="80" w:after="120"/>
        <w:ind w:left="259" w:right="259"/>
        <w:shd w:fill="F2F4F7"/>
      </w:pPr>
      <w:r>
        <w:rPr>
          <w:rFonts w:ascii="Consolas" w:hAnsi="Consolas"/>
          <w:sz w:val="17"/>
        </w:rPr>
        <w:t>You are Command Centre for Myriad of Dragons. Work only in C:\Users\zihan\Downloads\MyriadOfDragonsUnity. Running code and current tests outrank documents. Read docs/MOS_v1.2.md and docs/AI_CONTRIBUTING.md first. The repository is heavily dirty because multiple seats worked in parallel; never stage, revert, clean, reset, or commit broadly. Always assign exact file allowlists and prohibited paths. Battle is owned by the Battle seat. Save files are frozen and require explicit coordination. SocialSafety and Tutorial backend work are not deployed; never present locally authored or tested work as deployment- or production-verified. Use this handover's decision ledger and action queue. Do not reopen the approved tutorial roster, Novice AI encounter, normal-combat rule, or progression-neutral tutorial-defeat decisions without new evidence.</w:t>
      </w:r>
    </w:p>
    <w:p>
      <w:r>
        <w:br w:type="page"/>
      </w:r>
    </w:p>
    <w:p>
      <w:pPr>
        <w:pStyle w:val="Heading1"/>
        <w:keepNext/>
      </w:pPr>
      <w:r>
        <w:t>3. Decision ledger: approved and in force</w:t>
      </w:r>
    </w:p>
    <w:p>
      <w:pPr>
        <w:spacing w:after="100"/>
      </w:pPr>
      <w:r>
        <w:rPr>
          <w:b/>
          <w:color w:val="0B2545"/>
        </w:rPr>
        <w:t xml:space="preserve">Tutorial identity and health: </w:t>
      </w:r>
      <w:r>
        <w:t>Genuine new players begin at Avatar level 1. The existing onboarding Health taper operates normally.</w:t>
      </w:r>
    </w:p>
    <w:p>
      <w:pPr>
        <w:spacing w:after="100"/>
      </w:pPr>
      <w:r>
        <w:rPr>
          <w:b/>
          <w:color w:val="0B2545"/>
        </w:rPr>
        <w:t xml:space="preserve">First tutorial battle: </w:t>
      </w:r>
      <w:r>
        <w:t>Uses existing Novice AI scaling, AIArchetype.Balanced, and normal production combat rules.</w:t>
      </w:r>
    </w:p>
    <w:p>
      <w:pPr>
        <w:spacing w:after="100"/>
      </w:pPr>
      <w:r>
        <w:rPr>
          <w:b/>
          <w:color w:val="0B2545"/>
        </w:rPr>
        <w:t xml:space="preserve">Tutorial defeat: </w:t>
      </w:r>
      <w:r>
        <w:t>Progression-neutral; immediate no-cost retry; general non-tutorial loss progression remains unchanged.</w:t>
      </w:r>
    </w:p>
    <w:p>
      <w:pPr>
        <w:spacing w:after="100"/>
      </w:pPr>
      <w:r>
        <w:rPr>
          <w:b/>
          <w:color w:val="0B2545"/>
        </w:rPr>
        <w:t xml:space="preserve">Retry and interruption: </w:t>
      </w:r>
      <w:r>
        <w:t>Retry restores the saved starter Formation. Interrupted, unconfirmed battles restart safely from Formation.</w:t>
      </w:r>
    </w:p>
    <w:p>
      <w:pPr>
        <w:spacing w:after="100"/>
      </w:pPr>
      <w:r>
        <w:rPr>
          <w:b/>
          <w:color w:val="0B2545"/>
        </w:rPr>
        <w:t xml:space="preserve">Integrity: </w:t>
      </w:r>
      <w:r>
        <w:t>No fake victory, invulnerability, altered damage, disabled rule, tutorial-only combat rule, or guaranteed-win claim.</w:t>
      </w:r>
    </w:p>
    <w:p>
      <w:pPr>
        <w:spacing w:after="100"/>
      </w:pPr>
      <w:r>
        <w:rPr>
          <w:b/>
          <w:color w:val="0B2545"/>
        </w:rPr>
        <w:t xml:space="preserve">Starter Formation: </w:t>
      </w:r>
      <w:r>
        <w:t>Front warrior; Middle novice_knight; Back goblin_caster.</w:t>
      </w:r>
    </w:p>
    <w:p>
      <w:pPr>
        <w:spacing w:after="100"/>
      </w:pPr>
      <w:r>
        <w:rPr>
          <w:b/>
          <w:color w:val="0B2545"/>
        </w:rPr>
        <w:t xml:space="preserve">Tutorial enemy: </w:t>
      </w:r>
      <w:r>
        <w:t>butcher, cursed_soldier, giant_worms, tribal_warrior; Avatar level 1; Novice scaling; Balanced archetype.</w:t>
      </w:r>
    </w:p>
    <w:p>
      <w:pPr>
        <w:spacing w:after="100"/>
      </w:pPr>
      <w:r>
        <w:rPr>
          <w:b/>
          <w:color w:val="0B2545"/>
        </w:rPr>
        <w:t xml:space="preserve">Social-safety limits: </w:t>
      </w:r>
      <w:r>
        <w:t>Shared actor-scoped 10/minute and 100/day limits, server time, Remote Config, and safe 10/100 fallback as locally implemented; deployment remains gated.</w:t>
      </w:r>
    </w:p>
    <w:p>
      <w:pPr>
        <w:pStyle w:val="Heading2"/>
        <w:keepNext/>
      </w:pPr>
      <w:r>
        <w:t>Decisions or ownership still required</w:t>
      </w:r>
    </w:p>
    <w:p>
      <w:pPr>
        <w:spacing w:after="100"/>
      </w:pPr>
      <w:r>
        <w:rPr>
          <w:b/>
          <w:color w:val="1F4D78"/>
        </w:rPr>
        <w:t xml:space="preserve">Backend ownership: </w:t>
      </w:r>
      <w:r>
        <w:t>Assign a Backend/Server owner for tutorial grants, checkpoint persistence, and deployment validation.</w:t>
      </w:r>
    </w:p>
    <w:p>
      <w:pPr>
        <w:spacing w:after="100"/>
      </w:pPr>
      <w:r>
        <w:rPr>
          <w:b/>
          <w:color w:val="1F4D78"/>
        </w:rPr>
        <w:t xml:space="preserve">Persistent tutorial schema: </w:t>
      </w:r>
      <w:r>
        <w:t>Coordinate additive lane-aware Formation and checkpoint fields. Do not reshape frozen Save contracts unilaterally.</w:t>
      </w:r>
    </w:p>
    <w:p>
      <w:pPr>
        <w:spacing w:after="100"/>
      </w:pPr>
      <w:r>
        <w:rPr>
          <w:b/>
          <w:color w:val="1F4D78"/>
        </w:rPr>
        <w:t xml:space="preserve">Deployment environment: </w:t>
      </w:r>
      <w:r>
        <w:t>Provide a non-production Unity Cloud environment and disposable identities for policy verification.</w:t>
      </w:r>
    </w:p>
    <w:p>
      <w:pPr>
        <w:pStyle w:val="Heading1"/>
        <w:keepNext/>
      </w:pPr>
      <w:r>
        <w:t>4. Battle work completed</w:t>
      </w:r>
    </w:p>
    <w:p>
      <w:r>
        <w:t>All entries below are committed on local main and change only Assets/Tests/Editor/BattleLogicTests.cs.</w:t>
      </w:r>
    </w:p>
    <w:tbl>
      <w:tblPr>
        <w:tblStyle w:val="TableGrid"/>
        <w:tblW w:type="dxa" w:w="9360"/>
        <w:jc w:val="left"/>
        <w:tblLayout w:type="fixed"/>
        <w:tblLook w:firstColumn="1" w:firstRow="1" w:lastColumn="0" w:lastRow="0" w:noHBand="0" w:noVBand="1" w:val="04A0"/>
        <w:tblInd w:w="120" w:type="dxa"/>
      </w:tblPr>
      <w:tblGrid>
        <w:gridCol w:w="1200"/>
        <w:gridCol w:w="2400"/>
        <w:gridCol w:w="5760"/>
      </w:tblGrid>
      <w:tr>
        <w:trPr>
          <w:tblHeader w:val="true"/>
        </w:trPr>
        <w:tc>
          <w:tcPr>
            <w:tcW w:type="dxa" w:w="1200"/>
            <w:tcMar>
              <w:top w:w="80" w:type="dxa"/>
              <w:bottom w:w="80" w:type="dxa"/>
              <w:start w:w="120" w:type="dxa"/>
              <w:end w:w="120" w:type="dxa"/>
            </w:tcMar>
            <w:vAlign w:val="center"/>
            <w:shd w:fill="E8EEF5"/>
          </w:tcPr>
          <w:p>
            <w:pPr>
              <w:spacing w:after="40" w:line="240" w:lineRule="auto"/>
            </w:pPr>
            <w:r>
              <w:rPr>
                <w:b/>
                <w:color w:val="0B2545"/>
                <w:sz w:val="17"/>
              </w:rPr>
              <w:t>Commit</w:t>
            </w:r>
          </w:p>
        </w:tc>
        <w:tc>
          <w:tcPr>
            <w:tcW w:type="dxa" w:w="2400"/>
            <w:tcMar>
              <w:top w:w="80" w:type="dxa"/>
              <w:bottom w:w="80" w:type="dxa"/>
              <w:start w:w="120" w:type="dxa"/>
              <w:end w:w="120" w:type="dxa"/>
            </w:tcMar>
            <w:vAlign w:val="center"/>
            <w:shd w:fill="E8EEF5"/>
          </w:tcPr>
          <w:p>
            <w:pPr>
              <w:spacing w:after="40" w:line="240" w:lineRule="auto"/>
            </w:pPr>
            <w:r>
              <w:rPr>
                <w:b/>
                <w:color w:val="0B2545"/>
                <w:sz w:val="17"/>
              </w:rPr>
              <w:t>Slice</w:t>
            </w:r>
          </w:p>
        </w:tc>
        <w:tc>
          <w:tcPr>
            <w:tcW w:type="dxa" w:w="5760"/>
            <w:tcMar>
              <w:top w:w="80" w:type="dxa"/>
              <w:bottom w:w="80" w:type="dxa"/>
              <w:start w:w="120" w:type="dxa"/>
              <w:end w:w="120" w:type="dxa"/>
            </w:tcMar>
            <w:vAlign w:val="center"/>
            <w:shd w:fill="E8EEF5"/>
          </w:tcPr>
          <w:p>
            <w:pPr>
              <w:spacing w:after="40" w:line="240" w:lineRule="auto"/>
            </w:pPr>
            <w:r>
              <w:rPr>
                <w:b/>
                <w:color w:val="0B2545"/>
                <w:sz w:val="17"/>
              </w:rPr>
              <w:t>Coverage</w:t>
            </w:r>
          </w:p>
        </w:tc>
      </w:tr>
      <w:tr>
        <w:tc>
          <w:tcPr>
            <w:tcW w:type="dxa" w:w="1200"/>
            <w:tcMar>
              <w:top w:w="80" w:type="dxa"/>
              <w:bottom w:w="80" w:type="dxa"/>
              <w:start w:w="120" w:type="dxa"/>
              <w:end w:w="120" w:type="dxa"/>
            </w:tcMar>
            <w:vAlign w:val="center"/>
          </w:tcPr>
          <w:p>
            <w:pPr>
              <w:spacing w:after="40" w:line="240" w:lineRule="auto"/>
            </w:pPr>
            <w:r>
              <w:rPr>
                <w:sz w:val="17"/>
              </w:rPr>
              <w:t>9f0a428</w:t>
            </w:r>
          </w:p>
        </w:tc>
        <w:tc>
          <w:tcPr>
            <w:tcW w:type="dxa" w:w="2400"/>
            <w:tcMar>
              <w:top w:w="80" w:type="dxa"/>
              <w:bottom w:w="80" w:type="dxa"/>
              <w:start w:w="120" w:type="dxa"/>
              <w:end w:w="120" w:type="dxa"/>
            </w:tcMar>
            <w:vAlign w:val="center"/>
          </w:tcPr>
          <w:p>
            <w:pPr>
              <w:spacing w:after="40" w:line="240" w:lineRule="auto"/>
            </w:pPr>
            <w:r>
              <w:rPr>
                <w:sz w:val="17"/>
              </w:rPr>
              <w:t>Core regression batch</w:t>
            </w:r>
          </w:p>
        </w:tc>
        <w:tc>
          <w:tcPr>
            <w:tcW w:type="dxa" w:w="5760"/>
            <w:tcMar>
              <w:top w:w="80" w:type="dxa"/>
              <w:bottom w:w="80" w:type="dxa"/>
              <w:start w:w="120" w:type="dxa"/>
              <w:end w:w="120" w:type="dxa"/>
            </w:tcMar>
            <w:vAlign w:val="center"/>
          </w:tcPr>
          <w:p>
            <w:pPr>
              <w:spacing w:after="40" w:line="240" w:lineRule="auto"/>
            </w:pPr>
            <w:r>
              <w:rPr>
                <w:sz w:val="17"/>
              </w:rPr>
              <w:t>Taunt/spillover; reinforcement + synergy; draw path; tutorial roster/encounter; deterministic knockout fix; reject-cleanly guards.</w:t>
            </w:r>
          </w:p>
        </w:tc>
      </w:tr>
      <w:tr>
        <w:tc>
          <w:tcPr>
            <w:tcW w:type="dxa" w:w="1200"/>
            <w:tcMar>
              <w:top w:w="80" w:type="dxa"/>
              <w:bottom w:w="80" w:type="dxa"/>
              <w:start w:w="120" w:type="dxa"/>
              <w:end w:w="120" w:type="dxa"/>
            </w:tcMar>
            <w:vAlign w:val="center"/>
          </w:tcPr>
          <w:p>
            <w:pPr>
              <w:spacing w:after="40" w:line="240" w:lineRule="auto"/>
            </w:pPr>
            <w:r>
              <w:rPr>
                <w:sz w:val="17"/>
              </w:rPr>
              <w:t>32b6e3a</w:t>
            </w:r>
          </w:p>
        </w:tc>
        <w:tc>
          <w:tcPr>
            <w:tcW w:type="dxa" w:w="2400"/>
            <w:tcMar>
              <w:top w:w="80" w:type="dxa"/>
              <w:bottom w:w="80" w:type="dxa"/>
              <w:start w:w="120" w:type="dxa"/>
              <w:end w:w="120" w:type="dxa"/>
            </w:tcMar>
            <w:vAlign w:val="center"/>
          </w:tcPr>
          <w:p>
            <w:pPr>
              <w:spacing w:after="40" w:line="240" w:lineRule="auto"/>
            </w:pPr>
            <w:r>
              <w:rPr>
                <w:sz w:val="17"/>
              </w:rPr>
              <w:t>Phase and class hooks</w:t>
            </w:r>
          </w:p>
        </w:tc>
        <w:tc>
          <w:tcPr>
            <w:tcW w:type="dxa" w:w="5760"/>
            <w:tcMar>
              <w:top w:w="80" w:type="dxa"/>
              <w:bottom w:w="80" w:type="dxa"/>
              <w:start w:w="120" w:type="dxa"/>
              <w:end w:w="120" w:type="dxa"/>
            </w:tcMar>
            <w:vAlign w:val="center"/>
          </w:tcPr>
          <w:p>
            <w:pPr>
              <w:spacing w:after="40" w:line="240" w:lineRule="auto"/>
            </w:pPr>
            <w:r>
              <w:rPr>
                <w:sz w:val="17"/>
              </w:rPr>
              <w:t>Double-lock protection; pre-combat tick no-op; Strategist-anywhere and Perfect-only-in-Back draw hooks.</w:t>
            </w:r>
          </w:p>
        </w:tc>
      </w:tr>
      <w:tr>
        <w:tc>
          <w:tcPr>
            <w:tcW w:type="dxa" w:w="1200"/>
            <w:tcMar>
              <w:top w:w="80" w:type="dxa"/>
              <w:bottom w:w="80" w:type="dxa"/>
              <w:start w:w="120" w:type="dxa"/>
              <w:end w:w="120" w:type="dxa"/>
            </w:tcMar>
            <w:vAlign w:val="center"/>
          </w:tcPr>
          <w:p>
            <w:pPr>
              <w:spacing w:after="40" w:line="240" w:lineRule="auto"/>
            </w:pPr>
            <w:r>
              <w:rPr>
                <w:sz w:val="17"/>
              </w:rPr>
              <w:t>463f43e</w:t>
            </w:r>
          </w:p>
        </w:tc>
        <w:tc>
          <w:tcPr>
            <w:tcW w:type="dxa" w:w="2400"/>
            <w:tcMar>
              <w:top w:w="80" w:type="dxa"/>
              <w:bottom w:w="80" w:type="dxa"/>
              <w:start w:w="120" w:type="dxa"/>
              <w:end w:w="120" w:type="dxa"/>
            </w:tcMar>
            <w:vAlign w:val="center"/>
          </w:tcPr>
          <w:p>
            <w:pPr>
              <w:spacing w:after="40" w:line="240" w:lineRule="auto"/>
            </w:pPr>
            <w:r>
              <w:rPr>
                <w:sz w:val="17"/>
              </w:rPr>
              <w:t>Spell branches</w:t>
            </w:r>
          </w:p>
        </w:tc>
        <w:tc>
          <w:tcPr>
            <w:tcW w:type="dxa" w:w="5760"/>
            <w:tcMar>
              <w:top w:w="80" w:type="dxa"/>
              <w:bottom w:w="80" w:type="dxa"/>
              <w:start w:w="120" w:type="dxa"/>
              <w:end w:w="120" w:type="dxa"/>
            </w:tcMar>
            <w:vAlign w:val="center"/>
          </w:tcPr>
          <w:p>
            <w:pPr>
              <w:spacing w:after="40" w:line="240" w:lineRule="auto"/>
            </w:pPr>
            <w:r>
              <w:rPr>
                <w:sz w:val="17"/>
              </w:rPr>
              <w:t>AvatarStrike clamp; LaneAttackBuff; defended-lane LaneDamage.</w:t>
            </w:r>
          </w:p>
        </w:tc>
      </w:tr>
      <w:tr>
        <w:tc>
          <w:tcPr>
            <w:tcW w:type="dxa" w:w="1200"/>
            <w:tcMar>
              <w:top w:w="80" w:type="dxa"/>
              <w:bottom w:w="80" w:type="dxa"/>
              <w:start w:w="120" w:type="dxa"/>
              <w:end w:w="120" w:type="dxa"/>
            </w:tcMar>
            <w:vAlign w:val="center"/>
          </w:tcPr>
          <w:p>
            <w:pPr>
              <w:spacing w:after="40" w:line="240" w:lineRule="auto"/>
            </w:pPr>
            <w:r>
              <w:rPr>
                <w:sz w:val="17"/>
              </w:rPr>
              <w:t>9edaf39</w:t>
            </w:r>
          </w:p>
        </w:tc>
        <w:tc>
          <w:tcPr>
            <w:tcW w:type="dxa" w:w="2400"/>
            <w:tcMar>
              <w:top w:w="80" w:type="dxa"/>
              <w:bottom w:w="80" w:type="dxa"/>
              <w:start w:w="120" w:type="dxa"/>
              <w:end w:w="120" w:type="dxa"/>
            </w:tcMar>
            <w:vAlign w:val="center"/>
          </w:tcPr>
          <w:p>
            <w:pPr>
              <w:spacing w:after="40" w:line="240" w:lineRule="auto"/>
            </w:pPr>
            <w:r>
              <w:rPr>
                <w:sz w:val="17"/>
              </w:rPr>
              <w:t>Synergy stacking</w:t>
            </w:r>
          </w:p>
        </w:tc>
        <w:tc>
          <w:tcPr>
            <w:tcW w:type="dxa" w:w="5760"/>
            <w:tcMar>
              <w:top w:w="80" w:type="dxa"/>
              <w:bottom w:w="80" w:type="dxa"/>
              <w:start w:w="120" w:type="dxa"/>
              <w:end w:w="120" w:type="dxa"/>
            </w:tcMar>
            <w:vAlign w:val="center"/>
          </w:tcPr>
          <w:p>
            <w:pPr>
              <w:spacing w:after="40" w:line="240" w:lineRule="auto"/>
            </w:pPr>
            <w:r>
              <w:rPr>
                <w:sz w:val="17"/>
              </w:rPr>
              <w:t>Different active tags add and both remain visible.</w:t>
            </w:r>
          </w:p>
        </w:tc>
      </w:tr>
      <w:tr>
        <w:tc>
          <w:tcPr>
            <w:tcW w:type="dxa" w:w="1200"/>
            <w:tcMar>
              <w:top w:w="80" w:type="dxa"/>
              <w:bottom w:w="80" w:type="dxa"/>
              <w:start w:w="120" w:type="dxa"/>
              <w:end w:w="120" w:type="dxa"/>
            </w:tcMar>
            <w:vAlign w:val="center"/>
          </w:tcPr>
          <w:p>
            <w:pPr>
              <w:spacing w:after="40" w:line="240" w:lineRule="auto"/>
            </w:pPr>
            <w:r>
              <w:rPr>
                <w:sz w:val="17"/>
              </w:rPr>
              <w:t>74cf4fa</w:t>
            </w:r>
          </w:p>
        </w:tc>
        <w:tc>
          <w:tcPr>
            <w:tcW w:type="dxa" w:w="2400"/>
            <w:tcMar>
              <w:top w:w="80" w:type="dxa"/>
              <w:bottom w:w="80" w:type="dxa"/>
              <w:start w:w="120" w:type="dxa"/>
              <w:end w:w="120" w:type="dxa"/>
            </w:tcMar>
            <w:vAlign w:val="center"/>
          </w:tcPr>
          <w:p>
            <w:pPr>
              <w:spacing w:after="40" w:line="240" w:lineRule="auto"/>
            </w:pPr>
            <w:r>
              <w:rPr>
                <w:sz w:val="17"/>
              </w:rPr>
              <w:t>Compile correction</w:t>
            </w:r>
          </w:p>
        </w:tc>
        <w:tc>
          <w:tcPr>
            <w:tcW w:type="dxa" w:w="5760"/>
            <w:tcMar>
              <w:top w:w="80" w:type="dxa"/>
              <w:bottom w:w="80" w:type="dxa"/>
              <w:start w:w="120" w:type="dxa"/>
              <w:end w:w="120" w:type="dxa"/>
            </w:tcMar>
            <w:vAlign w:val="center"/>
          </w:tcPr>
          <w:p>
            <w:pPr>
              <w:spacing w:after="40" w:line="240" w:lineRule="auto"/>
            </w:pPr>
            <w:r>
              <w:rPr>
                <w:sz w:val="17"/>
              </w:rPr>
              <w:t>Use typed Has.Member assertions instead of ambiguous NUnit string containment.</w:t>
            </w:r>
          </w:p>
        </w:tc>
      </w:tr>
      <w:tr>
        <w:tc>
          <w:tcPr>
            <w:tcW w:type="dxa" w:w="1200"/>
            <w:tcMar>
              <w:top w:w="80" w:type="dxa"/>
              <w:bottom w:w="80" w:type="dxa"/>
              <w:start w:w="120" w:type="dxa"/>
              <w:end w:w="120" w:type="dxa"/>
            </w:tcMar>
            <w:vAlign w:val="center"/>
          </w:tcPr>
          <w:p>
            <w:pPr>
              <w:spacing w:after="40" w:line="240" w:lineRule="auto"/>
            </w:pPr>
            <w:r>
              <w:rPr>
                <w:sz w:val="17"/>
              </w:rPr>
              <w:t>7ae6d36</w:t>
            </w:r>
          </w:p>
        </w:tc>
        <w:tc>
          <w:tcPr>
            <w:tcW w:type="dxa" w:w="2400"/>
            <w:tcMar>
              <w:top w:w="80" w:type="dxa"/>
              <w:bottom w:w="80" w:type="dxa"/>
              <w:start w:w="120" w:type="dxa"/>
              <w:end w:w="120" w:type="dxa"/>
            </w:tcMar>
            <w:vAlign w:val="center"/>
          </w:tcPr>
          <w:p>
            <w:pPr>
              <w:spacing w:after="40" w:line="240" w:lineRule="auto"/>
            </w:pPr>
            <w:r>
              <w:rPr>
                <w:sz w:val="17"/>
              </w:rPr>
              <w:t>Elemental cycle</w:t>
            </w:r>
          </w:p>
        </w:tc>
        <w:tc>
          <w:tcPr>
            <w:tcW w:type="dxa" w:w="5760"/>
            <w:tcMar>
              <w:top w:w="80" w:type="dxa"/>
              <w:bottom w:w="80" w:type="dxa"/>
              <w:start w:w="120" w:type="dxa"/>
              <w:end w:w="120" w:type="dxa"/>
            </w:tcMar>
            <w:vAlign w:val="center"/>
          </w:tcPr>
          <w:p>
            <w:pPr>
              <w:spacing w:after="40" w:line="240" w:lineRule="auto"/>
            </w:pPr>
            <w:r>
              <w:rPr>
                <w:sz w:val="17"/>
              </w:rPr>
              <w:t>Full Ktini &gt; Andras &gt; Pnevmas &gt; Ktini cycle, reverse and same-element cases.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AF4EA"/>
          </w:tcPr>
          <w:p>
            <w:pPr>
              <w:spacing w:after="40" w:line="240" w:lineRule="auto"/>
            </w:pPr>
            <w:r>
              <w:rPr>
                <w:b/>
                <w:color w:val="0B2545"/>
                <w:sz w:val="19"/>
              </w:rPr>
              <w:t>Verification record</w:t>
            </w:r>
          </w:p>
          <w:p>
            <w:pPr>
              <w:spacing w:after="40" w:line="240" w:lineRule="auto"/>
            </w:pPr>
            <w:r>
              <w:rPr>
                <w:sz w:val="19"/>
              </w:rPr>
              <w:t>The user manually ran BattleLogicTests and reported all green after the compile correction, then again after later batches. The exact final numerical count was not captured, so report 'manually reported all green' rather than inventing a total.</w:t>
            </w:r>
          </w:p>
        </w:tc>
      </w:tr>
    </w:tbl>
    <w:p>
      <w:pPr>
        <w:spacing w:after="0"/>
      </w:pPr>
    </w:p>
    <w:p>
      <w:r>
        <w:br w:type="page"/>
      </w:r>
    </w:p>
    <w:p>
      <w:pPr>
        <w:pStyle w:val="Heading1"/>
        <w:keepNext/>
      </w:pPr>
      <w:r>
        <w:t>5. Tutorial implementation state</w:t>
      </w:r>
    </w:p>
    <w:tbl>
      <w:tblPr>
        <w:tblStyle w:val="TableGrid"/>
        <w:tblW w:type="dxa" w:w="9360"/>
        <w:jc w:val="left"/>
        <w:tblLayout w:type="fixed"/>
        <w:tblLook w:firstColumn="1" w:firstRow="1" w:lastColumn="0" w:lastRow="0" w:noHBand="0" w:noVBand="1" w:val="04A0"/>
        <w:tblInd w:w="120" w:type="dxa"/>
      </w:tblPr>
      <w:tblGrid>
        <w:gridCol w:w="1800"/>
        <w:gridCol w:w="1600"/>
        <w:gridCol w:w="5960"/>
      </w:tblGrid>
      <w:tr>
        <w:trPr>
          <w:tblHeader w:val="true"/>
        </w:trPr>
        <w:tc>
          <w:tcPr>
            <w:tcW w:type="dxa" w:w="1800"/>
            <w:tcMar>
              <w:top w:w="80" w:type="dxa"/>
              <w:bottom w:w="80" w:type="dxa"/>
              <w:start w:w="120" w:type="dxa"/>
              <w:end w:w="120" w:type="dxa"/>
            </w:tcMar>
            <w:vAlign w:val="center"/>
            <w:shd w:fill="E8EEF5"/>
          </w:tcPr>
          <w:p>
            <w:pPr>
              <w:spacing w:after="40" w:line="240" w:lineRule="auto"/>
            </w:pPr>
            <w:r>
              <w:rPr>
                <w:b/>
                <w:color w:val="0B2545"/>
                <w:sz w:val="18"/>
              </w:rPr>
              <w:t>Area</w:t>
            </w:r>
          </w:p>
        </w:tc>
        <w:tc>
          <w:tcPr>
            <w:tcW w:type="dxa" w:w="1600"/>
            <w:tcMar>
              <w:top w:w="80" w:type="dxa"/>
              <w:bottom w:w="80" w:type="dxa"/>
              <w:start w:w="120" w:type="dxa"/>
              <w:end w:w="120" w:type="dxa"/>
            </w:tcMar>
            <w:vAlign w:val="center"/>
            <w:shd w:fill="E8EEF5"/>
          </w:tcPr>
          <w:p>
            <w:pPr>
              <w:spacing w:after="40" w:line="240" w:lineRule="auto"/>
            </w:pPr>
            <w:r>
              <w:rPr>
                <w:b/>
                <w:color w:val="0B2545"/>
                <w:sz w:val="18"/>
              </w:rPr>
              <w:t>Status</w:t>
            </w:r>
          </w:p>
        </w:tc>
        <w:tc>
          <w:tcPr>
            <w:tcW w:type="dxa" w:w="5960"/>
            <w:tcMar>
              <w:top w:w="80" w:type="dxa"/>
              <w:bottom w:w="80" w:type="dxa"/>
              <w:start w:w="120" w:type="dxa"/>
              <w:end w:w="120" w:type="dxa"/>
            </w:tcMar>
            <w:vAlign w:val="center"/>
            <w:shd w:fill="E8EEF5"/>
          </w:tcPr>
          <w:p>
            <w:pPr>
              <w:spacing w:after="40" w:line="240" w:lineRule="auto"/>
            </w:pPr>
            <w:r>
              <w:rPr>
                <w:b/>
                <w:color w:val="0B2545"/>
                <w:sz w:val="18"/>
              </w:rPr>
              <w:t>Command Centre meaning</w:t>
            </w:r>
          </w:p>
        </w:tc>
      </w:tr>
      <w:tr>
        <w:tc>
          <w:tcPr>
            <w:tcW w:type="dxa" w:w="1800"/>
            <w:tcMar>
              <w:top w:w="80" w:type="dxa"/>
              <w:bottom w:w="80" w:type="dxa"/>
              <w:start w:w="120" w:type="dxa"/>
              <w:end w:w="120" w:type="dxa"/>
            </w:tcMar>
            <w:vAlign w:val="center"/>
          </w:tcPr>
          <w:p>
            <w:pPr>
              <w:spacing w:after="40" w:line="240" w:lineRule="auto"/>
            </w:pPr>
            <w:r>
              <w:rPr>
                <w:sz w:val="18"/>
              </w:rPr>
              <w:t>Approved card IDs/classes</w:t>
            </w:r>
          </w:p>
        </w:tc>
        <w:tc>
          <w:tcPr>
            <w:tcW w:type="dxa" w:w="1600"/>
            <w:shd w:fill="EAF4EA"/>
            <w:tcMar>
              <w:top w:w="80" w:type="dxa"/>
              <w:bottom w:w="80" w:type="dxa"/>
              <w:start w:w="120" w:type="dxa"/>
              <w:end w:w="120" w:type="dxa"/>
            </w:tcMar>
            <w:vAlign w:val="center"/>
          </w:tcPr>
          <w:p>
            <w:pPr>
              <w:spacing w:after="40" w:line="240" w:lineRule="auto"/>
            </w:pPr>
            <w:r>
              <w:rPr>
                <w:sz w:val="18"/>
              </w:rPr>
              <w:t>TESTED</w:t>
            </w:r>
          </w:p>
        </w:tc>
        <w:tc>
          <w:tcPr>
            <w:tcW w:type="dxa" w:w="5960"/>
            <w:tcMar>
              <w:top w:w="80" w:type="dxa"/>
              <w:bottom w:w="80" w:type="dxa"/>
              <w:start w:w="120" w:type="dxa"/>
              <w:end w:w="120" w:type="dxa"/>
            </w:tcMar>
            <w:vAlign w:val="center"/>
          </w:tcPr>
          <w:p>
            <w:pPr>
              <w:spacing w:after="40" w:line="240" w:lineRule="auto"/>
            </w:pPr>
            <w:r>
              <w:rPr>
                <w:sz w:val="18"/>
              </w:rPr>
              <w:t>Real CardDatabase IDs, classes, Formation legality, lane bonuses, Taunt, and Back-lane Energy are protected.</w:t>
            </w:r>
          </w:p>
        </w:tc>
      </w:tr>
      <w:tr>
        <w:tc>
          <w:tcPr>
            <w:tcW w:type="dxa" w:w="1800"/>
            <w:tcMar>
              <w:top w:w="80" w:type="dxa"/>
              <w:bottom w:w="80" w:type="dxa"/>
              <w:start w:w="120" w:type="dxa"/>
              <w:end w:w="120" w:type="dxa"/>
            </w:tcMar>
            <w:vAlign w:val="center"/>
          </w:tcPr>
          <w:p>
            <w:pPr>
              <w:spacing w:after="40" w:line="240" w:lineRule="auto"/>
            </w:pPr>
            <w:r>
              <w:rPr>
                <w:sz w:val="18"/>
              </w:rPr>
              <w:t>Approved enemy handicap</w:t>
            </w:r>
          </w:p>
        </w:tc>
        <w:tc>
          <w:tcPr>
            <w:tcW w:type="dxa" w:w="1600"/>
            <w:shd w:fill="EAF4EA"/>
            <w:tcMar>
              <w:top w:w="80" w:type="dxa"/>
              <w:bottom w:w="80" w:type="dxa"/>
              <w:start w:w="120" w:type="dxa"/>
              <w:end w:w="120" w:type="dxa"/>
            </w:tcMar>
            <w:vAlign w:val="center"/>
          </w:tcPr>
          <w:p>
            <w:pPr>
              <w:spacing w:after="40" w:line="240" w:lineRule="auto"/>
            </w:pPr>
            <w:r>
              <w:rPr>
                <w:sz w:val="18"/>
              </w:rPr>
              <w:t>TESTED</w:t>
            </w:r>
          </w:p>
        </w:tc>
        <w:tc>
          <w:tcPr>
            <w:tcW w:type="dxa" w:w="5960"/>
            <w:tcMar>
              <w:top w:w="80" w:type="dxa"/>
              <w:bottom w:w="80" w:type="dxa"/>
              <w:start w:w="120" w:type="dxa"/>
              <w:end w:w="120" w:type="dxa"/>
            </w:tcMar>
            <w:vAlign w:val="center"/>
          </w:tcPr>
          <w:p>
            <w:pPr>
              <w:spacing w:after="40" w:line="240" w:lineRule="auto"/>
            </w:pPr>
            <w:r>
              <w:rPr>
                <w:sz w:val="18"/>
              </w:rPr>
              <w:t>Level-1 Novice profile has lower Avatar Health and no greater Resource Cap than the player; no guaranteed-win assertion.</w:t>
            </w:r>
          </w:p>
        </w:tc>
      </w:tr>
      <w:tr>
        <w:tc>
          <w:tcPr>
            <w:tcW w:type="dxa" w:w="1800"/>
            <w:tcMar>
              <w:top w:w="80" w:type="dxa"/>
              <w:bottom w:w="80" w:type="dxa"/>
              <w:start w:w="120" w:type="dxa"/>
              <w:end w:w="120" w:type="dxa"/>
            </w:tcMar>
            <w:vAlign w:val="center"/>
          </w:tcPr>
          <w:p>
            <w:pPr>
              <w:spacing w:after="40" w:line="240" w:lineRule="auto"/>
            </w:pPr>
            <w:r>
              <w:rPr>
                <w:sz w:val="18"/>
              </w:rPr>
              <w:t>Avatar level 1 entry</w:t>
            </w:r>
          </w:p>
        </w:tc>
        <w:tc>
          <w:tcPr>
            <w:tcW w:type="dxa" w:w="1600"/>
            <w:shd w:fill="FFF4D6"/>
            <w:tcMar>
              <w:top w:w="80" w:type="dxa"/>
              <w:bottom w:w="80" w:type="dxa"/>
              <w:start w:w="120" w:type="dxa"/>
              <w:end w:w="120" w:type="dxa"/>
            </w:tcMar>
            <w:vAlign w:val="center"/>
          </w:tcPr>
          <w:p>
            <w:pPr>
              <w:spacing w:after="40" w:line="240" w:lineRule="auto"/>
            </w:pPr>
            <w:r>
              <w:rPr>
                <w:sz w:val="18"/>
              </w:rPr>
              <w:t>DECIDED / PENDING</w:t>
            </w:r>
          </w:p>
        </w:tc>
        <w:tc>
          <w:tcPr>
            <w:tcW w:type="dxa" w:w="5960"/>
            <w:tcMar>
              <w:top w:w="80" w:type="dxa"/>
              <w:bottom w:w="80" w:type="dxa"/>
              <w:start w:w="120" w:type="dxa"/>
              <w:end w:w="120" w:type="dxa"/>
            </w:tcMar>
            <w:vAlign w:val="center"/>
          </w:tcPr>
          <w:p>
            <w:pPr>
              <w:spacing w:after="40" w:line="240" w:lineRule="auto"/>
            </w:pPr>
            <w:r>
              <w:rPr>
                <w:sz w:val="18"/>
              </w:rPr>
              <w:t>Command Centre approved level 1. Existing GameBootstrap new-profile seed was observed at 25 and needs reconciliation.</w:t>
            </w:r>
          </w:p>
        </w:tc>
      </w:tr>
      <w:tr>
        <w:tc>
          <w:tcPr>
            <w:tcW w:type="dxa" w:w="1800"/>
            <w:tcMar>
              <w:top w:w="80" w:type="dxa"/>
              <w:bottom w:w="80" w:type="dxa"/>
              <w:start w:w="120" w:type="dxa"/>
              <w:end w:w="120" w:type="dxa"/>
            </w:tcMar>
            <w:vAlign w:val="center"/>
          </w:tcPr>
          <w:p>
            <w:pPr>
              <w:spacing w:after="40" w:line="240" w:lineRule="auto"/>
            </w:pPr>
            <w:r>
              <w:rPr>
                <w:sz w:val="18"/>
              </w:rPr>
              <w:t>Onboarding Health taper</w:t>
            </w:r>
          </w:p>
        </w:tc>
        <w:tc>
          <w:tcPr>
            <w:tcW w:type="dxa" w:w="1600"/>
            <w:shd w:fill="EAF4EA"/>
            <w:tcMar>
              <w:top w:w="80" w:type="dxa"/>
              <w:bottom w:w="80" w:type="dxa"/>
              <w:start w:w="120" w:type="dxa"/>
              <w:end w:w="120" w:type="dxa"/>
            </w:tcMar>
            <w:vAlign w:val="center"/>
          </w:tcPr>
          <w:p>
            <w:pPr>
              <w:spacing w:after="40" w:line="240" w:lineRule="auto"/>
            </w:pPr>
            <w:r>
              <w:rPr>
                <w:sz w:val="18"/>
              </w:rPr>
              <w:t>EXISTS</w:t>
            </w:r>
          </w:p>
        </w:tc>
        <w:tc>
          <w:tcPr>
            <w:tcW w:type="dxa" w:w="5960"/>
            <w:tcMar>
              <w:top w:w="80" w:type="dxa"/>
              <w:bottom w:w="80" w:type="dxa"/>
              <w:start w:w="120" w:type="dxa"/>
              <w:end w:w="120" w:type="dxa"/>
            </w:tcMar>
            <w:vAlign w:val="center"/>
          </w:tcPr>
          <w:p>
            <w:pPr>
              <w:spacing w:after="40" w:line="240" w:lineRule="auto"/>
            </w:pPr>
            <w:r>
              <w:rPr>
                <w:sz w:val="18"/>
              </w:rPr>
              <w:t>Production taper exists and has statistical coverage; it is active only when new-player wiring uses level 1.</w:t>
            </w:r>
          </w:p>
        </w:tc>
      </w:tr>
      <w:tr>
        <w:tc>
          <w:tcPr>
            <w:tcW w:type="dxa" w:w="1800"/>
            <w:tcMar>
              <w:top w:w="80" w:type="dxa"/>
              <w:bottom w:w="80" w:type="dxa"/>
              <w:start w:w="120" w:type="dxa"/>
              <w:end w:w="120" w:type="dxa"/>
            </w:tcMar>
            <w:vAlign w:val="center"/>
          </w:tcPr>
          <w:p>
            <w:pPr>
              <w:spacing w:after="40" w:line="240" w:lineRule="auto"/>
            </w:pPr>
            <w:r>
              <w:rPr>
                <w:sz w:val="18"/>
              </w:rPr>
              <w:t>Starter-card grant</w:t>
            </w:r>
          </w:p>
        </w:tc>
        <w:tc>
          <w:tcPr>
            <w:tcW w:type="dxa" w:w="1600"/>
            <w:shd w:fill="FCE8E6"/>
            <w:tcMar>
              <w:top w:w="80" w:type="dxa"/>
              <w:bottom w:w="80" w:type="dxa"/>
              <w:start w:w="120" w:type="dxa"/>
              <w:end w:w="120" w:type="dxa"/>
            </w:tcMar>
            <w:vAlign w:val="center"/>
          </w:tcPr>
          <w:p>
            <w:pPr>
              <w:spacing w:after="40" w:line="240" w:lineRule="auto"/>
            </w:pPr>
            <w:r>
              <w:rPr>
                <w:sz w:val="18"/>
              </w:rPr>
              <w:t>MISSING BACKEND</w:t>
            </w:r>
          </w:p>
        </w:tc>
        <w:tc>
          <w:tcPr>
            <w:tcW w:type="dxa" w:w="5960"/>
            <w:tcMar>
              <w:top w:w="80" w:type="dxa"/>
              <w:bottom w:w="80" w:type="dxa"/>
              <w:start w:w="120" w:type="dxa"/>
              <w:end w:w="120" w:type="dxa"/>
            </w:tcMar>
            <w:vAlign w:val="center"/>
          </w:tcPr>
          <w:p>
            <w:pPr>
              <w:spacing w:after="40" w:line="240" w:lineRule="auto"/>
            </w:pPr>
            <w:r>
              <w:rPr>
                <w:sz w:val="18"/>
              </w:rPr>
              <w:t>Must be server-authoritative, exactly-once/idempotent, reconnect-safe, and use real duplicate handling.</w:t>
            </w:r>
          </w:p>
        </w:tc>
      </w:tr>
      <w:tr>
        <w:tc>
          <w:tcPr>
            <w:tcW w:type="dxa" w:w="1800"/>
            <w:tcMar>
              <w:top w:w="80" w:type="dxa"/>
              <w:bottom w:w="80" w:type="dxa"/>
              <w:start w:w="120" w:type="dxa"/>
              <w:end w:w="120" w:type="dxa"/>
            </w:tcMar>
            <w:vAlign w:val="center"/>
          </w:tcPr>
          <w:p>
            <w:pPr>
              <w:spacing w:after="40" w:line="240" w:lineRule="auto"/>
            </w:pPr>
            <w:r>
              <w:rPr>
                <w:sz w:val="18"/>
              </w:rPr>
              <w:t>Saved starter Formation</w:t>
            </w:r>
          </w:p>
        </w:tc>
        <w:tc>
          <w:tcPr>
            <w:tcW w:type="dxa" w:w="1600"/>
            <w:shd w:fill="FCE8E6"/>
            <w:tcMar>
              <w:top w:w="80" w:type="dxa"/>
              <w:bottom w:w="80" w:type="dxa"/>
              <w:start w:w="120" w:type="dxa"/>
              <w:end w:w="120" w:type="dxa"/>
            </w:tcMar>
            <w:vAlign w:val="center"/>
          </w:tcPr>
          <w:p>
            <w:pPr>
              <w:spacing w:after="40" w:line="240" w:lineRule="auto"/>
            </w:pPr>
            <w:r>
              <w:rPr>
                <w:sz w:val="18"/>
              </w:rPr>
              <w:t>MISSING PERSISTENCE</w:t>
            </w:r>
          </w:p>
        </w:tc>
        <w:tc>
          <w:tcPr>
            <w:tcW w:type="dxa" w:w="5960"/>
            <w:tcMar>
              <w:top w:w="80" w:type="dxa"/>
              <w:bottom w:w="80" w:type="dxa"/>
              <w:start w:w="120" w:type="dxa"/>
              <w:end w:w="120" w:type="dxa"/>
            </w:tcMar>
            <w:vAlign w:val="center"/>
          </w:tcPr>
          <w:p>
            <w:pPr>
              <w:spacing w:after="40" w:line="240" w:lineRule="auto"/>
            </w:pPr>
            <w:r>
              <w:rPr>
                <w:sz w:val="18"/>
              </w:rPr>
              <w:t>Requires lane-aware Front/Middle/Back state; activeDeckCardIds alone is insufficient.</w:t>
            </w:r>
          </w:p>
        </w:tc>
      </w:tr>
      <w:tr>
        <w:tc>
          <w:tcPr>
            <w:tcW w:type="dxa" w:w="1800"/>
            <w:tcMar>
              <w:top w:w="80" w:type="dxa"/>
              <w:bottom w:w="80" w:type="dxa"/>
              <w:start w:w="120" w:type="dxa"/>
              <w:end w:w="120" w:type="dxa"/>
            </w:tcMar>
            <w:vAlign w:val="center"/>
          </w:tcPr>
          <w:p>
            <w:pPr>
              <w:spacing w:after="40" w:line="240" w:lineRule="auto"/>
            </w:pPr>
            <w:r>
              <w:rPr>
                <w:sz w:val="18"/>
              </w:rPr>
              <w:t>Tutorial defeat handling</w:t>
            </w:r>
          </w:p>
        </w:tc>
        <w:tc>
          <w:tcPr>
            <w:tcW w:type="dxa" w:w="1600"/>
            <w:shd w:fill="FCE8E6"/>
            <w:tcMar>
              <w:top w:w="80" w:type="dxa"/>
              <w:bottom w:w="80" w:type="dxa"/>
              <w:start w:w="120" w:type="dxa"/>
              <w:end w:w="120" w:type="dxa"/>
            </w:tcMar>
            <w:vAlign w:val="center"/>
          </w:tcPr>
          <w:p>
            <w:pPr>
              <w:spacing w:after="40" w:line="240" w:lineRule="auto"/>
            </w:pPr>
            <w:r>
              <w:rPr>
                <w:sz w:val="18"/>
              </w:rPr>
              <w:t>MISSING CONTEXT PATH</w:t>
            </w:r>
          </w:p>
        </w:tc>
        <w:tc>
          <w:tcPr>
            <w:tcW w:type="dxa" w:w="5960"/>
            <w:tcMar>
              <w:top w:w="80" w:type="dxa"/>
              <w:bottom w:w="80" w:type="dxa"/>
              <w:start w:w="120" w:type="dxa"/>
              <w:end w:w="120" w:type="dxa"/>
            </w:tcMar>
            <w:vAlign w:val="center"/>
          </w:tcPr>
          <w:p>
            <w:pPr>
              <w:spacing w:after="40" w:line="240" w:lineRule="auto"/>
            </w:pPr>
            <w:r>
              <w:rPr>
                <w:sz w:val="18"/>
              </w:rPr>
              <w:t>Must skip general loss progression for tutorial defeat without changing general non-tutorial loss behavior.</w:t>
            </w:r>
          </w:p>
        </w:tc>
      </w:tr>
      <w:tr>
        <w:tc>
          <w:tcPr>
            <w:tcW w:type="dxa" w:w="1800"/>
            <w:tcMar>
              <w:top w:w="80" w:type="dxa"/>
              <w:bottom w:w="80" w:type="dxa"/>
              <w:start w:w="120" w:type="dxa"/>
              <w:end w:w="120" w:type="dxa"/>
            </w:tcMar>
            <w:vAlign w:val="center"/>
          </w:tcPr>
          <w:p>
            <w:pPr>
              <w:spacing w:after="40" w:line="240" w:lineRule="auto"/>
            </w:pPr>
            <w:r>
              <w:rPr>
                <w:sz w:val="18"/>
              </w:rPr>
              <w:t>Interrupted recovery</w:t>
            </w:r>
          </w:p>
        </w:tc>
        <w:tc>
          <w:tcPr>
            <w:tcW w:type="dxa" w:w="1600"/>
            <w:shd w:fill="FFF4D6"/>
            <w:tcMar>
              <w:top w:w="80" w:type="dxa"/>
              <w:bottom w:w="80" w:type="dxa"/>
              <w:start w:w="120" w:type="dxa"/>
              <w:end w:w="120" w:type="dxa"/>
            </w:tcMar>
            <w:vAlign w:val="center"/>
          </w:tcPr>
          <w:p>
            <w:pPr>
              <w:spacing w:after="40" w:line="240" w:lineRule="auto"/>
            </w:pPr>
            <w:r>
              <w:rPr>
                <w:sz w:val="18"/>
              </w:rPr>
              <w:t>PARTIAL</w:t>
            </w:r>
          </w:p>
        </w:tc>
        <w:tc>
          <w:tcPr>
            <w:tcW w:type="dxa" w:w="5960"/>
            <w:tcMar>
              <w:top w:w="80" w:type="dxa"/>
              <w:bottom w:w="80" w:type="dxa"/>
              <w:start w:w="120" w:type="dxa"/>
              <w:end w:w="120" w:type="dxa"/>
            </w:tcMar>
            <w:vAlign w:val="center"/>
          </w:tcPr>
          <w:p>
            <w:pPr>
              <w:spacing w:after="40" w:line="240" w:lineRule="auto"/>
            </w:pPr>
            <w:r>
              <w:rPr>
                <w:sz w:val="18"/>
              </w:rPr>
              <w:t>Fresh Formation is currently safe by accident; deliberate checkpoint and retry semantics are missing.</w:t>
            </w:r>
          </w:p>
        </w:tc>
      </w:tr>
    </w:tbl>
    <w:p>
      <w:pPr>
        <w:pStyle w:val="Heading2"/>
        <w:keepNext/>
      </w:pPr>
      <w:r>
        <w:t>Tutorial client-service compile correction</w:t>
      </w:r>
    </w:p>
    <w:p>
      <w:pPr>
        <w:spacing w:after="100"/>
      </w:pPr>
      <w:r>
        <w:rPr>
          <w:b/>
          <w:color w:val="0B2545"/>
        </w:rPr>
        <w:t xml:space="preserve">Root cause: </w:t>
      </w:r>
      <w:r>
        <w:t>TutorialClientService.ExecuteAsync&lt;TGateway,TData&gt; constrained TData to class, but TutorialBattleResumeInstruction is an enum.</w:t>
      </w:r>
    </w:p>
    <w:p>
      <w:pPr>
        <w:spacing w:after="100"/>
      </w:pPr>
      <w:r>
        <w:rPr>
          <w:b/>
          <w:color w:val="0B2545"/>
        </w:rPr>
        <w:t xml:space="preserve">Correction: </w:t>
      </w:r>
      <w:r>
        <w:t>Removed the unnecessary private-helper constraint. Default enum value None remains valid; TutorialContracts and the resume enum were preserved.</w:t>
      </w:r>
    </w:p>
    <w:p>
      <w:pPr>
        <w:spacing w:after="100"/>
      </w:pPr>
      <w:r>
        <w:rPr>
          <w:b/>
          <w:color w:val="0B2545"/>
        </w:rPr>
        <w:t xml:space="preserve">Tests: </w:t>
      </w:r>
      <w:r>
        <w:t>Focused resume mapping, valid-zero/default enum, failure, cancellation, no-fabricated-success, and raw-error-sanitization coverage were added.</w:t>
      </w:r>
    </w:p>
    <w:p>
      <w:pPr>
        <w:spacing w:after="100"/>
      </w:pPr>
      <w:r>
        <w:rPr>
          <w:b/>
          <w:color w:val="0B2545"/>
        </w:rPr>
        <w:t xml:space="preserve">Verification: </w:t>
      </w:r>
      <w:r>
        <w:t>Standalone dotnet/Roslyn builds completed with 0 errors and 0 warnings. A fresh Unity TutorialServiceTests result is not recorded in this handover.</w:t>
      </w:r>
    </w:p>
    <w:p>
      <w:pPr>
        <w:pStyle w:val="Heading1"/>
        <w:keepNext/>
      </w:pPr>
      <w:r>
        <w:t>6. Social-safety status</w:t>
      </w:r>
    </w:p>
    <w:p>
      <w:pPr>
        <w:spacing w:after="100"/>
      </w:pPr>
      <w:r>
        <w:rPr>
          <w:b/>
          <w:color w:val="0B2545"/>
        </w:rPr>
        <w:t xml:space="preserve">Actor trust: </w:t>
      </w:r>
      <w:r>
        <w:t>Client sends target only; server derives actor from IExecutionContext.PlayerId and rejects missing identity before storage.</w:t>
      </w:r>
    </w:p>
    <w:p>
      <w:pPr>
        <w:spacing w:after="100"/>
      </w:pPr>
      <w:r>
        <w:rPr>
          <w:b/>
          <w:color w:val="0B2545"/>
        </w:rPr>
        <w:t xml:space="preserve">Concurrency: </w:t>
      </w:r>
      <w:r>
        <w:t>Relationship and actor-scoped rate state use Cloud Save write locks with bounded reconciliation. Deterministic hashed record IDs and sanitized conflicts are implemented.</w:t>
      </w:r>
    </w:p>
    <w:p>
      <w:pPr>
        <w:spacing w:after="100"/>
      </w:pPr>
      <w:r>
        <w:rPr>
          <w:b/>
          <w:color w:val="0B2545"/>
        </w:rPr>
        <w:t xml:space="preserve">Rate limiting: </w:t>
      </w:r>
      <w:r>
        <w:t>Shared across Block, Unblock, Mute, and Unmute. Server time, persistent counters, Remote Config, and safe fallback exist. Oversized positive configuration still needs an approved upper bound.</w:t>
      </w:r>
    </w:p>
    <w:p>
      <w:pPr>
        <w:spacing w:after="100"/>
      </w:pPr>
      <w:r>
        <w:rPr>
          <w:b/>
          <w:color w:val="0B2545"/>
        </w:rPr>
        <w:t xml:space="preserve">Evidence: </w:t>
      </w:r>
      <w:r>
        <w:t>Server tests were reported at 31/31 and reviewed as genuinely forcing rate-state write-lock conflicts. This is local evidence, not deployment proof.</w:t>
      </w:r>
    </w:p>
    <w:p>
      <w:pPr>
        <w:spacing w:after="100"/>
      </w:pPr>
      <w:r>
        <w:rPr>
          <w:b/>
          <w:color w:val="0B2545"/>
        </w:rPr>
        <w:t xml:space="preserve">Deployment: </w:t>
      </w:r>
      <w:r>
        <w:t>Nothing deployed; access policy remains draft/unapplied; no production call was made.</w:t>
      </w:r>
    </w:p>
    <w:p>
      <w:pPr>
        <w:spacing w:after="100"/>
      </w:pPr>
      <w:r>
        <w:rPr>
          <w:b/>
          <w:color w:val="0B2545"/>
        </w:rPr>
        <w:t xml:space="preserve">Critical gate: </w:t>
      </w:r>
      <w:r>
        <w:t>A controlled non-production environment must prove direct client writes are denied, Cloud Code writes succeed, and cross-player access is impossible.</w:t>
      </w:r>
    </w:p>
    <w:p>
      <w:r>
        <w:br w:type="page"/>
      </w:r>
    </w:p>
    <w:p>
      <w:pPr>
        <w:pStyle w:val="Heading1"/>
        <w:keepNext/>
      </w:pPr>
      <w:r>
        <w:t>7. Worktree safety and ownership</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CE8E6"/>
          </w:tcPr>
          <w:p>
            <w:pPr>
              <w:spacing w:after="40" w:line="240" w:lineRule="auto"/>
            </w:pPr>
            <w:r>
              <w:rPr>
                <w:b/>
                <w:color w:val="0B2545"/>
                <w:sz w:val="19"/>
              </w:rPr>
              <w:t>Do not clean the worktree</w:t>
            </w:r>
          </w:p>
          <w:p>
            <w:pPr>
              <w:spacing w:after="40" w:line="240" w:lineRule="auto"/>
            </w:pPr>
            <w:r>
              <w:rPr>
                <w:sz w:val="19"/>
              </w:rPr>
              <w:t>Parallel Social, Tutorial, CloudCode, UI, package, project-setting, asset, documentation, and result-artifact work is present. Never run git reset --hard, git checkout --, git clean, or broad git add/commit operations.</w:t>
            </w:r>
          </w:p>
        </w:tc>
      </w:tr>
    </w:tbl>
    <w:p>
      <w:pPr>
        <w:spacing w:after="0"/>
      </w:pPr>
    </w:p>
    <w:p>
      <w:pPr>
        <w:spacing w:after="100"/>
      </w:pPr>
      <w:r>
        <w:rPr>
          <w:b/>
          <w:color w:val="0B2545"/>
        </w:rPr>
        <w:t xml:space="preserve">Battle-owned: </w:t>
      </w:r>
      <w:r>
        <w:t>Assets/Scripts/Battle, Cards, AI, Empire, Combat; Battle tests; most of GameBootstrap except frozen integration members.</w:t>
      </w:r>
    </w:p>
    <w:p>
      <w:pPr>
        <w:spacing w:after="100"/>
      </w:pPr>
      <w:r>
        <w:rPr>
          <w:b/>
          <w:color w:val="0B2545"/>
        </w:rPr>
        <w:t xml:space="preserve">Frozen: </w:t>
      </w:r>
      <w:r>
        <w:t>PlayerProfile.cs, SaveSystem.cs, SaveMigration.cs, SaveManager.cs, SaveSystemTests.cs; MatchResult; BattleController.OnMatchCompleted; GameBootstrap.Instance; GameBootstrap.SetBattleCanvasVisible(bool).</w:t>
      </w:r>
    </w:p>
    <w:p>
      <w:pPr>
        <w:spacing w:after="100"/>
      </w:pPr>
      <w:r>
        <w:rPr>
          <w:b/>
          <w:color w:val="0B2545"/>
        </w:rPr>
        <w:t xml:space="preserve">Metagame-owned: </w:t>
      </w:r>
      <w:r>
        <w:t>HomePagePresenter, CampaignMapPresenter, ShopPresenter, DeckBuilderPresenter, Economy, and Story. Battle may read but must not edit.</w:t>
      </w:r>
    </w:p>
    <w:p>
      <w:pPr>
        <w:spacing w:after="100"/>
      </w:pPr>
      <w:r>
        <w:rPr>
          <w:b/>
          <w:color w:val="0B2545"/>
        </w:rPr>
        <w:t xml:space="preserve">Social/Tutorial: </w:t>
      </w:r>
      <w:r>
        <w:t>Treat as separate slices with exact allowlists. Do not mix them into Battle commits or use local tests as deployment evidence.</w:t>
      </w:r>
    </w:p>
    <w:p>
      <w:pPr>
        <w:pStyle w:val="Heading2"/>
        <w:keepNext/>
      </w:pPr>
      <w:r>
        <w:t>Dirty-worktree categories at handover</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bottom w:w="80" w:type="dxa"/>
              <w:start w:w="120" w:type="dxa"/>
              <w:end w:w="120" w:type="dxa"/>
            </w:tcMar>
            <w:vAlign w:val="center"/>
            <w:shd w:fill="E8EEF5"/>
          </w:tcPr>
          <w:p>
            <w:pPr>
              <w:spacing w:after="40" w:line="240" w:lineRule="auto"/>
            </w:pPr>
            <w:r>
              <w:rPr>
                <w:b/>
                <w:color w:val="0B2545"/>
                <w:sz w:val="18"/>
              </w:rPr>
              <w:t>Category</w:t>
            </w:r>
          </w:p>
        </w:tc>
        <w:tc>
          <w:tcPr>
            <w:tcW w:type="dxa" w:w="7160"/>
            <w:tcMar>
              <w:top w:w="80" w:type="dxa"/>
              <w:bottom w:w="80" w:type="dxa"/>
              <w:start w:w="120" w:type="dxa"/>
              <w:end w:w="120" w:type="dxa"/>
            </w:tcMar>
            <w:vAlign w:val="center"/>
            <w:shd w:fill="E8EEF5"/>
          </w:tcPr>
          <w:p>
            <w:pPr>
              <w:spacing w:after="40" w:line="240" w:lineRule="auto"/>
            </w:pPr>
            <w:r>
              <w:rPr>
                <w:b/>
                <w:color w:val="0B2545"/>
                <w:sz w:val="18"/>
              </w:rPr>
              <w:t>Examples</w:t>
            </w:r>
          </w:p>
        </w:tc>
      </w:tr>
      <w:tr>
        <w:tc>
          <w:tcPr>
            <w:tcW w:type="dxa" w:w="2200"/>
            <w:tcMar>
              <w:top w:w="80" w:type="dxa"/>
              <w:bottom w:w="80" w:type="dxa"/>
              <w:start w:w="120" w:type="dxa"/>
              <w:end w:w="120" w:type="dxa"/>
            </w:tcMar>
            <w:vAlign w:val="center"/>
          </w:tcPr>
          <w:p>
            <w:pPr>
              <w:spacing w:after="40" w:line="240" w:lineRule="auto"/>
            </w:pPr>
            <w:r>
              <w:rPr>
                <w:sz w:val="18"/>
              </w:rPr>
              <w:t>Modified tracked</w:t>
            </w:r>
          </w:p>
        </w:tc>
        <w:tc>
          <w:tcPr>
            <w:tcW w:type="dxa" w:w="7160"/>
            <w:tcMar>
              <w:top w:w="80" w:type="dxa"/>
              <w:bottom w:w="80" w:type="dxa"/>
              <w:start w:w="120" w:type="dxa"/>
              <w:end w:w="120" w:type="dxa"/>
            </w:tcMar>
            <w:vAlign w:val="center"/>
          </w:tcPr>
          <w:p>
            <w:pPr>
              <w:spacing w:after="40" w:line="240" w:lineRule="auto"/>
            </w:pPr>
            <w:r>
              <w:rPr>
                <w:sz w:val="18"/>
              </w:rPr>
              <w:t>.gitignore; Runtime asmdef; UI presenters; BalanceSimulationTests; ExposedAvatarSiegeTests; Packages; ProjectSettings; docs; backdrop image.</w:t>
            </w:r>
          </w:p>
        </w:tc>
      </w:tr>
      <w:tr>
        <w:tc>
          <w:tcPr>
            <w:tcW w:type="dxa" w:w="2200"/>
            <w:tcMar>
              <w:top w:w="80" w:type="dxa"/>
              <w:bottom w:w="80" w:type="dxa"/>
              <w:start w:w="120" w:type="dxa"/>
              <w:end w:w="120" w:type="dxa"/>
            </w:tcMar>
            <w:vAlign w:val="center"/>
          </w:tcPr>
          <w:p>
            <w:pPr>
              <w:spacing w:after="40" w:line="240" w:lineRule="auto"/>
            </w:pPr>
            <w:r>
              <w:rPr>
                <w:sz w:val="18"/>
              </w:rPr>
              <w:t>Untracked Social/Tutorial</w:t>
            </w:r>
          </w:p>
        </w:tc>
        <w:tc>
          <w:tcPr>
            <w:tcW w:type="dxa" w:w="7160"/>
            <w:tcMar>
              <w:top w:w="80" w:type="dxa"/>
              <w:bottom w:w="80" w:type="dxa"/>
              <w:start w:w="120" w:type="dxa"/>
              <w:end w:w="120" w:type="dxa"/>
            </w:tcMar>
            <w:vAlign w:val="center"/>
          </w:tcPr>
          <w:p>
            <w:pPr>
              <w:spacing w:after="40" w:line="240" w:lineRule="auto"/>
            </w:pPr>
            <w:r>
              <w:rPr>
                <w:sz w:val="18"/>
              </w:rPr>
              <w:t>Assets/Scripts/Social; Assets/Scripts/Tutorial; Editor tests; CloudCode; config.</w:t>
            </w:r>
          </w:p>
        </w:tc>
      </w:tr>
      <w:tr>
        <w:tc>
          <w:tcPr>
            <w:tcW w:type="dxa" w:w="2200"/>
            <w:tcMar>
              <w:top w:w="80" w:type="dxa"/>
              <w:bottom w:w="80" w:type="dxa"/>
              <w:start w:w="120" w:type="dxa"/>
              <w:end w:w="120" w:type="dxa"/>
            </w:tcMar>
            <w:vAlign w:val="center"/>
          </w:tcPr>
          <w:p>
            <w:pPr>
              <w:spacing w:after="40" w:line="240" w:lineRule="auto"/>
            </w:pPr>
            <w:r>
              <w:rPr>
                <w:sz w:val="18"/>
              </w:rPr>
              <w:t>Untracked UI/assets/docs</w:t>
            </w:r>
          </w:p>
        </w:tc>
        <w:tc>
          <w:tcPr>
            <w:tcW w:type="dxa" w:w="7160"/>
            <w:tcMar>
              <w:top w:w="80" w:type="dxa"/>
              <w:bottom w:w="80" w:type="dxa"/>
              <w:start w:w="120" w:type="dxa"/>
              <w:end w:w="120" w:type="dxa"/>
            </w:tcMar>
            <w:vAlign w:val="center"/>
          </w:tcPr>
          <w:p>
            <w:pPr>
              <w:spacing w:after="40" w:line="240" w:lineRule="auto"/>
            </w:pPr>
            <w:r>
              <w:rPr>
                <w:sz w:val="18"/>
              </w:rPr>
              <w:t>UI button assets; recovery folder; design and handoff documents; session artifacts.</w:t>
            </w:r>
          </w:p>
        </w:tc>
      </w:tr>
      <w:tr>
        <w:tc>
          <w:tcPr>
            <w:tcW w:type="dxa" w:w="2200"/>
            <w:tcMar>
              <w:top w:w="80" w:type="dxa"/>
              <w:bottom w:w="80" w:type="dxa"/>
              <w:start w:w="120" w:type="dxa"/>
              <w:end w:w="120" w:type="dxa"/>
            </w:tcMar>
            <w:vAlign w:val="center"/>
          </w:tcPr>
          <w:p>
            <w:pPr>
              <w:spacing w:after="40" w:line="240" w:lineRule="auto"/>
            </w:pPr>
            <w:r>
              <w:rPr>
                <w:sz w:val="18"/>
              </w:rPr>
              <w:t>Generated evidence</w:t>
            </w:r>
          </w:p>
        </w:tc>
        <w:tc>
          <w:tcPr>
            <w:tcW w:type="dxa" w:w="7160"/>
            <w:tcMar>
              <w:top w:w="80" w:type="dxa"/>
              <w:bottom w:w="80" w:type="dxa"/>
              <w:start w:w="120" w:type="dxa"/>
              <w:end w:w="120" w:type="dxa"/>
            </w:tcMar>
            <w:vAlign w:val="center"/>
          </w:tcPr>
          <w:p>
            <w:pPr>
              <w:spacing w:after="40" w:line="240" w:lineRule="auto"/>
            </w:pPr>
            <w:r>
              <w:rPr>
                <w:sz w:val="18"/>
              </w:rPr>
              <w:t>Unity/social/balance logs and XML results. Old artifacts are not proof for newer source revisions.</w:t>
            </w:r>
          </w:p>
        </w:tc>
      </w:tr>
    </w:tbl>
    <w:p>
      <w:pPr>
        <w:pStyle w:val="Heading1"/>
        <w:keepNext/>
      </w:pPr>
      <w:r>
        <w:t>8. Prioritized action queue</w:t>
      </w:r>
    </w:p>
    <w:p>
      <w:pPr>
        <w:spacing w:after="120"/>
      </w:pPr>
      <w:r>
        <w:rPr>
          <w:b/>
          <w:color w:val="0B2545"/>
        </w:rPr>
        <w:t>P0 - Preserve evidence</w:t>
      </w:r>
      <w:r>
        <w:br/>
        <w:t>Record HEAD 7ae6d36 and current status. Do not combine parallel-seat work until each slice has its own inventory and verification.</w:t>
      </w:r>
    </w:p>
    <w:p>
      <w:pPr>
        <w:spacing w:after="120"/>
      </w:pPr>
      <w:r>
        <w:rPr>
          <w:b/>
          <w:color w:val="0B2545"/>
        </w:rPr>
        <w:t>P0 - Verify Tutorial fixture</w:t>
      </w:r>
      <w:r>
        <w:br/>
        <w:t>Run TutorialServiceTests in Unity EditMode if no fresh result exists. Record exact total/pass/fail and compilation status.</w:t>
      </w:r>
    </w:p>
    <w:p>
      <w:pPr>
        <w:spacing w:after="120"/>
      </w:pPr>
      <w:r>
        <w:rPr>
          <w:b/>
          <w:color w:val="0B2545"/>
        </w:rPr>
        <w:t>P0 - Assign Backend/Server owner</w:t>
      </w:r>
      <w:r>
        <w:br/>
        <w:t>Own starter grant, checkpoint ledger, saved Formation persistence, and controlled deployment workflow.</w:t>
      </w:r>
    </w:p>
    <w:p>
      <w:pPr>
        <w:spacing w:after="120"/>
      </w:pPr>
      <w:r>
        <w:rPr>
          <w:b/>
          <w:color w:val="0B2545"/>
        </w:rPr>
        <w:t>P1 - Build the smallest playable tutorial vertical slice</w:t>
      </w:r>
      <w:r>
        <w:br/>
        <w:t>Authoritative grant -&gt; saved Formation -&gt; level-1/Novice battle -&gt; progression-neutral defeat/retry -&gt; confirmed-victory progression -&gt; safe interruption recovery.</w:t>
      </w:r>
    </w:p>
    <w:p>
      <w:pPr>
        <w:spacing w:after="120"/>
      </w:pPr>
      <w:r>
        <w:rPr>
          <w:b/>
          <w:color w:val="0B2545"/>
        </w:rPr>
        <w:t>P1 - Harden rate-limit configuration</w:t>
      </w:r>
      <w:r>
        <w:br/>
        <w:t>Approve and enforce maximum Remote Config values so oversized positives fall back instead of weakening protection.</w:t>
      </w:r>
    </w:p>
    <w:p>
      <w:pPr>
        <w:spacing w:after="120"/>
      </w:pPr>
      <w:r>
        <w:rPr>
          <w:b/>
          <w:color w:val="0B2545"/>
        </w:rPr>
        <w:t>P1 - Validate SocialSafety in non-production</w:t>
      </w:r>
      <w:r>
        <w:br/>
        <w:t>Use a separate environment and disposable identities; verify access policy before production consideration.</w:t>
      </w:r>
    </w:p>
    <w:p>
      <w:pPr>
        <w:spacing w:after="120"/>
      </w:pPr>
      <w:r>
        <w:rPr>
          <w:b/>
          <w:color w:val="0B2545"/>
        </w:rPr>
        <w:t>P2 - Isolate and commit parallel work</w:t>
      </w:r>
      <w:r>
        <w:br/>
        <w:t>Inventory exact files, run the relevant fixture, and commit only the allowlist. Never use git add -A in the current worktree.</w:t>
      </w:r>
    </w:p>
    <w:p>
      <w:pPr>
        <w:pStyle w:val="Heading1"/>
        <w:keepNext/>
      </w:pPr>
      <w:r>
        <w:t>9. Required validation language</w:t>
      </w:r>
    </w:p>
    <w:p>
      <w:pPr>
        <w:spacing w:after="100"/>
      </w:pPr>
      <w:r>
        <w:rPr>
          <w:b/>
          <w:color w:val="0B2545"/>
        </w:rPr>
        <w:t xml:space="preserve">Authored locally: </w:t>
      </w:r>
      <w:r>
        <w:t>State yes/no from source existence.</w:t>
      </w:r>
    </w:p>
    <w:p>
      <w:pPr>
        <w:spacing w:after="100"/>
      </w:pPr>
      <w:r>
        <w:rPr>
          <w:b/>
          <w:color w:val="0B2545"/>
        </w:rPr>
        <w:t xml:space="preserve">Locally compiled: </w:t>
      </w:r>
      <w:r>
        <w:t>Name the compiler/build and exact result.</w:t>
      </w:r>
    </w:p>
    <w:p>
      <w:pPr>
        <w:spacing w:after="100"/>
      </w:pPr>
      <w:r>
        <w:rPr>
          <w:b/>
          <w:color w:val="0B2545"/>
        </w:rPr>
        <w:t xml:space="preserve">Locally tested: </w:t>
      </w:r>
      <w:r>
        <w:t>Name the fixture and exact total when known; otherwise say manually reported all green, exact total not captured.</w:t>
      </w:r>
    </w:p>
    <w:p>
      <w:pPr>
        <w:spacing w:after="100"/>
      </w:pPr>
      <w:r>
        <w:rPr>
          <w:b/>
          <w:color w:val="0B2545"/>
        </w:rPr>
        <w:t xml:space="preserve">Policy schema checked: </w:t>
      </w:r>
      <w:r>
        <w:t>Separate syntax/schema review from deployed semantic behavior.</w:t>
      </w:r>
    </w:p>
    <w:p>
      <w:pPr>
        <w:spacing w:after="100"/>
      </w:pPr>
      <w:r>
        <w:rPr>
          <w:b/>
          <w:color w:val="0B2545"/>
        </w:rPr>
        <w:t xml:space="preserve">Deployment verified: </w:t>
      </w:r>
      <w:r>
        <w:t>No unless deployment actually occurred in the named environment.</w:t>
      </w:r>
    </w:p>
    <w:p>
      <w:pPr>
        <w:spacing w:after="100"/>
      </w:pPr>
      <w:r>
        <w:rPr>
          <w:b/>
          <w:color w:val="0B2545"/>
        </w:rPr>
        <w:t xml:space="preserve">Production verified: </w:t>
      </w:r>
      <w:r>
        <w:t>No unless production was explicitly called and verified.</w:t>
      </w:r>
    </w:p>
    <w:p>
      <w:r>
        <w:br w:type="page"/>
      </w:r>
    </w:p>
    <w:p>
      <w:pPr>
        <w:pStyle w:val="Heading1"/>
        <w:keepNext/>
      </w:pPr>
      <w:r>
        <w:t>10. Controlled non-production SocialSafety checklist</w:t>
      </w:r>
    </w:p>
    <w:p>
      <w:pPr>
        <w:ind w:left="216" w:hanging="216"/>
      </w:pPr>
      <w:r>
        <w:rPr>
          <w:b/>
          <w:color w:val="0B2545"/>
        </w:rPr>
        <w:t xml:space="preserve">1. </w:t>
      </w:r>
      <w:r>
        <w:t>Use a dedicated dev/test Unity Cloud environment distinct from production.</w:t>
      </w:r>
    </w:p>
    <w:p>
      <w:pPr>
        <w:ind w:left="216" w:hanging="216"/>
      </w:pPr>
      <w:r>
        <w:rPr>
          <w:b/>
          <w:color w:val="0B2545"/>
        </w:rPr>
        <w:t xml:space="preserve">2. </w:t>
      </w:r>
      <w:r>
        <w:t>Use disposable authenticated player identities only.</w:t>
      </w:r>
    </w:p>
    <w:p>
      <w:pPr>
        <w:ind w:left="216" w:hanging="216"/>
      </w:pPr>
      <w:r>
        <w:rPr>
          <w:b/>
          <w:color w:val="0B2545"/>
        </w:rPr>
        <w:t xml:space="preserve">3. </w:t>
      </w:r>
      <w:r>
        <w:t>Confirm a direct client SDK write to social-safety Cloud Save data is denied.</w:t>
      </w:r>
    </w:p>
    <w:p>
      <w:pPr>
        <w:ind w:left="216" w:hanging="216"/>
      </w:pPr>
      <w:r>
        <w:rPr>
          <w:b/>
          <w:color w:val="0B2545"/>
        </w:rPr>
        <w:t xml:space="preserve">4. </w:t>
      </w:r>
      <w:r>
        <w:t>Confirm dev-only Cloud Code BlockAccount/MuteAccount can write successfully.</w:t>
      </w:r>
    </w:p>
    <w:p>
      <w:pPr>
        <w:ind w:left="216" w:hanging="216"/>
      </w:pPr>
      <w:r>
        <w:rPr>
          <w:b/>
          <w:color w:val="0B2545"/>
        </w:rPr>
        <w:t xml:space="preserve">5. </w:t>
      </w:r>
      <w:r>
        <w:t>Confirm player B cannot read or mutate player A's relationship or rate-limit records.</w:t>
      </w:r>
    </w:p>
    <w:p>
      <w:pPr>
        <w:ind w:left="216" w:hanging="216"/>
      </w:pPr>
      <w:r>
        <w:rPr>
          <w:b/>
          <w:color w:val="0B2545"/>
        </w:rPr>
        <w:t xml:space="preserve">6. </w:t>
      </w:r>
      <w:r>
        <w:t>Confirm missing/malformed Remote Config falls back to 10/minute and 100/day; test oversized values after hardening.</w:t>
      </w:r>
    </w:p>
    <w:p>
      <w:pPr>
        <w:ind w:left="216" w:hanging="216"/>
      </w:pPr>
      <w:r>
        <w:rPr>
          <w:b/>
          <w:color w:val="0B2545"/>
        </w:rPr>
        <w:t xml:space="preserve">7. </w:t>
      </w:r>
      <w:r>
        <w:t>Force concurrent calls and confirm conflicts reconcile or return sanitized typed failures without exceeding limits.</w:t>
      </w:r>
    </w:p>
    <w:p>
      <w:pPr>
        <w:ind w:left="216" w:hanging="216"/>
      </w:pPr>
      <w:r>
        <w:rPr>
          <w:b/>
          <w:color w:val="0B2545"/>
        </w:rPr>
        <w:t xml:space="preserve">8. </w:t>
      </w:r>
      <w:r>
        <w:t>Verify every call/data item stayed outside production, then remove disposable data.</w:t>
      </w:r>
    </w:p>
    <w:p>
      <w:pPr>
        <w:pStyle w:val="Heading1"/>
        <w:keepNext/>
      </w:pPr>
      <w:r>
        <w:t>11. Source and evidence index</w:t>
      </w:r>
    </w:p>
    <w:p>
      <w:pPr>
        <w:spacing w:after="100"/>
      </w:pPr>
      <w:r>
        <w:rPr>
          <w:b/>
          <w:color w:val="0B2545"/>
        </w:rPr>
        <w:t xml:space="preserve">Governance: </w:t>
      </w:r>
      <w:r>
        <w:t>docs/MOS_v1.2.md; docs/AI_CONTRIBUTING.md; AGENTS.md. Note: AGENTS references MOS v1.1, while the current working authority is MOS v1.2.</w:t>
      </w:r>
    </w:p>
    <w:p>
      <w:pPr>
        <w:spacing w:after="100"/>
      </w:pPr>
      <w:r>
        <w:rPr>
          <w:b/>
          <w:color w:val="0B2545"/>
        </w:rPr>
        <w:t xml:space="preserve">Battle: </w:t>
      </w:r>
      <w:r>
        <w:t>Assets/Scripts/Battle/**; Cards/**; AI/**; Empire/**; BattleLogicTests.cs; ExposedAvatarSiegeTests.cs; BalanceSimulationTests.cs.</w:t>
      </w:r>
    </w:p>
    <w:p>
      <w:pPr>
        <w:spacing w:after="100"/>
      </w:pPr>
      <w:r>
        <w:rPr>
          <w:b/>
          <w:color w:val="0B2545"/>
        </w:rPr>
        <w:t xml:space="preserve">Tutorial: </w:t>
      </w:r>
      <w:r>
        <w:t>Assets/Scripts/Tutorial/**; TutorialFoundationTests.cs; TutorialServiceTests.cs; approved Narrative Bible V1 and Tutorial/Onboarding Flow V1 in the supplied Codex outputs folder.</w:t>
      </w:r>
    </w:p>
    <w:p>
      <w:pPr>
        <w:spacing w:after="100"/>
      </w:pPr>
      <w:r>
        <w:rPr>
          <w:b/>
          <w:color w:val="0B2545"/>
        </w:rPr>
        <w:t xml:space="preserve">Social safety: </w:t>
      </w:r>
      <w:r>
        <w:t>CloudCode/SocialSafety/**; config/social-safety-access-policy.json; Assets/Scripts/Social/**; social-safety and identity tests; Metagame_Handoff.md.</w:t>
      </w:r>
    </w:p>
    <w:p>
      <w:pPr>
        <w:spacing w:after="100"/>
      </w:pPr>
      <w:r>
        <w:rPr>
          <w:b/>
          <w:color w:val="0B2545"/>
        </w:rPr>
        <w:t xml:space="preserve">Git evidence: </w:t>
      </w:r>
      <w:r>
        <w:t>Baseline 2604bf8; Battle commits 9f0a428, 32b6e3a, 463f43e, 9edaf39, 74cf4fa, 7ae6d36; current local HEAD 7ae6d361bbbe923adc3bf28c15e599769b1f5a0f.</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4D6"/>
          </w:tcPr>
          <w:p>
            <w:pPr>
              <w:spacing w:after="40" w:line="240" w:lineRule="auto"/>
            </w:pPr>
            <w:r>
              <w:rPr>
                <w:b/>
                <w:color w:val="0B2545"/>
                <w:sz w:val="19"/>
              </w:rPr>
              <w:t>Final handover instruction</w:t>
            </w:r>
          </w:p>
          <w:p>
            <w:pPr>
              <w:spacing w:after="40" w:line="240" w:lineRule="auto"/>
            </w:pPr>
            <w:r>
              <w:rPr>
                <w:sz w:val="19"/>
              </w:rPr>
              <w:t>Begin by inspecting git status and reading current governance. Validate each seat independently. This document is not permission to deploy, change frozen contracts, or reopen settled mechanics.</w:t>
            </w:r>
          </w:p>
        </w:tc>
      </w:tr>
    </w:tbl>
    <w:p>
      <w:pPr>
        <w:spacing w:after="0"/>
      </w:pP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571"/>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C6571"/>
        <w:sz w:val="16"/>
      </w:rPr>
      <w:t>MYRIAD OF DRAGONS  |  COMMAND CENTRE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C657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Myriad of Dragons Command Centre Handover</dc:title>
  <dc:subject>Technical and governance handover for a replacement AI Command Centre</dc:subject>
  <dc:creator>Myriad of Dragons Battle Seat</dc:creator>
  <cp:keywords>Unity, Command Centre, Battle, Tutorial, Social Safety, handover</cp:keywords>
  <dc:description>Generated from verified local repository state and recorded review outcomes on 13 August 2026.</dc:description>
  <cp:lastModifiedBy/>
  <cp:revision>1</cp:revision>
  <dcterms:created xsi:type="dcterms:W3CDTF">2013-12-23T23:15:00Z</dcterms:created>
  <dcterms:modified xsi:type="dcterms:W3CDTF">2013-12-23T23:15:00Z</dcterms:modified>
  <cp:category/>
</cp:coreProperties>
</file>