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68EEF838" w:rsidR="008D37BC" w:rsidRDefault="009B7945" w:rsidP="0004605A">
      <w:pPr>
        <w:pStyle w:val="TtuloTDC"/>
        <w:rPr>
          <w:rFonts w:asciiTheme="minorHAnsi" w:hAnsiTheme="minorHAnsi" w:cstheme="minorHAnsi"/>
        </w:rPr>
      </w:pPr>
      <w:r w:rsidRPr="00904114">
        <w:rPr>
          <w:rFonts w:asciiTheme="minorHAnsi" w:hAnsiTheme="minorHAnsi" w:cstheme="minorHAnsi"/>
        </w:rPr>
        <w:t xml:space="preserve">LOCAL ENERGY COMMUNITIES LOCATION ASSESSMENT FOR </w:t>
      </w:r>
      <w:r w:rsidR="008F7102">
        <w:rPr>
          <w:rFonts w:asciiTheme="minorHAnsi" w:hAnsiTheme="minorHAnsi" w:cstheme="minorHAnsi"/>
        </w:rPr>
        <w:t>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in order to facilitate the implementation of an energy community based on the generation of photovoltaic solar energy.</w:t>
      </w:r>
    </w:p>
    <w:p w14:paraId="5329E90E" w14:textId="207A6B00" w:rsidR="00670F85" w:rsidRPr="00712B90" w:rsidRDefault="00670F85" w:rsidP="00670F85">
      <w:pPr>
        <w:rPr>
          <w:szCs w:val="24"/>
        </w:rPr>
      </w:pPr>
      <w:r w:rsidRPr="00712B90">
        <w:rPr>
          <w:szCs w:val="24"/>
        </w:rPr>
        <w:t xml:space="preserve">This preliminary study focuses on determining the solar potential and photovoltaic generation capacity of the different urban areas of </w:t>
      </w:r>
      <w:r w:rsidR="00D01AF5" w:rsidRPr="00D01AF5">
        <w:rPr>
          <w:szCs w:val="24"/>
        </w:rPr>
        <w:t>${MUNICIPALITY}</w:t>
      </w:r>
      <w:r w:rsidRPr="00712B90">
        <w:rPr>
          <w:szCs w:val="24"/>
        </w:rPr>
        <w:t>, covering residential, industrial, public services and commercial sectors, in order to develop an energy community in the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72008CB1" w:rsidR="009B278A" w:rsidRPr="00712B90" w:rsidRDefault="00670F85" w:rsidP="00994D67">
      <w:pPr>
        <w:rPr>
          <w:szCs w:val="24"/>
        </w:rPr>
      </w:pPr>
      <w:r w:rsidRPr="00712B90">
        <w:rPr>
          <w:szCs w:val="24"/>
        </w:rPr>
        <w:t xml:space="preserve">The analysis of the different models developed will provide an estimate of the best locations for the installation of photovoltaic production facilities and an approximation of the energy produced by them. This report includes the evaluation of </w:t>
      </w:r>
      <w:r w:rsidRPr="00712B90">
        <w:rPr>
          <w:szCs w:val="24"/>
          <w:highlight w:val="yellow"/>
        </w:rPr>
        <w:t>${NUM_BUILDINGS}</w:t>
      </w:r>
      <w:r w:rsidRPr="00712B90">
        <w:rPr>
          <w:szCs w:val="24"/>
        </w:rPr>
        <w:t xml:space="preserve"> buildings for different uses (all the buildings in the municipality), taking the cadastral parcel as the unit of analysis and which occupies an area of </w:t>
      </w:r>
      <w:r w:rsidRPr="00712B90">
        <w:rPr>
          <w:szCs w:val="24"/>
          <w:highlight w:val="yellow"/>
        </w:rPr>
        <w:t>​​${SURFACE}</w:t>
      </w:r>
      <w:r w:rsidRPr="00712B90">
        <w:rPr>
          <w:szCs w:val="24"/>
        </w:rPr>
        <w:t xml:space="preserve"> km</w:t>
      </w:r>
      <w:r w:rsidRPr="00BD503C">
        <w:rPr>
          <w:szCs w:val="24"/>
          <w:vertAlign w:val="superscript"/>
        </w:rPr>
        <w:t>2</w:t>
      </w:r>
      <w:r w:rsidRPr="00712B90">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712B90">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4A07A450" w:rsidR="00670F85" w:rsidRPr="00712B90" w:rsidRDefault="00670F85" w:rsidP="00670F85">
      <w:pPr>
        <w:autoSpaceDE w:val="0"/>
        <w:autoSpaceDN w:val="0"/>
        <w:adjustRightInd w:val="0"/>
        <w:spacing w:after="0"/>
        <w:rPr>
          <w:rFonts w:cs="Calibri"/>
          <w:szCs w:val="24"/>
        </w:rPr>
      </w:pPr>
      <w:r w:rsidRPr="00712B90">
        <w:rPr>
          <w:rFonts w:cs="Calibri"/>
          <w:szCs w:val="24"/>
        </w:rPr>
        <w:t xml:space="preserve">To determine the solar irradiation on the roofs of the municipality of </w:t>
      </w:r>
      <w:r w:rsidR="00D01AF5" w:rsidRPr="00D01AF5">
        <w:rPr>
          <w:rFonts w:cs="Calibri"/>
          <w:szCs w:val="24"/>
        </w:rPr>
        <w:t>${MUNICIPALITY}</w:t>
      </w:r>
      <w:r w:rsidRPr="00712B90">
        <w:rPr>
          <w:rFonts w:cs="Calibri"/>
          <w:szCs w:val="24"/>
        </w:rPr>
        <w:t xml:space="preserve">, it is necessary to identify the information that will be necessary to carry out this process. In this case, different existing maps from free access geographic and cartographic databases have been used. More specifically, </w:t>
      </w:r>
      <w:r w:rsidRPr="00712B90">
        <w:rPr>
          <w:rFonts w:cs="Calibri"/>
          <w:szCs w:val="24"/>
          <w:highlight w:val="yellow"/>
        </w:rPr>
        <w:t>for Spain</w:t>
      </w:r>
      <w:r w:rsidRPr="00712B90">
        <w:rPr>
          <w:rFonts w:cs="Calibri"/>
          <w:szCs w:val="24"/>
        </w:rPr>
        <w:t xml:space="preserve">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Pr="009B7945"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6D889E06" w:rsidR="00670F85" w:rsidRPr="009B7945" w:rsidRDefault="00670F85" w:rsidP="00670F85">
      <w:pPr>
        <w:pStyle w:val="Descripcin"/>
        <w:jc w:val="center"/>
        <w:rPr>
          <w:rFonts w:ascii="Calibri" w:hAnsi="Calibri" w:cs="Calibri"/>
          <w:sz w:val="24"/>
          <w:szCs w:val="24"/>
        </w:rP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Pr="009B7945">
        <w:t>3</w:t>
      </w:r>
      <w:r w:rsidRPr="00712B90">
        <w:rPr>
          <w:lang w:val="en-GB"/>
        </w:rPr>
        <w:fldChar w:fldCharType="end"/>
      </w:r>
      <w:r w:rsidRPr="009B7945">
        <w:t xml:space="preserve">. Mapa de parcelas catastrales de </w:t>
      </w:r>
      <w:r w:rsidR="00D01AF5" w:rsidRPr="00D01AF5">
        <w:rPr>
          <w:szCs w:val="24"/>
        </w:rPr>
        <w:t>${MUNICIPALITY}</w:t>
      </w:r>
      <w:r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0E893548" w:rsidR="00670F85" w:rsidRPr="00712B90" w:rsidRDefault="00670F85" w:rsidP="00670F85">
      <w:pPr>
        <w:pStyle w:val="Ttulo1"/>
        <w:rPr>
          <w:lang w:eastAsia="en-GB"/>
        </w:rPr>
      </w:pPr>
      <w:bookmarkStart w:id="4" w:name="_Toc175916008"/>
      <w:r w:rsidRPr="00712B90">
        <w:rPr>
          <w:lang w:eastAsia="en-GB"/>
        </w:rPr>
        <w:lastRenderedPageBreak/>
        <w:t>Analysis of municipality PV potential</w:t>
      </w:r>
      <w:bookmarkEnd w:id="4"/>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77777777" w:rsidR="00670F85" w:rsidRPr="00712B90" w:rsidRDefault="00670F85" w:rsidP="00670F85">
      <w:pPr>
        <w:rPr>
          <w:szCs w:val="24"/>
        </w:rPr>
      </w:pPr>
      <w:r w:rsidRPr="00712B90">
        <w:rPr>
          <w:szCs w:val="24"/>
        </w:rPr>
        <w:t>The different buildings in the municipality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${PCT_1}% of the roof surface available in the municipality.</w:t>
      </w:r>
    </w:p>
    <w:p w14:paraId="1B4B30F9" w14:textId="0DA1A313"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(${PCT_2} % industrial, ${PCT_3} % agricultural), represents ${PCT_4}%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${PCT_6}% of the surface.</w:t>
      </w:r>
    </w:p>
    <w:p w14:paraId="67A71FFB" w14:textId="109415DE" w:rsidR="00670F85" w:rsidRPr="00712B90" w:rsidRDefault="00670F85" w:rsidP="00BD503C">
      <w:pPr>
        <w:keepNext/>
        <w:autoSpaceDE w:val="0"/>
        <w:autoSpaceDN w:val="0"/>
        <w:adjustRightInd w:val="0"/>
        <w:spacing w:after="0"/>
      </w:pPr>
    </w:p>
    <w:p w14:paraId="1182D06E" w14:textId="7EFA2ADD" w:rsidR="00670F85" w:rsidRPr="009B7945" w:rsidRDefault="0026599E" w:rsidP="0026599E">
      <w:pPr>
        <w:pStyle w:val="Descripcin"/>
        <w:ind w:left="360"/>
        <w:jc w:val="center"/>
      </w:pPr>
      <w:r w:rsidRPr="0026599E">
        <w:rPr>
          <w:i w:val="0"/>
          <w:iCs w:val="0"/>
        </w:rPr>
        <w:t>${PLOT}</w:t>
      </w:r>
      <w:r>
        <w:br/>
      </w:r>
      <w:r w:rsidR="00670F85" w:rsidRPr="009B7945">
        <w:t xml:space="preserve">Figura </w:t>
      </w:r>
      <w:r w:rsidR="00670F85" w:rsidRPr="00712B90">
        <w:rPr>
          <w:lang w:val="en-GB"/>
        </w:rPr>
        <w:fldChar w:fldCharType="begin"/>
      </w:r>
      <w:r w:rsidR="00670F85" w:rsidRPr="009B7945">
        <w:instrText xml:space="preserve"> SEQ Figura \* ARABIC </w:instrText>
      </w:r>
      <w:r w:rsidR="00670F85" w:rsidRPr="00712B90">
        <w:rPr>
          <w:lang w:val="en-GB"/>
        </w:rPr>
        <w:fldChar w:fldCharType="separate"/>
      </w:r>
      <w:r w:rsidR="00670F85" w:rsidRPr="009B7945">
        <w:t>2</w:t>
      </w:r>
      <w:r w:rsidR="00670F85" w:rsidRPr="00712B90">
        <w:rPr>
          <w:lang w:val="en-GB"/>
        </w:rPr>
        <w:fldChar w:fldCharType="end"/>
      </w:r>
      <w:r w:rsidR="00670F85" w:rsidRPr="009B7945">
        <w:t>. Distribución de las áreas de tejado por tipo de uso de los edificios.</w:t>
      </w:r>
    </w:p>
    <w:p w14:paraId="5190A5D4" w14:textId="77777777" w:rsidR="00670F85" w:rsidRPr="009B7945" w:rsidRDefault="00670F85" w:rsidP="00670F85">
      <w:pPr>
        <w:spacing w:line="259" w:lineRule="auto"/>
        <w:rPr>
          <w:szCs w:val="24"/>
          <w:lang w:val="es-E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01942A00"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Once the geographical analysis has been carried out, data related to the </w:t>
      </w:r>
      <w:r w:rsidRPr="00712B90">
        <w:rPr>
          <w:rFonts w:cs="Calibri"/>
          <w:szCs w:val="24"/>
          <w:highlight w:val="yellow"/>
        </w:rPr>
        <w:t>${NTOTAL_PARCELAS}</w:t>
      </w:r>
      <w:r w:rsidRPr="00712B90">
        <w:rPr>
          <w:rFonts w:cs="Calibri"/>
          <w:szCs w:val="24"/>
        </w:rPr>
        <w:t xml:space="preserve"> cadastral parcels belonging to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have been obtained. Of the total cadastral buildings, </w:t>
      </w:r>
      <w:r w:rsidRPr="00712B90">
        <w:rPr>
          <w:rFonts w:cs="Calibri"/>
          <w:szCs w:val="24"/>
          <w:highlight w:val="yellow"/>
        </w:rPr>
        <w:t>${N_PARCELAS_NO_ADECUADAS}</w:t>
      </w:r>
      <w:r w:rsidRPr="00712B90">
        <w:rPr>
          <w:rFonts w:cs="Calibri"/>
          <w:szCs w:val="24"/>
        </w:rPr>
        <w:t xml:space="preserve"> buildings are not suitable for the creation of energy communities through the installation of photovoltaic panels on their roofs due to poor orientation, inclination, size or location (shadows), and </w:t>
      </w:r>
      <w:r w:rsidRPr="00712B90">
        <w:rPr>
          <w:rFonts w:cs="Calibri"/>
          <w:szCs w:val="24"/>
          <w:highlight w:val="yellow"/>
        </w:rPr>
        <w:t>${N_PARCELAS_ADECUADAS}</w:t>
      </w:r>
      <w:r w:rsidRPr="00712B90">
        <w:rPr>
          <w:rFonts w:cs="Calibri"/>
          <w:szCs w:val="24"/>
        </w:rPr>
        <w:t xml:space="preserve"> locations do have an adequate level of solar radiation to establish these local energy communities. Of the total roofs of the municipality, </w:t>
      </w:r>
      <w:r w:rsidRPr="00712B90">
        <w:rPr>
          <w:rFonts w:cs="Calibri"/>
          <w:szCs w:val="24"/>
          <w:highlight w:val="yellow"/>
        </w:rPr>
        <w:t>${PCT_7}%</w:t>
      </w:r>
      <w:r w:rsidRPr="00712B90">
        <w:rPr>
          <w:rFonts w:cs="Calibri"/>
          <w:szCs w:val="24"/>
        </w:rPr>
        <w:t xml:space="preserve"> of the total roof area has morphological and solar potential for the location of community photovoltaic modules. So, these spaces on the roofs of the municipality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As a summary, we can observe two graphs that describe the overall PV potential of the municipality,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4987456C" w14:textId="77777777" w:rsidR="00712B90" w:rsidRPr="00712B90" w:rsidRDefault="00712B90" w:rsidP="00712B90">
      <w:pPr>
        <w:rPr>
          <w:lang w:eastAsia="en-GB"/>
        </w:rPr>
      </w:pPr>
    </w:p>
    <w:p w14:paraId="097EEEFB" w14:textId="77777777" w:rsidR="00712B90" w:rsidRPr="00712B90" w:rsidRDefault="00712B90" w:rsidP="00712B90">
      <w:pPr>
        <w:autoSpaceDE w:val="0"/>
        <w:autoSpaceDN w:val="0"/>
        <w:adjustRightInd w:val="0"/>
        <w:spacing w:after="0"/>
        <w:rPr>
          <w:rFonts w:cs="Calibri"/>
          <w:szCs w:val="24"/>
        </w:rPr>
      </w:pPr>
    </w:p>
    <w:p w14:paraId="04F8933A" w14:textId="70167FEF" w:rsidR="00683B74" w:rsidRPr="00712B90" w:rsidRDefault="00712B90" w:rsidP="008A1315">
      <w:pPr>
        <w:keepNext/>
        <w:autoSpaceDE w:val="0"/>
        <w:autoSpaceDN w:val="0"/>
        <w:adjustRightInd w:val="0"/>
        <w:spacing w:after="0"/>
        <w:jc w:val="center"/>
      </w:pPr>
      <w:r w:rsidRPr="00712B90">
        <w:rPr>
          <w:noProof/>
        </w:rPr>
        <w:lastRenderedPageBreak/>
        <w:drawing>
          <wp:inline distT="0" distB="0" distL="0" distR="0" wp14:anchorId="1F0114AF" wp14:editId="07833028">
            <wp:extent cx="5429250" cy="3171825"/>
            <wp:effectExtent l="0" t="0" r="0" b="9525"/>
            <wp:docPr id="17" name="Gráfico 17">
              <a:extLst xmlns:a="http://schemas.openxmlformats.org/drawingml/2006/main">
                <a:ext uri="{FF2B5EF4-FFF2-40B4-BE49-F238E27FC236}">
                  <a16:creationId xmlns:a16="http://schemas.microsoft.com/office/drawing/2014/main" id="{6DD14072-AD80-17CB-A45C-FE82B2F17E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bookmarkStart w:id="7" w:name="_Hlk196309476"/>
      <w:r w:rsidR="00683B74">
        <w:t>${PLOT_APPROPIATE_ROOF_AREA}</w:t>
      </w:r>
    </w:p>
    <w:bookmarkEnd w:id="7"/>
    <w:p w14:paraId="2FC61D6A" w14:textId="77777777" w:rsidR="00712B90" w:rsidRPr="009B7945" w:rsidRDefault="00712B90" w:rsidP="00712B90">
      <w:pPr>
        <w:pStyle w:val="Descripcin"/>
        <w:jc w:val="center"/>
      </w:pPr>
      <w:r w:rsidRPr="00FF2DE6">
        <w:rPr>
          <w:lang w:val="en-US"/>
        </w:rPr>
        <w:t xml:space="preserve">Figura </w:t>
      </w:r>
      <w:r w:rsidRPr="00712B90">
        <w:rPr>
          <w:lang w:val="en-GB"/>
        </w:rPr>
        <w:fldChar w:fldCharType="begin"/>
      </w:r>
      <w:r w:rsidRPr="00FF2DE6">
        <w:rPr>
          <w:lang w:val="en-US"/>
        </w:rPr>
        <w:instrText xml:space="preserve"> SEQ Figura \* ARABIC </w:instrText>
      </w:r>
      <w:r w:rsidRPr="00712B90">
        <w:rPr>
          <w:lang w:val="en-GB"/>
        </w:rPr>
        <w:fldChar w:fldCharType="separate"/>
      </w:r>
      <w:r w:rsidRPr="00FF2DE6">
        <w:rPr>
          <w:lang w:val="en-US"/>
        </w:rPr>
        <w:t>4</w:t>
      </w:r>
      <w:r w:rsidRPr="00712B90">
        <w:rPr>
          <w:lang w:val="en-GB"/>
        </w:rPr>
        <w:fldChar w:fldCharType="end"/>
      </w:r>
      <w:r w:rsidRPr="00FF2DE6">
        <w:rPr>
          <w:lang w:val="en-US"/>
        </w:rPr>
        <w:t xml:space="preserve">. </w:t>
      </w:r>
      <w:r w:rsidRPr="009B7945">
        <w:t>Área de tejado apropiada para producción fotovoltaica en función del tipo de uso del edificio.</w:t>
      </w:r>
    </w:p>
    <w:p w14:paraId="5E633550" w14:textId="77777777" w:rsidR="00712B90" w:rsidRPr="009B7945" w:rsidRDefault="00712B90" w:rsidP="00712B90">
      <w:pPr>
        <w:rPr>
          <w:lang w:val="es-ES"/>
        </w:rPr>
      </w:pPr>
    </w:p>
    <w:p w14:paraId="32C7FCD4" w14:textId="77777777" w:rsidR="00712B90" w:rsidRPr="00712B90" w:rsidRDefault="00712B90" w:rsidP="00BD503C">
      <w:pPr>
        <w:pStyle w:val="Prrafodelista"/>
        <w:numPr>
          <w:ilvl w:val="0"/>
          <w:numId w:val="18"/>
        </w:numPr>
        <w:spacing w:line="259" w:lineRule="auto"/>
        <w:jc w:val="left"/>
      </w:pPr>
      <w:r w:rsidRPr="00712B90">
        <w:t>Percentage of appropriate roofs depending on the size of the building area.</w:t>
      </w:r>
    </w:p>
    <w:p w14:paraId="3D3B277C" w14:textId="77777777" w:rsidR="00712B90" w:rsidRPr="00712B90" w:rsidRDefault="00712B90" w:rsidP="00712B90">
      <w:pPr>
        <w:autoSpaceDE w:val="0"/>
        <w:autoSpaceDN w:val="0"/>
        <w:adjustRightInd w:val="0"/>
        <w:spacing w:after="0"/>
        <w:rPr>
          <w:rFonts w:cs="Calibri"/>
          <w:szCs w:val="24"/>
        </w:rPr>
      </w:pPr>
    </w:p>
    <w:p w14:paraId="78B7E223" w14:textId="2A36EF75" w:rsidR="00FF2DE6" w:rsidRPr="009F062C" w:rsidRDefault="00712B90" w:rsidP="008A1315">
      <w:pPr>
        <w:keepNext/>
        <w:autoSpaceDE w:val="0"/>
        <w:autoSpaceDN w:val="0"/>
        <w:adjustRightInd w:val="0"/>
        <w:spacing w:after="0"/>
        <w:jc w:val="center"/>
        <w:rPr>
          <w:lang w:val="es-ES"/>
        </w:rPr>
      </w:pPr>
      <w:r w:rsidRPr="00712B90">
        <w:rPr>
          <w:noProof/>
        </w:rPr>
        <w:drawing>
          <wp:inline distT="0" distB="0" distL="0" distR="0" wp14:anchorId="027E92D6" wp14:editId="4CD3CA92">
            <wp:extent cx="5524500" cy="3114675"/>
            <wp:effectExtent l="0" t="0" r="0" b="9525"/>
            <wp:docPr id="18" name="Gráfico 18">
              <a:extLst xmlns:a="http://schemas.openxmlformats.org/drawingml/2006/main">
                <a:ext uri="{FF2B5EF4-FFF2-40B4-BE49-F238E27FC236}">
                  <a16:creationId xmlns:a16="http://schemas.microsoft.com/office/drawing/2014/main" id="{0B150CD3-E671-DE9C-D2E6-D1EC6307B7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bookmarkStart w:id="8" w:name="_Hlk196309505"/>
      <w:r w:rsidR="00FF2DE6">
        <w:rPr>
          <w:lang w:val="es-ES"/>
        </w:rPr>
        <w:t>${</w:t>
      </w:r>
      <w:r w:rsidR="00FF2DE6" w:rsidRPr="00FF2DE6">
        <w:rPr>
          <w:lang w:val="es-ES"/>
        </w:rPr>
        <w:t>PLOT_DISTRIB_AREAS_POR_USO</w:t>
      </w:r>
      <w:r w:rsidR="00FF2DE6">
        <w:rPr>
          <w:lang w:val="es-ES"/>
        </w:rPr>
        <w:t>}</w:t>
      </w:r>
    </w:p>
    <w:bookmarkEnd w:id="8"/>
    <w:p w14:paraId="75F144BE" w14:textId="77777777" w:rsidR="00712B90" w:rsidRPr="009B7945" w:rsidRDefault="00712B90" w:rsidP="00712B90">
      <w:pPr>
        <w:pStyle w:val="Descripcin"/>
        <w:jc w:val="cente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Pr="009B7945">
        <w:t>5</w:t>
      </w:r>
      <w:r w:rsidRPr="00712B90">
        <w:rPr>
          <w:lang w:val="en-GB"/>
        </w:rPr>
        <w:fldChar w:fldCharType="end"/>
      </w:r>
      <w:r w:rsidRPr="009B7945">
        <w:t>. Tejados disponibles en función de su superficie y por tipo de uso.</w:t>
      </w:r>
    </w:p>
    <w:p w14:paraId="43E710C1" w14:textId="77777777" w:rsidR="00712B90" w:rsidRPr="009B7945" w:rsidRDefault="00712B90" w:rsidP="00712B90">
      <w:pPr>
        <w:rPr>
          <w:lang w:val="es-ES"/>
        </w:rPr>
      </w:pPr>
    </w:p>
    <w:p w14:paraId="51299D22" w14:textId="52B94F26" w:rsidR="00712B90" w:rsidRDefault="00712B90" w:rsidP="00712B90">
      <w:pPr>
        <w:pStyle w:val="Ttulo2"/>
        <w:ind w:left="998" w:hanging="431"/>
      </w:pPr>
      <w:bookmarkStart w:id="9" w:name="_Toc175916011"/>
      <w:r w:rsidRPr="00712B90">
        <w:lastRenderedPageBreak/>
        <w:t xml:space="preserve">Solar </w:t>
      </w:r>
      <w:r w:rsidRPr="00712B90">
        <w:rPr>
          <w:lang w:eastAsia="en-GB"/>
        </w:rPr>
        <w:t>radiation</w:t>
      </w:r>
      <w:r w:rsidRPr="00712B90">
        <w:t xml:space="preserve"> potential</w:t>
      </w:r>
      <w:bookmarkEnd w:id="9"/>
    </w:p>
    <w:p w14:paraId="739F3F18" w14:textId="77777777"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municipality has been studied. In this study, it has been estimated that the average solar radiation of the suitable areas of the municipality's 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The distribution of solar radiation between the different buildings can be observed in Figure 6,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10589D04" w:rsidR="00712B90" w:rsidRDefault="00712B90" w:rsidP="008A1315">
      <w:pPr>
        <w:keepNext/>
        <w:autoSpaceDE w:val="0"/>
        <w:autoSpaceDN w:val="0"/>
        <w:adjustRightInd w:val="0"/>
        <w:spacing w:after="0"/>
        <w:jc w:val="center"/>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4"/>
                    <a:stretch>
                      <a:fillRect/>
                    </a:stretch>
                  </pic:blipFill>
                  <pic:spPr>
                    <a:xfrm>
                      <a:off x="0" y="0"/>
                      <a:ext cx="5400040" cy="2566670"/>
                    </a:xfrm>
                    <a:prstGeom prst="rect">
                      <a:avLst/>
                    </a:prstGeom>
                  </pic:spPr>
                </pic:pic>
              </a:graphicData>
            </a:graphic>
          </wp:inline>
        </w:drawing>
      </w:r>
      <w:r w:rsidR="00291EE5" w:rsidRPr="00291EE5">
        <w:t>${PLOT_DISTRIB_MEAN_SOLAR}</w:t>
      </w:r>
    </w:p>
    <w:p w14:paraId="2F35BED5" w14:textId="77777777" w:rsidR="00712B90" w:rsidRDefault="00712B90" w:rsidP="00712B90">
      <w:pPr>
        <w:pStyle w:val="Descripcin"/>
        <w:jc w:val="center"/>
        <w:rPr>
          <w:rFonts w:ascii="Calibri" w:hAnsi="Calibri" w:cs="Calibri"/>
          <w:sz w:val="24"/>
          <w:szCs w:val="24"/>
        </w:rPr>
      </w:pPr>
      <w:r w:rsidRPr="009F062C">
        <w:rPr>
          <w:lang w:val="en-US"/>
        </w:rPr>
        <w:t xml:space="preserve">Figura </w:t>
      </w:r>
      <w:r>
        <w:fldChar w:fldCharType="begin"/>
      </w:r>
      <w:r w:rsidRPr="009F062C">
        <w:rPr>
          <w:lang w:val="en-US"/>
        </w:rPr>
        <w:instrText xml:space="preserve"> SEQ Figura \* ARABIC </w:instrText>
      </w:r>
      <w:r>
        <w:fldChar w:fldCharType="separate"/>
      </w:r>
      <w:r w:rsidRPr="009F062C">
        <w:rPr>
          <w:noProof/>
          <w:lang w:val="en-US"/>
        </w:rPr>
        <w:t>6</w:t>
      </w:r>
      <w:r>
        <w:rPr>
          <w:noProof/>
        </w:rPr>
        <w:fldChar w:fldCharType="end"/>
      </w:r>
      <w:r w:rsidRPr="009F062C">
        <w:rPr>
          <w:lang w:val="en-US"/>
        </w:rPr>
        <w:t xml:space="preserve">. </w:t>
      </w:r>
      <w:r>
        <w:t>Distribución de edificios en función de la radiación solar media por parcela.</w:t>
      </w:r>
    </w:p>
    <w:p w14:paraId="3BE6B4E4"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The buildings in the municipality have been classified according to the type of use in order to determine the solar potential of the different urban fabrics. More specifically, the average solar radiation according to the use of the buildings studied can be observed in Figure 7.</w:t>
      </w:r>
    </w:p>
    <w:p w14:paraId="1CB65B8F" w14:textId="77777777" w:rsidR="00712B90" w:rsidRPr="001F64A7" w:rsidRDefault="00712B90" w:rsidP="00712B90">
      <w:pPr>
        <w:autoSpaceDE w:val="0"/>
        <w:autoSpaceDN w:val="0"/>
        <w:adjustRightInd w:val="0"/>
        <w:spacing w:after="0"/>
        <w:rPr>
          <w:rFonts w:cs="Calibri"/>
          <w:szCs w:val="24"/>
        </w:rPr>
      </w:pPr>
    </w:p>
    <w:p w14:paraId="1AE3306D" w14:textId="5F392490" w:rsidR="00712B90" w:rsidRPr="009F062C" w:rsidRDefault="00712B90" w:rsidP="00712B90">
      <w:pPr>
        <w:keepNext/>
        <w:autoSpaceDE w:val="0"/>
        <w:autoSpaceDN w:val="0"/>
        <w:adjustRightInd w:val="0"/>
        <w:spacing w:after="0"/>
        <w:jc w:val="center"/>
        <w:rPr>
          <w:lang w:val="es-ES"/>
        </w:rPr>
      </w:pPr>
      <w:r>
        <w:rPr>
          <w:noProof/>
        </w:rPr>
        <w:lastRenderedPageBreak/>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009F062C" w:rsidRPr="009F062C">
        <w:rPr>
          <w:lang w:val="es-ES"/>
        </w:rPr>
        <w:t>$</w:t>
      </w:r>
      <w:r w:rsidR="009F062C">
        <w:rPr>
          <w:lang w:val="es-ES"/>
        </w:rPr>
        <w:t>{</w:t>
      </w:r>
      <w:r w:rsidR="009F062C" w:rsidRPr="009F062C">
        <w:rPr>
          <w:lang w:val="es-ES"/>
        </w:rPr>
        <w:t>PLOT_RADIACION_POR_USO</w:t>
      </w:r>
      <w:r w:rsidR="009F062C">
        <w:rPr>
          <w:lang w:val="es-ES"/>
        </w:rPr>
        <w:t>}</w:t>
      </w:r>
    </w:p>
    <w:p w14:paraId="18C59746" w14:textId="77777777" w:rsidR="00712B90" w:rsidRDefault="00712B90" w:rsidP="00712B90">
      <w:pPr>
        <w:pStyle w:val="Descripcin"/>
        <w:jc w:val="center"/>
      </w:pPr>
      <w:r>
        <w:t xml:space="preserve">Figura </w:t>
      </w:r>
      <w:r>
        <w:fldChar w:fldCharType="begin"/>
      </w:r>
      <w:r>
        <w:instrText xml:space="preserve"> SEQ Figura \* ARABIC </w:instrText>
      </w:r>
      <w:r>
        <w:fldChar w:fldCharType="separate"/>
      </w:r>
      <w:r>
        <w:rPr>
          <w:noProof/>
        </w:rPr>
        <w:t>7</w:t>
      </w:r>
      <w:r>
        <w:rPr>
          <w:noProof/>
        </w:rPr>
        <w:fldChar w:fldCharType="end"/>
      </w:r>
      <w:r>
        <w:t>. Radiación solar media según el uso de las parcelas.</w:t>
      </w:r>
    </w:p>
    <w:p w14:paraId="6F490B74" w14:textId="77777777" w:rsidR="00712B90" w:rsidRPr="00712B90" w:rsidRDefault="00712B90" w:rsidP="00712B90">
      <w:pPr>
        <w:rPr>
          <w:lang w:val="es-ES"/>
        </w:rPr>
      </w:pPr>
    </w:p>
    <w:p w14:paraId="11671DE8" w14:textId="21D9176C" w:rsidR="00712B90" w:rsidRDefault="00712B90" w:rsidP="00712B90">
      <w:pPr>
        <w:pStyle w:val="Ttulo2"/>
        <w:ind w:left="998" w:hanging="431"/>
      </w:pPr>
      <w:bookmarkStart w:id="10" w:name="_Toc175916012"/>
      <w:r w:rsidRPr="00712B90">
        <w:t>Electrical energy production potential</w:t>
      </w:r>
      <w:bookmarkEnd w:id="10"/>
    </w:p>
    <w:p w14:paraId="281852E4" w14:textId="6C805084"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6E429D02" w:rsidR="00712B90" w:rsidRPr="00712B90" w:rsidRDefault="00712B90" w:rsidP="00712B90">
      <w:pPr>
        <w:autoSpaceDE w:val="0"/>
        <w:autoSpaceDN w:val="0"/>
        <w:adjustRightInd w:val="0"/>
        <w:spacing w:after="0"/>
        <w:rPr>
          <w:rFonts w:cs="Calibri"/>
          <w:szCs w:val="24"/>
        </w:rPr>
      </w:pPr>
      <w:r w:rsidRPr="00712B90">
        <w:rPr>
          <w:rFonts w:cs="Calibri"/>
          <w:szCs w:val="24"/>
        </w:rPr>
        <w:t>Figure 8 shows in detail and by sector the photovoltaic generation potential and the capacity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0A4FD1BC" w14:textId="1E5D4D6F" w:rsidR="00712B90" w:rsidRDefault="00712B90" w:rsidP="00712B90">
      <w:pPr>
        <w:pStyle w:val="Descripcin"/>
        <w:jc w:val="center"/>
        <w:rPr>
          <w:rFonts w:ascii="Calibri" w:hAnsi="Calibri" w:cs="Calibri"/>
          <w:sz w:val="24"/>
          <w:szCs w:val="24"/>
        </w:rPr>
      </w:pPr>
      <w:r>
        <w:rPr>
          <w:noProof/>
        </w:rPr>
        <w:lastRenderedPageBreak/>
        <w:drawing>
          <wp:inline distT="0" distB="0" distL="0" distR="0" wp14:anchorId="0840F900" wp14:editId="014C7C21">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6"/>
                    <a:stretch>
                      <a:fillRect/>
                    </a:stretch>
                  </pic:blipFill>
                  <pic:spPr>
                    <a:xfrm>
                      <a:off x="0" y="0"/>
                      <a:ext cx="5400040" cy="3446145"/>
                    </a:xfrm>
                    <a:prstGeom prst="rect">
                      <a:avLst/>
                    </a:prstGeom>
                  </pic:spPr>
                </pic:pic>
              </a:graphicData>
            </a:graphic>
          </wp:inline>
        </w:drawing>
      </w:r>
      <w:r w:rsidR="009F062C">
        <w:t>${PLOT_POTENCIAL_POR_USO}</w:t>
      </w:r>
      <w:r w:rsidR="009F062C">
        <w:br/>
      </w:r>
      <w:r>
        <w:t xml:space="preserve">Figura </w:t>
      </w:r>
      <w:r>
        <w:fldChar w:fldCharType="begin"/>
      </w:r>
      <w:r>
        <w:instrText xml:space="preserve"> SEQ Figura \* ARABIC </w:instrText>
      </w:r>
      <w:r>
        <w:fldChar w:fldCharType="separate"/>
      </w:r>
      <w:r>
        <w:rPr>
          <w:noProof/>
        </w:rPr>
        <w:t>8</w:t>
      </w:r>
      <w:r>
        <w:rPr>
          <w:noProof/>
        </w:rPr>
        <w:fldChar w:fldCharType="end"/>
      </w:r>
      <w:r>
        <w:t xml:space="preserve">. Potencial solar de los tejados de </w:t>
      </w:r>
      <w:r w:rsidR="00D01AF5" w:rsidRPr="00D01AF5">
        <w:rPr>
          <w:szCs w:val="24"/>
        </w:rPr>
        <w:t>${MUNICIPALITY}</w:t>
      </w:r>
      <w:r w:rsidR="00D01AF5">
        <w:rPr>
          <w:szCs w:val="24"/>
        </w:rPr>
        <w:t xml:space="preserve"> </w:t>
      </w:r>
      <w:r>
        <w:t>por tipo de uso.</w:t>
      </w:r>
    </w:p>
    <w:p w14:paraId="332DD5EA" w14:textId="77777777" w:rsidR="00712B90" w:rsidRPr="00712B90" w:rsidRDefault="00712B90" w:rsidP="00712B90">
      <w:pPr>
        <w:autoSpaceDE w:val="0"/>
        <w:autoSpaceDN w:val="0"/>
        <w:adjustRightInd w:val="0"/>
        <w:spacing w:after="0"/>
        <w:rPr>
          <w:rFonts w:cs="Calibri"/>
          <w:szCs w:val="24"/>
          <w:lang w:val="es-ES"/>
        </w:rPr>
      </w:pPr>
    </w:p>
    <w:p w14:paraId="007449D4"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Analyzing Figure 8, the potential photovoltaic capacity in the entire municipality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w:t>
      </w:r>
      <w:r w:rsidRPr="00F0319F">
        <w:rPr>
          <w:rFonts w:cs="Calibri"/>
          <w:szCs w:val="24"/>
          <w:vertAlign w:val="superscript"/>
        </w:rPr>
        <w:t>2</w:t>
      </w:r>
      <w:r w:rsidRPr="00712B90">
        <w:rPr>
          <w:rFonts w:cs="Calibri"/>
          <w:szCs w:val="24"/>
        </w:rPr>
        <w:t xml:space="preserve">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11" w:name="_Toc175916013"/>
      <w:r>
        <w:rPr>
          <w:lang w:eastAsia="en-GB"/>
        </w:rPr>
        <w:lastRenderedPageBreak/>
        <w:t>Optimal buildings for the development of an energy community PV installation</w:t>
      </w:r>
      <w:bookmarkEnd w:id="11"/>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r w:rsidRPr="00DF7E59">
        <w:rPr>
          <w:b/>
          <w:bCs/>
          <w:lang w:val="es-ES"/>
        </w:rPr>
        <w:t>Criteria for Selection</w:t>
      </w:r>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3A22A238" w14:textId="22687D8F" w:rsidR="00712B90" w:rsidRPr="00C817EA" w:rsidRDefault="00DF7E59" w:rsidP="00712B90">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6F0FA85F" w14:textId="1DA58AA7" w:rsidR="00712B90" w:rsidRPr="009F062C" w:rsidRDefault="00F0557B" w:rsidP="00712B90">
      <w:pPr>
        <w:rPr>
          <w:lang w:val="en-US"/>
        </w:rPr>
      </w:pPr>
      <w:r w:rsidRPr="009F062C">
        <w:rPr>
          <w:lang w:val="en-US"/>
        </w:rPr>
        <w:t>${BUILDINGS_TABLE}</w:t>
      </w:r>
    </w:p>
    <w:p w14:paraId="46BB3AAC" w14:textId="60ED0498" w:rsidR="00712B90" w:rsidRPr="00154429" w:rsidRDefault="00154429" w:rsidP="00712B90">
      <w:r w:rsidRPr="00154429">
        <w:t xml:space="preserve">The sorting criteria selected </w:t>
      </w:r>
      <w:r>
        <w:t>for</w:t>
      </w:r>
      <w:r w:rsidRPr="00154429">
        <w:t xml:space="preserve"> this study through the LEC platform are the following</w:t>
      </w:r>
      <w:r w:rsidR="00712B90" w:rsidRPr="00154429">
        <w:t>:</w:t>
      </w:r>
    </w:p>
    <w:p w14:paraId="70ADF9E4" w14:textId="0B2C54CA" w:rsidR="00712B90" w:rsidRDefault="00BD503C" w:rsidP="00E717D7">
      <w:pPr>
        <w:spacing w:line="259" w:lineRule="auto"/>
        <w:jc w:val="left"/>
      </w:pPr>
      <w:bookmarkStart w:id="12" w:name="_Hlk196381932"/>
      <w:r>
        <w:t>${SORTING_CRITERIA_LIST}</w:t>
      </w:r>
    </w:p>
    <w:bookmarkEnd w:id="12"/>
    <w:p w14:paraId="48053B43" w14:textId="77777777"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lastRenderedPageBreak/>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44D39B74">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2C1BE2AC">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9"/>
      <w:footerReference w:type="default" r:id="rId40"/>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63E1A" w14:textId="77777777" w:rsidR="00017A05" w:rsidRPr="00712B90" w:rsidRDefault="00017A05" w:rsidP="00994D67">
      <w:pPr>
        <w:spacing w:after="0"/>
      </w:pPr>
      <w:r w:rsidRPr="00712B90">
        <w:separator/>
      </w:r>
    </w:p>
  </w:endnote>
  <w:endnote w:type="continuationSeparator" w:id="0">
    <w:p w14:paraId="22AA8771" w14:textId="77777777" w:rsidR="00017A05" w:rsidRPr="00712B90" w:rsidRDefault="00017A05"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BF90941-84DF-47C6-9D77-72F170FC9730}"/>
    <w:embedBold r:id="rId2" w:fontKey="{43B7481E-540F-4311-9975-0043403FB7D3}"/>
    <w:embedItalic r:id="rId3" w:fontKey="{F135321D-6133-423B-B827-D48575A3120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91E0C" w14:textId="77777777" w:rsidR="00017A05" w:rsidRPr="00712B90" w:rsidRDefault="00017A05" w:rsidP="00994D67">
      <w:pPr>
        <w:spacing w:after="0"/>
      </w:pPr>
      <w:r w:rsidRPr="00712B90">
        <w:separator/>
      </w:r>
    </w:p>
  </w:footnote>
  <w:footnote w:type="continuationSeparator" w:id="0">
    <w:p w14:paraId="4AA1B5D2" w14:textId="77777777" w:rsidR="00017A05" w:rsidRPr="00712B90" w:rsidRDefault="00017A05"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D6DEA8B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embedSystemFonts/>
  <w:saveSubset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17A05"/>
    <w:rsid w:val="000207BB"/>
    <w:rsid w:val="00024954"/>
    <w:rsid w:val="00030689"/>
    <w:rsid w:val="0004605A"/>
    <w:rsid w:val="00074210"/>
    <w:rsid w:val="000844FF"/>
    <w:rsid w:val="000873AF"/>
    <w:rsid w:val="00094041"/>
    <w:rsid w:val="000D0937"/>
    <w:rsid w:val="000E72B5"/>
    <w:rsid w:val="000F2C74"/>
    <w:rsid w:val="000F6A14"/>
    <w:rsid w:val="000F6E75"/>
    <w:rsid w:val="00145977"/>
    <w:rsid w:val="0014712C"/>
    <w:rsid w:val="00154429"/>
    <w:rsid w:val="00180577"/>
    <w:rsid w:val="00184479"/>
    <w:rsid w:val="00190D6B"/>
    <w:rsid w:val="001A0BB5"/>
    <w:rsid w:val="001A590A"/>
    <w:rsid w:val="001E2411"/>
    <w:rsid w:val="001E59E4"/>
    <w:rsid w:val="001E76A3"/>
    <w:rsid w:val="001F456A"/>
    <w:rsid w:val="002027F1"/>
    <w:rsid w:val="0020783D"/>
    <w:rsid w:val="002265AE"/>
    <w:rsid w:val="00230072"/>
    <w:rsid w:val="0026599E"/>
    <w:rsid w:val="002736FA"/>
    <w:rsid w:val="002745F2"/>
    <w:rsid w:val="00275A57"/>
    <w:rsid w:val="00290B66"/>
    <w:rsid w:val="00291EE5"/>
    <w:rsid w:val="002970B3"/>
    <w:rsid w:val="002B09DA"/>
    <w:rsid w:val="002B1981"/>
    <w:rsid w:val="002C28AC"/>
    <w:rsid w:val="002C34B7"/>
    <w:rsid w:val="002D2DA7"/>
    <w:rsid w:val="002E2961"/>
    <w:rsid w:val="002F0652"/>
    <w:rsid w:val="0030373B"/>
    <w:rsid w:val="00305156"/>
    <w:rsid w:val="00317CF0"/>
    <w:rsid w:val="00334033"/>
    <w:rsid w:val="00344456"/>
    <w:rsid w:val="00350342"/>
    <w:rsid w:val="00352005"/>
    <w:rsid w:val="0035243F"/>
    <w:rsid w:val="00366686"/>
    <w:rsid w:val="00394629"/>
    <w:rsid w:val="0039472E"/>
    <w:rsid w:val="003D27B4"/>
    <w:rsid w:val="003E7DBE"/>
    <w:rsid w:val="004159F8"/>
    <w:rsid w:val="0045252B"/>
    <w:rsid w:val="00476A36"/>
    <w:rsid w:val="004770C5"/>
    <w:rsid w:val="004867C5"/>
    <w:rsid w:val="004967A9"/>
    <w:rsid w:val="004B4875"/>
    <w:rsid w:val="004B5ED2"/>
    <w:rsid w:val="004C6A26"/>
    <w:rsid w:val="004D0F09"/>
    <w:rsid w:val="0050728A"/>
    <w:rsid w:val="00510B07"/>
    <w:rsid w:val="00512539"/>
    <w:rsid w:val="00525F6D"/>
    <w:rsid w:val="005467A1"/>
    <w:rsid w:val="00553209"/>
    <w:rsid w:val="00553260"/>
    <w:rsid w:val="00584DDC"/>
    <w:rsid w:val="00595BBC"/>
    <w:rsid w:val="00596569"/>
    <w:rsid w:val="005B03D1"/>
    <w:rsid w:val="005C0567"/>
    <w:rsid w:val="005C4908"/>
    <w:rsid w:val="005F7C50"/>
    <w:rsid w:val="00605DDD"/>
    <w:rsid w:val="00613522"/>
    <w:rsid w:val="00614F45"/>
    <w:rsid w:val="00633838"/>
    <w:rsid w:val="00634E0A"/>
    <w:rsid w:val="006469DB"/>
    <w:rsid w:val="006603E3"/>
    <w:rsid w:val="0066646D"/>
    <w:rsid w:val="00666935"/>
    <w:rsid w:val="00670F85"/>
    <w:rsid w:val="00676B4F"/>
    <w:rsid w:val="00683B74"/>
    <w:rsid w:val="00685290"/>
    <w:rsid w:val="00696BB9"/>
    <w:rsid w:val="006A1A76"/>
    <w:rsid w:val="006A1ECE"/>
    <w:rsid w:val="006A4161"/>
    <w:rsid w:val="006D49FB"/>
    <w:rsid w:val="006E23F0"/>
    <w:rsid w:val="00712B90"/>
    <w:rsid w:val="007236C6"/>
    <w:rsid w:val="00731BD1"/>
    <w:rsid w:val="00743D89"/>
    <w:rsid w:val="0074469C"/>
    <w:rsid w:val="0074561F"/>
    <w:rsid w:val="00750D59"/>
    <w:rsid w:val="00751BAB"/>
    <w:rsid w:val="00754644"/>
    <w:rsid w:val="0077048C"/>
    <w:rsid w:val="0077379D"/>
    <w:rsid w:val="00782051"/>
    <w:rsid w:val="007900E2"/>
    <w:rsid w:val="00796B66"/>
    <w:rsid w:val="007A0EB6"/>
    <w:rsid w:val="007A43E6"/>
    <w:rsid w:val="007B0DFB"/>
    <w:rsid w:val="007B4CBC"/>
    <w:rsid w:val="007C709E"/>
    <w:rsid w:val="007C7251"/>
    <w:rsid w:val="007D0E21"/>
    <w:rsid w:val="007D5B26"/>
    <w:rsid w:val="007D7E2C"/>
    <w:rsid w:val="007E2D4D"/>
    <w:rsid w:val="007E4801"/>
    <w:rsid w:val="007E60A9"/>
    <w:rsid w:val="007F4A84"/>
    <w:rsid w:val="007F5F2F"/>
    <w:rsid w:val="00804836"/>
    <w:rsid w:val="00805760"/>
    <w:rsid w:val="00806B3D"/>
    <w:rsid w:val="00810679"/>
    <w:rsid w:val="00833B97"/>
    <w:rsid w:val="008429F4"/>
    <w:rsid w:val="00854FB9"/>
    <w:rsid w:val="008A1315"/>
    <w:rsid w:val="008B1DB3"/>
    <w:rsid w:val="008D37BC"/>
    <w:rsid w:val="008D3FD3"/>
    <w:rsid w:val="008E3927"/>
    <w:rsid w:val="008E7709"/>
    <w:rsid w:val="008F493E"/>
    <w:rsid w:val="008F5F53"/>
    <w:rsid w:val="008F7102"/>
    <w:rsid w:val="00904114"/>
    <w:rsid w:val="0092312D"/>
    <w:rsid w:val="00927F24"/>
    <w:rsid w:val="0093097F"/>
    <w:rsid w:val="009440A1"/>
    <w:rsid w:val="009450EA"/>
    <w:rsid w:val="00945F2C"/>
    <w:rsid w:val="00952598"/>
    <w:rsid w:val="00955F62"/>
    <w:rsid w:val="009707B2"/>
    <w:rsid w:val="0098384B"/>
    <w:rsid w:val="00994C2C"/>
    <w:rsid w:val="00994D67"/>
    <w:rsid w:val="00995C37"/>
    <w:rsid w:val="009973A1"/>
    <w:rsid w:val="009B03F4"/>
    <w:rsid w:val="009B1050"/>
    <w:rsid w:val="009B278A"/>
    <w:rsid w:val="009B6146"/>
    <w:rsid w:val="009B7945"/>
    <w:rsid w:val="009D0FC0"/>
    <w:rsid w:val="009D23F1"/>
    <w:rsid w:val="009E0974"/>
    <w:rsid w:val="009F062C"/>
    <w:rsid w:val="009F3C24"/>
    <w:rsid w:val="00A224F4"/>
    <w:rsid w:val="00A265CA"/>
    <w:rsid w:val="00A46CC0"/>
    <w:rsid w:val="00A8104A"/>
    <w:rsid w:val="00A8161E"/>
    <w:rsid w:val="00A87D9E"/>
    <w:rsid w:val="00A90D8A"/>
    <w:rsid w:val="00AB1619"/>
    <w:rsid w:val="00AC5064"/>
    <w:rsid w:val="00AE4E96"/>
    <w:rsid w:val="00B0215B"/>
    <w:rsid w:val="00B214EC"/>
    <w:rsid w:val="00B273C2"/>
    <w:rsid w:val="00B35306"/>
    <w:rsid w:val="00B40087"/>
    <w:rsid w:val="00B43260"/>
    <w:rsid w:val="00B50E80"/>
    <w:rsid w:val="00B527D8"/>
    <w:rsid w:val="00B540EF"/>
    <w:rsid w:val="00B566A8"/>
    <w:rsid w:val="00B57B29"/>
    <w:rsid w:val="00B66112"/>
    <w:rsid w:val="00B6724F"/>
    <w:rsid w:val="00B80609"/>
    <w:rsid w:val="00B82EA8"/>
    <w:rsid w:val="00B87983"/>
    <w:rsid w:val="00BA157D"/>
    <w:rsid w:val="00BC326F"/>
    <w:rsid w:val="00BC3286"/>
    <w:rsid w:val="00BD503C"/>
    <w:rsid w:val="00BE409B"/>
    <w:rsid w:val="00BF0C24"/>
    <w:rsid w:val="00C4253E"/>
    <w:rsid w:val="00C44450"/>
    <w:rsid w:val="00C56C32"/>
    <w:rsid w:val="00C57388"/>
    <w:rsid w:val="00C66F75"/>
    <w:rsid w:val="00C817EA"/>
    <w:rsid w:val="00C82814"/>
    <w:rsid w:val="00C84CA8"/>
    <w:rsid w:val="00CA5DDE"/>
    <w:rsid w:val="00CA7F55"/>
    <w:rsid w:val="00CB3EC2"/>
    <w:rsid w:val="00CB65F3"/>
    <w:rsid w:val="00CC55CA"/>
    <w:rsid w:val="00CD24D8"/>
    <w:rsid w:val="00CE135A"/>
    <w:rsid w:val="00CE53EF"/>
    <w:rsid w:val="00D01AF5"/>
    <w:rsid w:val="00D02168"/>
    <w:rsid w:val="00D04FEC"/>
    <w:rsid w:val="00D23FDE"/>
    <w:rsid w:val="00D30687"/>
    <w:rsid w:val="00D359D0"/>
    <w:rsid w:val="00D7134E"/>
    <w:rsid w:val="00DD4778"/>
    <w:rsid w:val="00DD6768"/>
    <w:rsid w:val="00DE12CC"/>
    <w:rsid w:val="00DE311D"/>
    <w:rsid w:val="00DF638D"/>
    <w:rsid w:val="00DF7E59"/>
    <w:rsid w:val="00E1027B"/>
    <w:rsid w:val="00E320DA"/>
    <w:rsid w:val="00E3654C"/>
    <w:rsid w:val="00E442F1"/>
    <w:rsid w:val="00E558CB"/>
    <w:rsid w:val="00E632E8"/>
    <w:rsid w:val="00E6733A"/>
    <w:rsid w:val="00E717D7"/>
    <w:rsid w:val="00E77CF3"/>
    <w:rsid w:val="00E80877"/>
    <w:rsid w:val="00E95702"/>
    <w:rsid w:val="00E9587F"/>
    <w:rsid w:val="00E97D7E"/>
    <w:rsid w:val="00EA08DB"/>
    <w:rsid w:val="00EB001A"/>
    <w:rsid w:val="00EB1BB3"/>
    <w:rsid w:val="00EB55CE"/>
    <w:rsid w:val="00EB71AD"/>
    <w:rsid w:val="00ED0559"/>
    <w:rsid w:val="00EE4620"/>
    <w:rsid w:val="00EE4899"/>
    <w:rsid w:val="00EE66E1"/>
    <w:rsid w:val="00F02EC0"/>
    <w:rsid w:val="00F0319F"/>
    <w:rsid w:val="00F0557B"/>
    <w:rsid w:val="00F70FE3"/>
    <w:rsid w:val="00FB0869"/>
    <w:rsid w:val="00FB2446"/>
    <w:rsid w:val="00FC50CB"/>
    <w:rsid w:val="00FC5E38"/>
    <w:rsid w:val="00FF2DE6"/>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237979514">
      <w:bodyDiv w:val="1"/>
      <w:marLeft w:val="0"/>
      <w:marRight w:val="0"/>
      <w:marTop w:val="0"/>
      <w:marBottom w:val="0"/>
      <w:divBdr>
        <w:top w:val="none" w:sz="0" w:space="0" w:color="auto"/>
        <w:left w:val="none" w:sz="0" w:space="0" w:color="auto"/>
        <w:bottom w:val="none" w:sz="0" w:space="0" w:color="auto"/>
        <w:right w:val="none" w:sz="0" w:space="0" w:color="auto"/>
      </w:divBdr>
      <w:divsChild>
        <w:div w:id="1870221778">
          <w:marLeft w:val="0"/>
          <w:marRight w:val="0"/>
          <w:marTop w:val="0"/>
          <w:marBottom w:val="0"/>
          <w:divBdr>
            <w:top w:val="none" w:sz="0" w:space="0" w:color="auto"/>
            <w:left w:val="none" w:sz="0" w:space="0" w:color="auto"/>
            <w:bottom w:val="none" w:sz="0" w:space="0" w:color="auto"/>
            <w:right w:val="none" w:sz="0" w:space="0" w:color="auto"/>
          </w:divBdr>
          <w:divsChild>
            <w:div w:id="130123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23643">
      <w:bodyDiv w:val="1"/>
      <w:marLeft w:val="0"/>
      <w:marRight w:val="0"/>
      <w:marTop w:val="0"/>
      <w:marBottom w:val="0"/>
      <w:divBdr>
        <w:top w:val="none" w:sz="0" w:space="0" w:color="auto"/>
        <w:left w:val="none" w:sz="0" w:space="0" w:color="auto"/>
        <w:bottom w:val="none" w:sz="0" w:space="0" w:color="auto"/>
        <w:right w:val="none" w:sz="0" w:space="0" w:color="auto"/>
      </w:divBdr>
      <w:divsChild>
        <w:div w:id="1939293994">
          <w:marLeft w:val="0"/>
          <w:marRight w:val="0"/>
          <w:marTop w:val="0"/>
          <w:marBottom w:val="0"/>
          <w:divBdr>
            <w:top w:val="none" w:sz="0" w:space="0" w:color="auto"/>
            <w:left w:val="none" w:sz="0" w:space="0" w:color="auto"/>
            <w:bottom w:val="none" w:sz="0" w:space="0" w:color="auto"/>
            <w:right w:val="none" w:sz="0" w:space="0" w:color="auto"/>
          </w:divBdr>
          <w:divsChild>
            <w:div w:id="4233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20255067">
      <w:bodyDiv w:val="1"/>
      <w:marLeft w:val="0"/>
      <w:marRight w:val="0"/>
      <w:marTop w:val="0"/>
      <w:marBottom w:val="0"/>
      <w:divBdr>
        <w:top w:val="none" w:sz="0" w:space="0" w:color="auto"/>
        <w:left w:val="none" w:sz="0" w:space="0" w:color="auto"/>
        <w:bottom w:val="none" w:sz="0" w:space="0" w:color="auto"/>
        <w:right w:val="none" w:sz="0" w:space="0" w:color="auto"/>
      </w:divBdr>
      <w:divsChild>
        <w:div w:id="1312906741">
          <w:marLeft w:val="0"/>
          <w:marRight w:val="0"/>
          <w:marTop w:val="0"/>
          <w:marBottom w:val="0"/>
          <w:divBdr>
            <w:top w:val="none" w:sz="0" w:space="0" w:color="auto"/>
            <w:left w:val="none" w:sz="0" w:space="0" w:color="auto"/>
            <w:bottom w:val="none" w:sz="0" w:space="0" w:color="auto"/>
            <w:right w:val="none" w:sz="0" w:space="0" w:color="auto"/>
          </w:divBdr>
          <w:divsChild>
            <w:div w:id="172008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854802726">
      <w:bodyDiv w:val="1"/>
      <w:marLeft w:val="0"/>
      <w:marRight w:val="0"/>
      <w:marTop w:val="0"/>
      <w:marBottom w:val="0"/>
      <w:divBdr>
        <w:top w:val="none" w:sz="0" w:space="0" w:color="auto"/>
        <w:left w:val="none" w:sz="0" w:space="0" w:color="auto"/>
        <w:bottom w:val="none" w:sz="0" w:space="0" w:color="auto"/>
        <w:right w:val="none" w:sz="0" w:space="0" w:color="auto"/>
      </w:divBdr>
      <w:divsChild>
        <w:div w:id="1097599652">
          <w:marLeft w:val="0"/>
          <w:marRight w:val="0"/>
          <w:marTop w:val="0"/>
          <w:marBottom w:val="0"/>
          <w:divBdr>
            <w:top w:val="none" w:sz="0" w:space="0" w:color="auto"/>
            <w:left w:val="none" w:sz="0" w:space="0" w:color="auto"/>
            <w:bottom w:val="none" w:sz="0" w:space="0" w:color="auto"/>
            <w:right w:val="none" w:sz="0" w:space="0" w:color="auto"/>
          </w:divBdr>
          <w:divsChild>
            <w:div w:id="13670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6880">
      <w:bodyDiv w:val="1"/>
      <w:marLeft w:val="0"/>
      <w:marRight w:val="0"/>
      <w:marTop w:val="0"/>
      <w:marBottom w:val="0"/>
      <w:divBdr>
        <w:top w:val="none" w:sz="0" w:space="0" w:color="auto"/>
        <w:left w:val="none" w:sz="0" w:space="0" w:color="auto"/>
        <w:bottom w:val="none" w:sz="0" w:space="0" w:color="auto"/>
        <w:right w:val="none" w:sz="0" w:space="0" w:color="auto"/>
      </w:divBdr>
      <w:divsChild>
        <w:div w:id="1713457880">
          <w:marLeft w:val="0"/>
          <w:marRight w:val="0"/>
          <w:marTop w:val="0"/>
          <w:marBottom w:val="0"/>
          <w:divBdr>
            <w:top w:val="none" w:sz="0" w:space="0" w:color="auto"/>
            <w:left w:val="none" w:sz="0" w:space="0" w:color="auto"/>
            <w:bottom w:val="none" w:sz="0" w:space="0" w:color="auto"/>
            <w:right w:val="none" w:sz="0" w:space="0" w:color="auto"/>
          </w:divBdr>
          <w:divsChild>
            <w:div w:id="684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3799">
      <w:bodyDiv w:val="1"/>
      <w:marLeft w:val="0"/>
      <w:marRight w:val="0"/>
      <w:marTop w:val="0"/>
      <w:marBottom w:val="0"/>
      <w:divBdr>
        <w:top w:val="none" w:sz="0" w:space="0" w:color="auto"/>
        <w:left w:val="none" w:sz="0" w:space="0" w:color="auto"/>
        <w:bottom w:val="none" w:sz="0" w:space="0" w:color="auto"/>
        <w:right w:val="none" w:sz="0" w:space="0" w:color="auto"/>
      </w:divBdr>
      <w:divsChild>
        <w:div w:id="822501846">
          <w:marLeft w:val="0"/>
          <w:marRight w:val="0"/>
          <w:marTop w:val="0"/>
          <w:marBottom w:val="0"/>
          <w:divBdr>
            <w:top w:val="none" w:sz="0" w:space="0" w:color="auto"/>
            <w:left w:val="none" w:sz="0" w:space="0" w:color="auto"/>
            <w:bottom w:val="none" w:sz="0" w:space="0" w:color="auto"/>
            <w:right w:val="none" w:sz="0" w:space="0" w:color="auto"/>
          </w:divBdr>
          <w:divsChild>
            <w:div w:id="136390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chart" Target="charts/chart3.xml"/><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jpe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chart" Target="charts/chart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r>
              <a:rPr lang="es-ES"/>
              <a:t>Appropriate roof</a:t>
            </a:r>
            <a:r>
              <a:rPr lang="es-ES" baseline="0"/>
              <a:t> area</a:t>
            </a:r>
            <a:endParaRPr lang="es-ES"/>
          </a:p>
        </c:rich>
      </c:tx>
      <c:overlay val="0"/>
      <c:spPr>
        <a:noFill/>
        <a:ln>
          <a:noFill/>
        </a:ln>
        <a:effectLst/>
      </c:spPr>
      <c:txPr>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tx>
            <c:strRef>
              <c:f>Hoja1!$B$3</c:f>
              <c:strCache>
                <c:ptCount val="1"/>
                <c:pt idx="0">
                  <c:v>Área de tejado (m2)</c:v>
                </c:pt>
              </c:strCache>
            </c:strRef>
          </c:tx>
          <c:spPr>
            <a:solidFill>
              <a:schemeClr val="accent1"/>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Hoja1!$B$4:$B$7</c:f>
              <c:numCache>
                <c:formatCode>#,##0</c:formatCode>
                <c:ptCount val="4"/>
                <c:pt idx="0">
                  <c:v>1887138</c:v>
                </c:pt>
                <c:pt idx="1">
                  <c:v>368770</c:v>
                </c:pt>
                <c:pt idx="2">
                  <c:v>277618</c:v>
                </c:pt>
                <c:pt idx="3">
                  <c:v>221815</c:v>
                </c:pt>
              </c:numCache>
            </c:numRef>
          </c:val>
          <c:extLst>
            <c:ext xmlns:c16="http://schemas.microsoft.com/office/drawing/2014/chart" uri="{C3380CC4-5D6E-409C-BE32-E72D297353CC}">
              <c16:uniqueId val="{00000000-BA12-4F83-B9A6-AF7CC2465DBC}"/>
            </c:ext>
          </c:extLst>
        </c:ser>
        <c:ser>
          <c:idx val="1"/>
          <c:order val="1"/>
          <c:tx>
            <c:strRef>
              <c:f>Hoja1!$C$3</c:f>
              <c:strCache>
                <c:ptCount val="1"/>
                <c:pt idx="0">
                  <c:v>Área de tejado apropiada (m2)</c:v>
                </c:pt>
              </c:strCache>
            </c:strRef>
          </c:tx>
          <c:spPr>
            <a:solidFill>
              <a:schemeClr val="accent3"/>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Hoja1!$C$4:$C$7</c:f>
              <c:numCache>
                <c:formatCode>#,##0</c:formatCode>
                <c:ptCount val="4"/>
                <c:pt idx="0">
                  <c:v>988278</c:v>
                </c:pt>
                <c:pt idx="1">
                  <c:v>277475</c:v>
                </c:pt>
                <c:pt idx="2">
                  <c:v>192234</c:v>
                </c:pt>
                <c:pt idx="3">
                  <c:v>162146</c:v>
                </c:pt>
              </c:numCache>
            </c:numRef>
          </c:val>
          <c:extLst>
            <c:ext xmlns:c16="http://schemas.microsoft.com/office/drawing/2014/chart" uri="{C3380CC4-5D6E-409C-BE32-E72D297353CC}">
              <c16:uniqueId val="{00000001-BA12-4F83-B9A6-AF7CC2465DBC}"/>
            </c:ext>
          </c:extLst>
        </c:ser>
        <c:dLbls>
          <c:showLegendKey val="0"/>
          <c:showVal val="0"/>
          <c:showCatName val="0"/>
          <c:showSerName val="0"/>
          <c:showPercent val="0"/>
          <c:showBubbleSize val="0"/>
        </c:dLbls>
        <c:gapWidth val="269"/>
        <c:overlap val="-27"/>
        <c:axId val="741840335"/>
        <c:axId val="741843663"/>
      </c:barChart>
      <c:lineChart>
        <c:grouping val="standard"/>
        <c:varyColors val="0"/>
        <c:ser>
          <c:idx val="2"/>
          <c:order val="2"/>
          <c:tx>
            <c:strRef>
              <c:f>Hoja1!$D$3</c:f>
              <c:strCache>
                <c:ptCount val="1"/>
                <c:pt idx="0">
                  <c:v>Prorcentaje tejado apropiado</c:v>
                </c:pt>
              </c:strCache>
            </c:strRef>
          </c:tx>
          <c:spPr>
            <a:ln w="38100" cap="rnd">
              <a:solidFill>
                <a:schemeClr val="accent5"/>
              </a:solidFill>
              <a:round/>
            </a:ln>
            <a:effectLst/>
          </c:spPr>
          <c:marker>
            <c:symbol val="none"/>
          </c:marker>
          <c:cat>
            <c:strRef>
              <c:f>Hoja1!$A$4:$A$7</c:f>
              <c:strCache>
                <c:ptCount val="4"/>
                <c:pt idx="0">
                  <c:v>Residencial</c:v>
                </c:pt>
                <c:pt idx="1">
                  <c:v>Industrial</c:v>
                </c:pt>
                <c:pt idx="2">
                  <c:v>Comercial</c:v>
                </c:pt>
                <c:pt idx="3">
                  <c:v>Servicios Públicos</c:v>
                </c:pt>
              </c:strCache>
            </c:strRef>
          </c:cat>
          <c:val>
            <c:numRef>
              <c:f>Hoja1!$D$4:$D$7</c:f>
              <c:numCache>
                <c:formatCode>0%</c:formatCode>
                <c:ptCount val="4"/>
                <c:pt idx="0">
                  <c:v>0.5236914311512989</c:v>
                </c:pt>
                <c:pt idx="1">
                  <c:v>0.75243376630420045</c:v>
                </c:pt>
                <c:pt idx="2">
                  <c:v>0.69244069188597279</c:v>
                </c:pt>
                <c:pt idx="3">
                  <c:v>0.73099655118003737</c:v>
                </c:pt>
              </c:numCache>
            </c:numRef>
          </c:val>
          <c:smooth val="0"/>
          <c:extLst>
            <c:ext xmlns:c16="http://schemas.microsoft.com/office/drawing/2014/chart" uri="{C3380CC4-5D6E-409C-BE32-E72D297353CC}">
              <c16:uniqueId val="{00000002-BA12-4F83-B9A6-AF7CC2465DBC}"/>
            </c:ext>
          </c:extLst>
        </c:ser>
        <c:dLbls>
          <c:showLegendKey val="0"/>
          <c:showVal val="0"/>
          <c:showCatName val="0"/>
          <c:showSerName val="0"/>
          <c:showPercent val="0"/>
          <c:showBubbleSize val="0"/>
        </c:dLbls>
        <c:marker val="1"/>
        <c:smooth val="0"/>
        <c:axId val="741844079"/>
        <c:axId val="741845743"/>
      </c:lineChart>
      <c:catAx>
        <c:axId val="74184033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1" i="0" u="none" strike="noStrike" kern="1200" cap="none" spc="0" normalizeH="0" baseline="0">
                <a:solidFill>
                  <a:schemeClr val="tx1">
                    <a:lumMod val="65000"/>
                    <a:lumOff val="35000"/>
                  </a:schemeClr>
                </a:solidFill>
                <a:latin typeface="+mn-lt"/>
                <a:ea typeface="+mn-ea"/>
                <a:cs typeface="+mn-cs"/>
              </a:defRPr>
            </a:pPr>
            <a:endParaRPr lang="es-ES"/>
          </a:p>
        </c:txPr>
        <c:crossAx val="741843663"/>
        <c:crosses val="autoZero"/>
        <c:auto val="1"/>
        <c:lblAlgn val="ctr"/>
        <c:lblOffset val="100"/>
        <c:noMultiLvlLbl val="0"/>
      </c:catAx>
      <c:valAx>
        <c:axId val="741843663"/>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Area (m2)</a:t>
                </a:r>
              </a:p>
            </c:rich>
          </c:tx>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0335"/>
        <c:crosses val="autoZero"/>
        <c:crossBetween val="between"/>
      </c:valAx>
      <c:valAx>
        <c:axId val="741845743"/>
        <c:scaling>
          <c:orientation val="minMax"/>
        </c:scaling>
        <c:delete val="0"/>
        <c:axPos val="r"/>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Porcentaje de tejado apropiado</a:t>
                </a:r>
              </a:p>
            </c:rich>
          </c:tx>
          <c:layout>
            <c:manualLayout>
              <c:xMode val="edge"/>
              <c:yMode val="edge"/>
              <c:x val="0.93870166229221352"/>
              <c:y val="0.25658004461154071"/>
            </c:manualLayout>
          </c:layout>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4079"/>
        <c:crosses val="max"/>
        <c:crossBetween val="between"/>
      </c:valAx>
      <c:catAx>
        <c:axId val="741844079"/>
        <c:scaling>
          <c:orientation val="minMax"/>
        </c:scaling>
        <c:delete val="1"/>
        <c:axPos val="b"/>
        <c:numFmt formatCode="General" sourceLinked="1"/>
        <c:majorTickMark val="out"/>
        <c:minorTickMark val="none"/>
        <c:tickLblPos val="nextTo"/>
        <c:crossAx val="741845743"/>
        <c:crosses val="autoZero"/>
        <c:auto val="1"/>
        <c:lblAlgn val="ctr"/>
        <c:lblOffset val="100"/>
        <c:noMultiLvlLbl val="0"/>
      </c:catAx>
      <c:spPr>
        <a:noFill/>
        <a:ln>
          <a:noFill/>
        </a:ln>
        <a:effectLst/>
      </c:spPr>
    </c:plotArea>
    <c:legend>
      <c:legendPos val="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b="1"/>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aseline="0"/>
              <a:t>Surface of the suitable roofs </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Hoja1!$A$41</c:f>
              <c:strCache>
                <c:ptCount val="1"/>
                <c:pt idx="0">
                  <c:v>Residencial</c:v>
                </c:pt>
              </c:strCache>
            </c:strRef>
          </c:tx>
          <c:spPr>
            <a:solidFill>
              <a:schemeClr val="accent1"/>
            </a:solidFill>
            <a:ln>
              <a:noFill/>
            </a:ln>
            <a:effectLst/>
          </c:spPr>
          <c:invertIfNegative val="0"/>
          <c:cat>
            <c:strRef>
              <c:f>Hoja1!$B$45:$E$45</c:f>
              <c:strCache>
                <c:ptCount val="4"/>
                <c:pt idx="0">
                  <c:v>0-100 m2</c:v>
                </c:pt>
                <c:pt idx="1">
                  <c:v>100-300 m2</c:v>
                </c:pt>
                <c:pt idx="2">
                  <c:v>300-800 m2</c:v>
                </c:pt>
                <c:pt idx="3">
                  <c:v>&gt;800 m2</c:v>
                </c:pt>
              </c:strCache>
            </c:strRef>
          </c:cat>
          <c:val>
            <c:numRef>
              <c:f>Hoja1!$B$41:$E$41</c:f>
              <c:numCache>
                <c:formatCode>0%</c:formatCode>
                <c:ptCount val="4"/>
                <c:pt idx="0">
                  <c:v>0.22784608015328117</c:v>
                </c:pt>
                <c:pt idx="1">
                  <c:v>0.54255149289477889</c:v>
                </c:pt>
                <c:pt idx="2">
                  <c:v>0.15088615679386874</c:v>
                </c:pt>
                <c:pt idx="3">
                  <c:v>7.8716270158071214E-2</c:v>
                </c:pt>
              </c:numCache>
            </c:numRef>
          </c:val>
          <c:extLst>
            <c:ext xmlns:c16="http://schemas.microsoft.com/office/drawing/2014/chart" uri="{C3380CC4-5D6E-409C-BE32-E72D297353CC}">
              <c16:uniqueId val="{00000000-314E-4D83-8A7F-E848059E4CB2}"/>
            </c:ext>
          </c:extLst>
        </c:ser>
        <c:ser>
          <c:idx val="1"/>
          <c:order val="1"/>
          <c:tx>
            <c:strRef>
              <c:f>Hoja1!$A$42</c:f>
              <c:strCache>
                <c:ptCount val="1"/>
                <c:pt idx="0">
                  <c:v>Industrial</c:v>
                </c:pt>
              </c:strCache>
            </c:strRef>
          </c:tx>
          <c:spPr>
            <a:solidFill>
              <a:schemeClr val="accent2"/>
            </a:solidFill>
            <a:ln>
              <a:noFill/>
            </a:ln>
            <a:effectLst/>
          </c:spPr>
          <c:invertIfNegative val="0"/>
          <c:cat>
            <c:strRef>
              <c:f>Hoja1!$B$45:$E$45</c:f>
              <c:strCache>
                <c:ptCount val="4"/>
                <c:pt idx="0">
                  <c:v>0-100 m2</c:v>
                </c:pt>
                <c:pt idx="1">
                  <c:v>100-300 m2</c:v>
                </c:pt>
                <c:pt idx="2">
                  <c:v>300-800 m2</c:v>
                </c:pt>
                <c:pt idx="3">
                  <c:v>&gt;800 m2</c:v>
                </c:pt>
              </c:strCache>
            </c:strRef>
          </c:cat>
          <c:val>
            <c:numRef>
              <c:f>Hoja1!$B$42:$E$42</c:f>
              <c:numCache>
                <c:formatCode>0%</c:formatCode>
                <c:ptCount val="4"/>
                <c:pt idx="0">
                  <c:v>0.19810040705563092</c:v>
                </c:pt>
                <c:pt idx="1">
                  <c:v>0.28900949796472186</c:v>
                </c:pt>
                <c:pt idx="2">
                  <c:v>0.23066485753052918</c:v>
                </c:pt>
                <c:pt idx="3">
                  <c:v>0.28222523744911804</c:v>
                </c:pt>
              </c:numCache>
            </c:numRef>
          </c:val>
          <c:extLst>
            <c:ext xmlns:c16="http://schemas.microsoft.com/office/drawing/2014/chart" uri="{C3380CC4-5D6E-409C-BE32-E72D297353CC}">
              <c16:uniqueId val="{00000001-314E-4D83-8A7F-E848059E4CB2}"/>
            </c:ext>
          </c:extLst>
        </c:ser>
        <c:ser>
          <c:idx val="2"/>
          <c:order val="2"/>
          <c:tx>
            <c:strRef>
              <c:f>Hoja1!$A$43</c:f>
              <c:strCache>
                <c:ptCount val="1"/>
                <c:pt idx="0">
                  <c:v>Comercial</c:v>
                </c:pt>
              </c:strCache>
            </c:strRef>
          </c:tx>
          <c:spPr>
            <a:solidFill>
              <a:schemeClr val="accent3"/>
            </a:solidFill>
            <a:ln>
              <a:noFill/>
            </a:ln>
            <a:effectLst/>
          </c:spPr>
          <c:invertIfNegative val="0"/>
          <c:cat>
            <c:strRef>
              <c:f>Hoja1!$B$45:$E$45</c:f>
              <c:strCache>
                <c:ptCount val="4"/>
                <c:pt idx="0">
                  <c:v>0-100 m2</c:v>
                </c:pt>
                <c:pt idx="1">
                  <c:v>100-300 m2</c:v>
                </c:pt>
                <c:pt idx="2">
                  <c:v>300-800 m2</c:v>
                </c:pt>
                <c:pt idx="3">
                  <c:v>&gt;800 m2</c:v>
                </c:pt>
              </c:strCache>
            </c:strRef>
          </c:cat>
          <c:val>
            <c:numRef>
              <c:f>Hoja1!$B$43:$E$43</c:f>
              <c:numCache>
                <c:formatCode>0%</c:formatCode>
                <c:ptCount val="4"/>
                <c:pt idx="0">
                  <c:v>0.17096018735362997</c:v>
                </c:pt>
                <c:pt idx="1">
                  <c:v>0.31615925058548011</c:v>
                </c:pt>
                <c:pt idx="2">
                  <c:v>0.23653395784543327</c:v>
                </c:pt>
                <c:pt idx="3">
                  <c:v>0.27634660421545665</c:v>
                </c:pt>
              </c:numCache>
            </c:numRef>
          </c:val>
          <c:extLst>
            <c:ext xmlns:c16="http://schemas.microsoft.com/office/drawing/2014/chart" uri="{C3380CC4-5D6E-409C-BE32-E72D297353CC}">
              <c16:uniqueId val="{00000002-314E-4D83-8A7F-E848059E4CB2}"/>
            </c:ext>
          </c:extLst>
        </c:ser>
        <c:ser>
          <c:idx val="3"/>
          <c:order val="3"/>
          <c:tx>
            <c:strRef>
              <c:f>Hoja1!$A$44</c:f>
              <c:strCache>
                <c:ptCount val="1"/>
                <c:pt idx="0">
                  <c:v>Servicios Públicos</c:v>
                </c:pt>
              </c:strCache>
            </c:strRef>
          </c:tx>
          <c:spPr>
            <a:solidFill>
              <a:schemeClr val="accent4"/>
            </a:solidFill>
            <a:ln>
              <a:noFill/>
            </a:ln>
            <a:effectLst/>
          </c:spPr>
          <c:invertIfNegative val="0"/>
          <c:cat>
            <c:strRef>
              <c:f>Hoja1!$B$45:$E$45</c:f>
              <c:strCache>
                <c:ptCount val="4"/>
                <c:pt idx="0">
                  <c:v>0-100 m2</c:v>
                </c:pt>
                <c:pt idx="1">
                  <c:v>100-300 m2</c:v>
                </c:pt>
                <c:pt idx="2">
                  <c:v>300-800 m2</c:v>
                </c:pt>
                <c:pt idx="3">
                  <c:v>&gt;800 m2</c:v>
                </c:pt>
              </c:strCache>
            </c:strRef>
          </c:cat>
          <c:val>
            <c:numRef>
              <c:f>Hoja1!$B$44:$E$44</c:f>
              <c:numCache>
                <c:formatCode>0%</c:formatCode>
                <c:ptCount val="4"/>
                <c:pt idx="0">
                  <c:v>5.2631578947368418E-2</c:v>
                </c:pt>
                <c:pt idx="1">
                  <c:v>0.20394736842105263</c:v>
                </c:pt>
                <c:pt idx="2">
                  <c:v>0.28289473684210525</c:v>
                </c:pt>
                <c:pt idx="3">
                  <c:v>0.46052631578947367</c:v>
                </c:pt>
              </c:numCache>
            </c:numRef>
          </c:val>
          <c:extLst>
            <c:ext xmlns:c16="http://schemas.microsoft.com/office/drawing/2014/chart" uri="{C3380CC4-5D6E-409C-BE32-E72D297353CC}">
              <c16:uniqueId val="{00000003-314E-4D83-8A7F-E848059E4CB2}"/>
            </c:ext>
          </c:extLst>
        </c:ser>
        <c:dLbls>
          <c:showLegendKey val="0"/>
          <c:showVal val="0"/>
          <c:showCatName val="0"/>
          <c:showSerName val="0"/>
          <c:showPercent val="0"/>
          <c:showBubbleSize val="0"/>
        </c:dLbls>
        <c:gapWidth val="219"/>
        <c:overlap val="-27"/>
        <c:axId val="737708591"/>
        <c:axId val="737705679"/>
      </c:barChart>
      <c:catAx>
        <c:axId val="73770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5679"/>
        <c:crosses val="autoZero"/>
        <c:auto val="1"/>
        <c:lblAlgn val="ctr"/>
        <c:lblOffset val="100"/>
        <c:noMultiLvlLbl val="0"/>
      </c:catAx>
      <c:valAx>
        <c:axId val="737705679"/>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customXml/itemProps2.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customXml/itemProps3.xml><?xml version="1.0" encoding="utf-8"?>
<ds:datastoreItem xmlns:ds="http://schemas.openxmlformats.org/officeDocument/2006/customXml" ds:itemID="{F095F9B3-F93D-429B-9AB6-01E3477EFE4E}">
  <ds:schemaRefs>
    <ds:schemaRef ds:uri="http://schemas.microsoft.com/sharepoint/v3/contenttype/forms"/>
  </ds:schemaRefs>
</ds:datastoreItem>
</file>

<file path=customXml/itemProps4.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12</Pages>
  <Words>2017</Words>
  <Characters>11095</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cp:lastModifiedBy>
  <cp:revision>27</cp:revision>
  <dcterms:created xsi:type="dcterms:W3CDTF">2024-09-19T12:39:00Z</dcterms:created>
  <dcterms:modified xsi:type="dcterms:W3CDTF">2025-06-12T07:47:00Z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