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178FDA1" w:rsidR="00DC6FEA" w:rsidRDefault="00D1554B">
      <w:pPr>
        <w:rPr>
          <w:color w:val="FF0000"/>
        </w:rPr>
      </w:pPr>
      <w:r>
        <w:rPr>
          <w:color w:val="FF0000"/>
        </w:rPr>
        <w:t>January</w:t>
      </w:r>
      <w:r w:rsidR="0064417A">
        <w:rPr>
          <w:color w:val="FF0000"/>
        </w:rPr>
        <w:t xml:space="preserve"> </w:t>
      </w:r>
      <w:r w:rsidR="00494DEE">
        <w:rPr>
          <w:color w:val="FF0000"/>
        </w:rPr>
        <w:t>20</w:t>
      </w:r>
      <w:bookmarkStart w:id="1" w:name="_GoBack"/>
      <w:bookmarkEnd w:id="1"/>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00494DEE">
        <w:fldChar w:fldCharType="begin"/>
      </w:r>
      <w:r w:rsidR="00494DEE">
        <w:instrText xml:space="preserve"> HYPERLINK "http://dx.doi.org/10.5066/F7R20ZFJ" \t "_blank" </w:instrText>
      </w:r>
      <w:r w:rsidR="00494DEE">
        <w:fldChar w:fldCharType="separate"/>
      </w:r>
      <w:r w:rsidRPr="00E76DCC">
        <w:rPr>
          <w:rStyle w:val="Hyperlink"/>
          <w:i w:val="0"/>
        </w:rPr>
        <w:t>http://dx.doi.org/10.5066/F7R20ZFJ</w:t>
      </w:r>
      <w:r w:rsidR="00494DEE">
        <w:rPr>
          <w:rStyle w:val="Hyperlink"/>
          <w:i w:val="0"/>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57A51" w:rsidR="000349DD" w:rsidRPr="000349DD" w:rsidRDefault="000349DD" w:rsidP="000349DD">
      <w:r w:rsidRPr="000349DD">
        <w:t>Panday, Sorab, Langevin, C.D., Niswonger, R.G., Ibaraki, Motomu, and Hughes, J.D., 2015, MODFLOW-USG version 1.</w:t>
      </w:r>
      <w:r w:rsidR="00AE2F1E">
        <w:t>4</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14</w:t>
      </w:r>
      <w:r w:rsidRPr="000349DD">
        <w:t xml:space="preserve"> </w:t>
      </w:r>
      <w:r w:rsidR="00AE2F1E">
        <w:t xml:space="preserve">January </w:t>
      </w:r>
      <w:r w:rsidRPr="000349DD">
        <w:t>201</w:t>
      </w:r>
      <w:r w:rsidR="00AE2F1E">
        <w:t>7</w:t>
      </w:r>
      <w:r w:rsidRPr="000349DD">
        <w:t xml:space="preserve">, </w:t>
      </w:r>
      <w:r w:rsidR="00494DEE">
        <w:fldChar w:fldCharType="begin"/>
      </w:r>
      <w:r w:rsidR="00494DEE">
        <w:instrText xml:space="preserve"> HYPERLINK "http://dx.doi.org/10.5066/F7R20ZFJ" \t "_blank" </w:instrText>
      </w:r>
      <w:r w:rsidR="00494DEE">
        <w:fldChar w:fldCharType="separate"/>
      </w:r>
      <w:r w:rsidRPr="000349DD">
        <w:rPr>
          <w:rStyle w:val="Hyperlink"/>
        </w:rPr>
        <w:t>http://dx.doi.org/10.5066/F7R20ZFJ</w:t>
      </w:r>
      <w:r w:rsidR="00494DEE">
        <w:rPr>
          <w:rStyle w:val="Hyperlink"/>
        </w:rPr>
        <w:fldChar w:fldCharType="end"/>
      </w:r>
    </w:p>
    <w:p w14:paraId="7D82C4C2" w14:textId="77777777" w:rsidR="000349DD" w:rsidRPr="000349DD" w:rsidRDefault="000349DD"/>
    <w:p w14:paraId="3B9FA8CE" w14:textId="77777777" w:rsidR="00DC6FEA" w:rsidRDefault="00FF3EE4">
      <w:pPr>
        <w:pStyle w:val="Heading1"/>
      </w:pPr>
      <w:r>
        <w:br w:type="page"/>
      </w:r>
      <w:bookmarkStart w:id="2" w:name="_Toc471825064"/>
      <w:r>
        <w:lastRenderedPageBreak/>
        <w:t>Contents</w:t>
      </w:r>
      <w:bookmarkEnd w:id="2"/>
    </w:p>
    <w:p w14:paraId="179B6A6C" w14:textId="77777777" w:rsidR="00303FFD" w:rsidRDefault="006B6FEE">
      <w:pPr>
        <w:pStyle w:val="TOC1"/>
        <w:rPr>
          <w:rFonts w:asciiTheme="minorHAnsi" w:eastAsiaTheme="minorEastAsia" w:hAnsiTheme="minorHAnsi" w:cstheme="minorBidi"/>
          <w:noProof/>
          <w:sz w:val="22"/>
          <w:szCs w:val="22"/>
        </w:rPr>
      </w:pPr>
      <w:r>
        <w:fldChar w:fldCharType="begin"/>
      </w:r>
      <w:r w:rsidR="00FF3EE4">
        <w:instrText xml:space="preserve"> TOC \o "1-3" \h \z \u </w:instrText>
      </w:r>
      <w:r>
        <w:fldChar w:fldCharType="separate"/>
      </w:r>
      <w:hyperlink w:anchor="_Toc471825064" w:history="1">
        <w:r w:rsidR="00303FFD" w:rsidRPr="00AC3297">
          <w:rPr>
            <w:rStyle w:val="Hyperlink"/>
            <w:noProof/>
          </w:rPr>
          <w:t>Contents</w:t>
        </w:r>
        <w:r w:rsidR="00303FFD">
          <w:rPr>
            <w:noProof/>
            <w:webHidden/>
          </w:rPr>
          <w:tab/>
        </w:r>
        <w:r w:rsidR="00303FFD">
          <w:rPr>
            <w:noProof/>
            <w:webHidden/>
          </w:rPr>
          <w:fldChar w:fldCharType="begin"/>
        </w:r>
        <w:r w:rsidR="00303FFD">
          <w:rPr>
            <w:noProof/>
            <w:webHidden/>
          </w:rPr>
          <w:instrText xml:space="preserve"> PAGEREF _Toc471825064 \h </w:instrText>
        </w:r>
        <w:r w:rsidR="00303FFD">
          <w:rPr>
            <w:noProof/>
            <w:webHidden/>
          </w:rPr>
        </w:r>
        <w:r w:rsidR="00303FFD">
          <w:rPr>
            <w:noProof/>
            <w:webHidden/>
          </w:rPr>
          <w:fldChar w:fldCharType="separate"/>
        </w:r>
        <w:r w:rsidR="001710BD">
          <w:rPr>
            <w:noProof/>
            <w:webHidden/>
          </w:rPr>
          <w:t>2</w:t>
        </w:r>
        <w:r w:rsidR="00303FFD">
          <w:rPr>
            <w:noProof/>
            <w:webHidden/>
          </w:rPr>
          <w:fldChar w:fldCharType="end"/>
        </w:r>
      </w:hyperlink>
    </w:p>
    <w:p w14:paraId="404E7DE3" w14:textId="77777777" w:rsidR="00303FFD" w:rsidRDefault="00494DEE">
      <w:pPr>
        <w:pStyle w:val="TOC1"/>
        <w:rPr>
          <w:rFonts w:asciiTheme="minorHAnsi" w:eastAsiaTheme="minorEastAsia" w:hAnsiTheme="minorHAnsi" w:cstheme="minorBidi"/>
          <w:noProof/>
          <w:sz w:val="22"/>
          <w:szCs w:val="22"/>
        </w:rPr>
      </w:pPr>
      <w:hyperlink w:anchor="_Toc471825065" w:history="1">
        <w:r w:rsidR="00303FFD" w:rsidRPr="00AC3297">
          <w:rPr>
            <w:rStyle w:val="Hyperlink"/>
            <w:noProof/>
          </w:rPr>
          <w:t>Description of MODFLOW-USG Input Files</w:t>
        </w:r>
        <w:r w:rsidR="00303FFD">
          <w:rPr>
            <w:noProof/>
            <w:webHidden/>
          </w:rPr>
          <w:tab/>
        </w:r>
        <w:r w:rsidR="00303FFD">
          <w:rPr>
            <w:noProof/>
            <w:webHidden/>
          </w:rPr>
          <w:fldChar w:fldCharType="begin"/>
        </w:r>
        <w:r w:rsidR="00303FFD">
          <w:rPr>
            <w:noProof/>
            <w:webHidden/>
          </w:rPr>
          <w:instrText xml:space="preserve"> PAGEREF _Toc471825065 \h </w:instrText>
        </w:r>
        <w:r w:rsidR="00303FFD">
          <w:rPr>
            <w:noProof/>
            <w:webHidden/>
          </w:rPr>
        </w:r>
        <w:r w:rsidR="00303FFD">
          <w:rPr>
            <w:noProof/>
            <w:webHidden/>
          </w:rPr>
          <w:fldChar w:fldCharType="separate"/>
        </w:r>
        <w:r w:rsidR="001710BD">
          <w:rPr>
            <w:noProof/>
            <w:webHidden/>
          </w:rPr>
          <w:t>3</w:t>
        </w:r>
        <w:r w:rsidR="00303FFD">
          <w:rPr>
            <w:noProof/>
            <w:webHidden/>
          </w:rPr>
          <w:fldChar w:fldCharType="end"/>
        </w:r>
      </w:hyperlink>
    </w:p>
    <w:p w14:paraId="1E404057"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66" w:history="1">
        <w:r w:rsidR="00303FFD" w:rsidRPr="00AC3297">
          <w:rPr>
            <w:rStyle w:val="Hyperlink"/>
            <w:noProof/>
          </w:rPr>
          <w:t>Basic (BAS) Package Input Instructions</w:t>
        </w:r>
        <w:r w:rsidR="00303FFD">
          <w:rPr>
            <w:noProof/>
            <w:webHidden/>
          </w:rPr>
          <w:tab/>
        </w:r>
        <w:r w:rsidR="00303FFD">
          <w:rPr>
            <w:noProof/>
            <w:webHidden/>
          </w:rPr>
          <w:fldChar w:fldCharType="begin"/>
        </w:r>
        <w:r w:rsidR="00303FFD">
          <w:rPr>
            <w:noProof/>
            <w:webHidden/>
          </w:rPr>
          <w:instrText xml:space="preserve"> PAGEREF _Toc471825066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21F0F90A"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67" w:history="1">
        <w:r w:rsidR="00303FFD" w:rsidRPr="00AC3297">
          <w:rPr>
            <w:rStyle w:val="Hyperlink"/>
            <w:noProof/>
          </w:rPr>
          <w:t>Name File</w:t>
        </w:r>
        <w:r w:rsidR="00303FFD">
          <w:rPr>
            <w:noProof/>
            <w:webHidden/>
          </w:rPr>
          <w:tab/>
        </w:r>
        <w:r w:rsidR="00303FFD">
          <w:rPr>
            <w:noProof/>
            <w:webHidden/>
          </w:rPr>
          <w:fldChar w:fldCharType="begin"/>
        </w:r>
        <w:r w:rsidR="00303FFD">
          <w:rPr>
            <w:noProof/>
            <w:webHidden/>
          </w:rPr>
          <w:instrText xml:space="preserve"> PAGEREF _Toc471825067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348EA749"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68" w:history="1">
        <w:r w:rsidR="00303FFD" w:rsidRPr="00AC3297">
          <w:rPr>
            <w:rStyle w:val="Hyperlink"/>
            <w:noProof/>
          </w:rPr>
          <w:t>Basic (BAS6) Package File</w:t>
        </w:r>
        <w:r w:rsidR="00303FFD">
          <w:rPr>
            <w:noProof/>
            <w:webHidden/>
          </w:rPr>
          <w:tab/>
        </w:r>
        <w:r w:rsidR="00303FFD">
          <w:rPr>
            <w:noProof/>
            <w:webHidden/>
          </w:rPr>
          <w:fldChar w:fldCharType="begin"/>
        </w:r>
        <w:r w:rsidR="00303FFD">
          <w:rPr>
            <w:noProof/>
            <w:webHidden/>
          </w:rPr>
          <w:instrText xml:space="preserve"> PAGEREF _Toc471825068 \h </w:instrText>
        </w:r>
        <w:r w:rsidR="00303FFD">
          <w:rPr>
            <w:noProof/>
            <w:webHidden/>
          </w:rPr>
        </w:r>
        <w:r w:rsidR="00303FFD">
          <w:rPr>
            <w:noProof/>
            <w:webHidden/>
          </w:rPr>
          <w:fldChar w:fldCharType="separate"/>
        </w:r>
        <w:r w:rsidR="001710BD">
          <w:rPr>
            <w:noProof/>
            <w:webHidden/>
          </w:rPr>
          <w:t>6</w:t>
        </w:r>
        <w:r w:rsidR="00303FFD">
          <w:rPr>
            <w:noProof/>
            <w:webHidden/>
          </w:rPr>
          <w:fldChar w:fldCharType="end"/>
        </w:r>
      </w:hyperlink>
    </w:p>
    <w:p w14:paraId="5FB46D44"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69" w:history="1">
        <w:r w:rsidR="00303FFD" w:rsidRPr="00AC3297">
          <w:rPr>
            <w:rStyle w:val="Hyperlink"/>
            <w:noProof/>
          </w:rPr>
          <w:t>Multiplier Array (MULT) File</w:t>
        </w:r>
        <w:r w:rsidR="00303FFD">
          <w:rPr>
            <w:noProof/>
            <w:webHidden/>
          </w:rPr>
          <w:tab/>
        </w:r>
        <w:r w:rsidR="00303FFD">
          <w:rPr>
            <w:noProof/>
            <w:webHidden/>
          </w:rPr>
          <w:fldChar w:fldCharType="begin"/>
        </w:r>
        <w:r w:rsidR="00303FFD">
          <w:rPr>
            <w:noProof/>
            <w:webHidden/>
          </w:rPr>
          <w:instrText xml:space="preserve"> PAGEREF _Toc471825069 \h </w:instrText>
        </w:r>
        <w:r w:rsidR="00303FFD">
          <w:rPr>
            <w:noProof/>
            <w:webHidden/>
          </w:rPr>
        </w:r>
        <w:r w:rsidR="00303FFD">
          <w:rPr>
            <w:noProof/>
            <w:webHidden/>
          </w:rPr>
          <w:fldChar w:fldCharType="separate"/>
        </w:r>
        <w:r w:rsidR="001710BD">
          <w:rPr>
            <w:noProof/>
            <w:webHidden/>
          </w:rPr>
          <w:t>8</w:t>
        </w:r>
        <w:r w:rsidR="00303FFD">
          <w:rPr>
            <w:noProof/>
            <w:webHidden/>
          </w:rPr>
          <w:fldChar w:fldCharType="end"/>
        </w:r>
      </w:hyperlink>
    </w:p>
    <w:p w14:paraId="27D0AA10"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0" w:history="1">
        <w:r w:rsidR="00303FFD" w:rsidRPr="00AC3297">
          <w:rPr>
            <w:rStyle w:val="Hyperlink"/>
            <w:noProof/>
          </w:rPr>
          <w:t>Zone Array (ZONE) File</w:t>
        </w:r>
        <w:r w:rsidR="00303FFD">
          <w:rPr>
            <w:noProof/>
            <w:webHidden/>
          </w:rPr>
          <w:tab/>
        </w:r>
        <w:r w:rsidR="00303FFD">
          <w:rPr>
            <w:noProof/>
            <w:webHidden/>
          </w:rPr>
          <w:fldChar w:fldCharType="begin"/>
        </w:r>
        <w:r w:rsidR="00303FFD">
          <w:rPr>
            <w:noProof/>
            <w:webHidden/>
          </w:rPr>
          <w:instrText xml:space="preserve"> PAGEREF _Toc471825070 \h </w:instrText>
        </w:r>
        <w:r w:rsidR="00303FFD">
          <w:rPr>
            <w:noProof/>
            <w:webHidden/>
          </w:rPr>
        </w:r>
        <w:r w:rsidR="00303FFD">
          <w:rPr>
            <w:noProof/>
            <w:webHidden/>
          </w:rPr>
          <w:fldChar w:fldCharType="separate"/>
        </w:r>
        <w:r w:rsidR="001710BD">
          <w:rPr>
            <w:noProof/>
            <w:webHidden/>
          </w:rPr>
          <w:t>10</w:t>
        </w:r>
        <w:r w:rsidR="00303FFD">
          <w:rPr>
            <w:noProof/>
            <w:webHidden/>
          </w:rPr>
          <w:fldChar w:fldCharType="end"/>
        </w:r>
      </w:hyperlink>
    </w:p>
    <w:p w14:paraId="0B18F1EC"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1" w:history="1">
        <w:r w:rsidR="00303FFD" w:rsidRPr="00AC3297">
          <w:rPr>
            <w:rStyle w:val="Hyperlink"/>
            <w:noProof/>
          </w:rPr>
          <w:t>Time-Variant Specified-Head (CHD) Option</w:t>
        </w:r>
        <w:r w:rsidR="00303FFD">
          <w:rPr>
            <w:noProof/>
            <w:webHidden/>
          </w:rPr>
          <w:tab/>
        </w:r>
        <w:r w:rsidR="00303FFD">
          <w:rPr>
            <w:noProof/>
            <w:webHidden/>
          </w:rPr>
          <w:fldChar w:fldCharType="begin"/>
        </w:r>
        <w:r w:rsidR="00303FFD">
          <w:rPr>
            <w:noProof/>
            <w:webHidden/>
          </w:rPr>
          <w:instrText xml:space="preserve"> PAGEREF _Toc471825071 \h </w:instrText>
        </w:r>
        <w:r w:rsidR="00303FFD">
          <w:rPr>
            <w:noProof/>
            <w:webHidden/>
          </w:rPr>
        </w:r>
        <w:r w:rsidR="00303FFD">
          <w:rPr>
            <w:noProof/>
            <w:webHidden/>
          </w:rPr>
          <w:fldChar w:fldCharType="separate"/>
        </w:r>
        <w:r w:rsidR="001710BD">
          <w:rPr>
            <w:noProof/>
            <w:webHidden/>
          </w:rPr>
          <w:t>11</w:t>
        </w:r>
        <w:r w:rsidR="00303FFD">
          <w:rPr>
            <w:noProof/>
            <w:webHidden/>
          </w:rPr>
          <w:fldChar w:fldCharType="end"/>
        </w:r>
      </w:hyperlink>
    </w:p>
    <w:p w14:paraId="5705907F"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2" w:history="1">
        <w:r w:rsidR="00303FFD" w:rsidRPr="00AC3297">
          <w:rPr>
            <w:rStyle w:val="Hyperlink"/>
            <w:noProof/>
          </w:rPr>
          <w:t>Parameter Value (PVAL) File</w:t>
        </w:r>
        <w:r w:rsidR="00303FFD">
          <w:rPr>
            <w:noProof/>
            <w:webHidden/>
          </w:rPr>
          <w:tab/>
        </w:r>
        <w:r w:rsidR="00303FFD">
          <w:rPr>
            <w:noProof/>
            <w:webHidden/>
          </w:rPr>
          <w:fldChar w:fldCharType="begin"/>
        </w:r>
        <w:r w:rsidR="00303FFD">
          <w:rPr>
            <w:noProof/>
            <w:webHidden/>
          </w:rPr>
          <w:instrText xml:space="preserve"> PAGEREF _Toc471825072 \h </w:instrText>
        </w:r>
        <w:r w:rsidR="00303FFD">
          <w:rPr>
            <w:noProof/>
            <w:webHidden/>
          </w:rPr>
        </w:r>
        <w:r w:rsidR="00303FFD">
          <w:rPr>
            <w:noProof/>
            <w:webHidden/>
          </w:rPr>
          <w:fldChar w:fldCharType="separate"/>
        </w:r>
        <w:r w:rsidR="001710BD">
          <w:rPr>
            <w:noProof/>
            <w:webHidden/>
          </w:rPr>
          <w:t>14</w:t>
        </w:r>
        <w:r w:rsidR="00303FFD">
          <w:rPr>
            <w:noProof/>
            <w:webHidden/>
          </w:rPr>
          <w:fldChar w:fldCharType="end"/>
        </w:r>
      </w:hyperlink>
    </w:p>
    <w:p w14:paraId="0B8546F6"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3" w:history="1">
        <w:r w:rsidR="00303FFD" w:rsidRPr="00AC3297">
          <w:rPr>
            <w:rStyle w:val="Hyperlink"/>
            <w:noProof/>
          </w:rPr>
          <w:t>Structured Discretization File (DIS)</w:t>
        </w:r>
        <w:r w:rsidR="00303FFD">
          <w:rPr>
            <w:noProof/>
            <w:webHidden/>
          </w:rPr>
          <w:tab/>
        </w:r>
        <w:r w:rsidR="00303FFD">
          <w:rPr>
            <w:noProof/>
            <w:webHidden/>
          </w:rPr>
          <w:fldChar w:fldCharType="begin"/>
        </w:r>
        <w:r w:rsidR="00303FFD">
          <w:rPr>
            <w:noProof/>
            <w:webHidden/>
          </w:rPr>
          <w:instrText xml:space="preserve"> PAGEREF _Toc471825073 \h </w:instrText>
        </w:r>
        <w:r w:rsidR="00303FFD">
          <w:rPr>
            <w:noProof/>
            <w:webHidden/>
          </w:rPr>
        </w:r>
        <w:r w:rsidR="00303FFD">
          <w:rPr>
            <w:noProof/>
            <w:webHidden/>
          </w:rPr>
          <w:fldChar w:fldCharType="separate"/>
        </w:r>
        <w:r w:rsidR="001710BD">
          <w:rPr>
            <w:noProof/>
            <w:webHidden/>
          </w:rPr>
          <w:t>15</w:t>
        </w:r>
        <w:r w:rsidR="00303FFD">
          <w:rPr>
            <w:noProof/>
            <w:webHidden/>
          </w:rPr>
          <w:fldChar w:fldCharType="end"/>
        </w:r>
      </w:hyperlink>
    </w:p>
    <w:p w14:paraId="12FFF149"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4" w:history="1">
        <w:r w:rsidR="00303FFD" w:rsidRPr="00AC3297">
          <w:rPr>
            <w:rStyle w:val="Hyperlink"/>
            <w:noProof/>
          </w:rPr>
          <w:t>Unstructured Discretization File (DISU)</w:t>
        </w:r>
        <w:r w:rsidR="00303FFD">
          <w:rPr>
            <w:noProof/>
            <w:webHidden/>
          </w:rPr>
          <w:tab/>
        </w:r>
        <w:r w:rsidR="00303FFD">
          <w:rPr>
            <w:noProof/>
            <w:webHidden/>
          </w:rPr>
          <w:fldChar w:fldCharType="begin"/>
        </w:r>
        <w:r w:rsidR="00303FFD">
          <w:rPr>
            <w:noProof/>
            <w:webHidden/>
          </w:rPr>
          <w:instrText xml:space="preserve"> PAGEREF _Toc471825074 \h </w:instrText>
        </w:r>
        <w:r w:rsidR="00303FFD">
          <w:rPr>
            <w:noProof/>
            <w:webHidden/>
          </w:rPr>
        </w:r>
        <w:r w:rsidR="00303FFD">
          <w:rPr>
            <w:noProof/>
            <w:webHidden/>
          </w:rPr>
          <w:fldChar w:fldCharType="separate"/>
        </w:r>
        <w:r w:rsidR="001710BD">
          <w:rPr>
            <w:noProof/>
            <w:webHidden/>
          </w:rPr>
          <w:t>17</w:t>
        </w:r>
        <w:r w:rsidR="00303FFD">
          <w:rPr>
            <w:noProof/>
            <w:webHidden/>
          </w:rPr>
          <w:fldChar w:fldCharType="end"/>
        </w:r>
      </w:hyperlink>
    </w:p>
    <w:p w14:paraId="7FD82D8C" w14:textId="77777777" w:rsidR="00303FFD" w:rsidRDefault="00494DEE">
      <w:pPr>
        <w:pStyle w:val="TOC3"/>
        <w:tabs>
          <w:tab w:val="right" w:leader="dot" w:pos="10041"/>
        </w:tabs>
        <w:rPr>
          <w:rFonts w:asciiTheme="minorHAnsi" w:eastAsiaTheme="minorEastAsia" w:hAnsiTheme="minorHAnsi" w:cstheme="minorBidi"/>
          <w:noProof/>
          <w:sz w:val="22"/>
          <w:szCs w:val="22"/>
        </w:rPr>
      </w:pPr>
      <w:hyperlink w:anchor="_Toc471825075" w:history="1">
        <w:r w:rsidR="00303FFD" w:rsidRPr="00AC3297">
          <w:rPr>
            <w:rStyle w:val="Hyperlink"/>
            <w:noProof/>
          </w:rPr>
          <w:t>Output Control (OC) Option</w:t>
        </w:r>
        <w:r w:rsidR="00303FFD">
          <w:rPr>
            <w:noProof/>
            <w:webHidden/>
          </w:rPr>
          <w:tab/>
        </w:r>
        <w:r w:rsidR="00303FFD">
          <w:rPr>
            <w:noProof/>
            <w:webHidden/>
          </w:rPr>
          <w:fldChar w:fldCharType="begin"/>
        </w:r>
        <w:r w:rsidR="00303FFD">
          <w:rPr>
            <w:noProof/>
            <w:webHidden/>
          </w:rPr>
          <w:instrText xml:space="preserve"> PAGEREF _Toc471825075 \h </w:instrText>
        </w:r>
        <w:r w:rsidR="00303FFD">
          <w:rPr>
            <w:noProof/>
            <w:webHidden/>
          </w:rPr>
        </w:r>
        <w:r w:rsidR="00303FFD">
          <w:rPr>
            <w:noProof/>
            <w:webHidden/>
          </w:rPr>
          <w:fldChar w:fldCharType="separate"/>
        </w:r>
        <w:r w:rsidR="001710BD">
          <w:rPr>
            <w:noProof/>
            <w:webHidden/>
          </w:rPr>
          <w:t>21</w:t>
        </w:r>
        <w:r w:rsidR="00303FFD">
          <w:rPr>
            <w:noProof/>
            <w:webHidden/>
          </w:rPr>
          <w:fldChar w:fldCharType="end"/>
        </w:r>
      </w:hyperlink>
    </w:p>
    <w:p w14:paraId="23583E42"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76" w:history="1">
        <w:r w:rsidR="00303FFD" w:rsidRPr="00AC3297">
          <w:rPr>
            <w:rStyle w:val="Hyperlink"/>
            <w:noProof/>
          </w:rPr>
          <w:t>Block-Centered Flow (BCF6) Package</w:t>
        </w:r>
        <w:r w:rsidR="00303FFD">
          <w:rPr>
            <w:noProof/>
            <w:webHidden/>
          </w:rPr>
          <w:tab/>
        </w:r>
        <w:r w:rsidR="00303FFD">
          <w:rPr>
            <w:noProof/>
            <w:webHidden/>
          </w:rPr>
          <w:fldChar w:fldCharType="begin"/>
        </w:r>
        <w:r w:rsidR="00303FFD">
          <w:rPr>
            <w:noProof/>
            <w:webHidden/>
          </w:rPr>
          <w:instrText xml:space="preserve"> PAGEREF _Toc471825076 \h </w:instrText>
        </w:r>
        <w:r w:rsidR="00303FFD">
          <w:rPr>
            <w:noProof/>
            <w:webHidden/>
          </w:rPr>
        </w:r>
        <w:r w:rsidR="00303FFD">
          <w:rPr>
            <w:noProof/>
            <w:webHidden/>
          </w:rPr>
          <w:fldChar w:fldCharType="separate"/>
        </w:r>
        <w:r w:rsidR="001710BD">
          <w:rPr>
            <w:noProof/>
            <w:webHidden/>
          </w:rPr>
          <w:t>27</w:t>
        </w:r>
        <w:r w:rsidR="00303FFD">
          <w:rPr>
            <w:noProof/>
            <w:webHidden/>
          </w:rPr>
          <w:fldChar w:fldCharType="end"/>
        </w:r>
      </w:hyperlink>
    </w:p>
    <w:p w14:paraId="0B59411F"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77" w:history="1">
        <w:r w:rsidR="00303FFD" w:rsidRPr="00AC3297">
          <w:rPr>
            <w:rStyle w:val="Hyperlink"/>
            <w:noProof/>
          </w:rPr>
          <w:t>Layer-Property Flow (LPF) Package</w:t>
        </w:r>
        <w:r w:rsidR="00303FFD">
          <w:rPr>
            <w:noProof/>
            <w:webHidden/>
          </w:rPr>
          <w:tab/>
        </w:r>
        <w:r w:rsidR="00303FFD">
          <w:rPr>
            <w:noProof/>
            <w:webHidden/>
          </w:rPr>
          <w:fldChar w:fldCharType="begin"/>
        </w:r>
        <w:r w:rsidR="00303FFD">
          <w:rPr>
            <w:noProof/>
            <w:webHidden/>
          </w:rPr>
          <w:instrText xml:space="preserve"> PAGEREF _Toc471825077 \h </w:instrText>
        </w:r>
        <w:r w:rsidR="00303FFD">
          <w:rPr>
            <w:noProof/>
            <w:webHidden/>
          </w:rPr>
        </w:r>
        <w:r w:rsidR="00303FFD">
          <w:rPr>
            <w:noProof/>
            <w:webHidden/>
          </w:rPr>
          <w:fldChar w:fldCharType="separate"/>
        </w:r>
        <w:r w:rsidR="001710BD">
          <w:rPr>
            <w:noProof/>
            <w:webHidden/>
          </w:rPr>
          <w:t>32</w:t>
        </w:r>
        <w:r w:rsidR="00303FFD">
          <w:rPr>
            <w:noProof/>
            <w:webHidden/>
          </w:rPr>
          <w:fldChar w:fldCharType="end"/>
        </w:r>
      </w:hyperlink>
    </w:p>
    <w:p w14:paraId="7A23FF40"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78" w:history="1">
        <w:r w:rsidR="00303FFD" w:rsidRPr="00AC3297">
          <w:rPr>
            <w:rStyle w:val="Hyperlink"/>
            <w:noProof/>
          </w:rPr>
          <w:t>Horizontal Flow Barrier (HFB6) Package</w:t>
        </w:r>
        <w:r w:rsidR="00303FFD">
          <w:rPr>
            <w:noProof/>
            <w:webHidden/>
          </w:rPr>
          <w:tab/>
        </w:r>
        <w:r w:rsidR="00303FFD">
          <w:rPr>
            <w:noProof/>
            <w:webHidden/>
          </w:rPr>
          <w:fldChar w:fldCharType="begin"/>
        </w:r>
        <w:r w:rsidR="00303FFD">
          <w:rPr>
            <w:noProof/>
            <w:webHidden/>
          </w:rPr>
          <w:instrText xml:space="preserve"> PAGEREF _Toc471825078 \h </w:instrText>
        </w:r>
        <w:r w:rsidR="00303FFD">
          <w:rPr>
            <w:noProof/>
            <w:webHidden/>
          </w:rPr>
        </w:r>
        <w:r w:rsidR="00303FFD">
          <w:rPr>
            <w:noProof/>
            <w:webHidden/>
          </w:rPr>
          <w:fldChar w:fldCharType="separate"/>
        </w:r>
        <w:r w:rsidR="001710BD">
          <w:rPr>
            <w:noProof/>
            <w:webHidden/>
          </w:rPr>
          <w:t>38</w:t>
        </w:r>
        <w:r w:rsidR="00303FFD">
          <w:rPr>
            <w:noProof/>
            <w:webHidden/>
          </w:rPr>
          <w:fldChar w:fldCharType="end"/>
        </w:r>
      </w:hyperlink>
    </w:p>
    <w:p w14:paraId="520434E8"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79" w:history="1">
        <w:r w:rsidR="00303FFD" w:rsidRPr="00AC3297">
          <w:rPr>
            <w:rStyle w:val="Hyperlink"/>
            <w:noProof/>
          </w:rPr>
          <w:t>Recharge (RCH) Package</w:t>
        </w:r>
        <w:r w:rsidR="00303FFD">
          <w:rPr>
            <w:noProof/>
            <w:webHidden/>
          </w:rPr>
          <w:tab/>
        </w:r>
        <w:r w:rsidR="00303FFD">
          <w:rPr>
            <w:noProof/>
            <w:webHidden/>
          </w:rPr>
          <w:fldChar w:fldCharType="begin"/>
        </w:r>
        <w:r w:rsidR="00303FFD">
          <w:rPr>
            <w:noProof/>
            <w:webHidden/>
          </w:rPr>
          <w:instrText xml:space="preserve"> PAGEREF _Toc471825079 \h </w:instrText>
        </w:r>
        <w:r w:rsidR="00303FFD">
          <w:rPr>
            <w:noProof/>
            <w:webHidden/>
          </w:rPr>
        </w:r>
        <w:r w:rsidR="00303FFD">
          <w:rPr>
            <w:noProof/>
            <w:webHidden/>
          </w:rPr>
          <w:fldChar w:fldCharType="separate"/>
        </w:r>
        <w:r w:rsidR="001710BD">
          <w:rPr>
            <w:noProof/>
            <w:webHidden/>
          </w:rPr>
          <w:t>40</w:t>
        </w:r>
        <w:r w:rsidR="00303FFD">
          <w:rPr>
            <w:noProof/>
            <w:webHidden/>
          </w:rPr>
          <w:fldChar w:fldCharType="end"/>
        </w:r>
      </w:hyperlink>
    </w:p>
    <w:p w14:paraId="066E8F76"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0" w:history="1">
        <w:r w:rsidR="00303FFD" w:rsidRPr="00AC3297">
          <w:rPr>
            <w:rStyle w:val="Hyperlink"/>
            <w:noProof/>
          </w:rPr>
          <w:t>Evapotranspiration (EVT) Package</w:t>
        </w:r>
        <w:r w:rsidR="00303FFD">
          <w:rPr>
            <w:noProof/>
            <w:webHidden/>
          </w:rPr>
          <w:tab/>
        </w:r>
        <w:r w:rsidR="00303FFD">
          <w:rPr>
            <w:noProof/>
            <w:webHidden/>
          </w:rPr>
          <w:fldChar w:fldCharType="begin"/>
        </w:r>
        <w:r w:rsidR="00303FFD">
          <w:rPr>
            <w:noProof/>
            <w:webHidden/>
          </w:rPr>
          <w:instrText xml:space="preserve"> PAGEREF _Toc471825080 \h </w:instrText>
        </w:r>
        <w:r w:rsidR="00303FFD">
          <w:rPr>
            <w:noProof/>
            <w:webHidden/>
          </w:rPr>
        </w:r>
        <w:r w:rsidR="00303FFD">
          <w:rPr>
            <w:noProof/>
            <w:webHidden/>
          </w:rPr>
          <w:fldChar w:fldCharType="separate"/>
        </w:r>
        <w:r w:rsidR="001710BD">
          <w:rPr>
            <w:noProof/>
            <w:webHidden/>
          </w:rPr>
          <w:t>44</w:t>
        </w:r>
        <w:r w:rsidR="00303FFD">
          <w:rPr>
            <w:noProof/>
            <w:webHidden/>
          </w:rPr>
          <w:fldChar w:fldCharType="end"/>
        </w:r>
      </w:hyperlink>
    </w:p>
    <w:p w14:paraId="5A8259EA"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1" w:history="1">
        <w:r w:rsidR="00303FFD" w:rsidRPr="00AC3297">
          <w:rPr>
            <w:rStyle w:val="Hyperlink"/>
            <w:noProof/>
          </w:rPr>
          <w:t>Flow and Head Boundary (FHB) Package</w:t>
        </w:r>
        <w:r w:rsidR="00303FFD">
          <w:rPr>
            <w:noProof/>
            <w:webHidden/>
          </w:rPr>
          <w:tab/>
        </w:r>
        <w:r w:rsidR="00303FFD">
          <w:rPr>
            <w:noProof/>
            <w:webHidden/>
          </w:rPr>
          <w:fldChar w:fldCharType="begin"/>
        </w:r>
        <w:r w:rsidR="00303FFD">
          <w:rPr>
            <w:noProof/>
            <w:webHidden/>
          </w:rPr>
          <w:instrText xml:space="preserve"> PAGEREF _Toc471825081 \h </w:instrText>
        </w:r>
        <w:r w:rsidR="00303FFD">
          <w:rPr>
            <w:noProof/>
            <w:webHidden/>
          </w:rPr>
        </w:r>
        <w:r w:rsidR="00303FFD">
          <w:rPr>
            <w:noProof/>
            <w:webHidden/>
          </w:rPr>
          <w:fldChar w:fldCharType="separate"/>
        </w:r>
        <w:r w:rsidR="001710BD">
          <w:rPr>
            <w:noProof/>
            <w:webHidden/>
          </w:rPr>
          <w:t>48</w:t>
        </w:r>
        <w:r w:rsidR="00303FFD">
          <w:rPr>
            <w:noProof/>
            <w:webHidden/>
          </w:rPr>
          <w:fldChar w:fldCharType="end"/>
        </w:r>
      </w:hyperlink>
    </w:p>
    <w:p w14:paraId="55C03AC0"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2" w:history="1">
        <w:r w:rsidR="00303FFD" w:rsidRPr="00AC3297">
          <w:rPr>
            <w:rStyle w:val="Hyperlink"/>
            <w:noProof/>
          </w:rPr>
          <w:t>Well (WEL) Package</w:t>
        </w:r>
        <w:r w:rsidR="00303FFD">
          <w:rPr>
            <w:noProof/>
            <w:webHidden/>
          </w:rPr>
          <w:tab/>
        </w:r>
        <w:r w:rsidR="00303FFD">
          <w:rPr>
            <w:noProof/>
            <w:webHidden/>
          </w:rPr>
          <w:fldChar w:fldCharType="begin"/>
        </w:r>
        <w:r w:rsidR="00303FFD">
          <w:rPr>
            <w:noProof/>
            <w:webHidden/>
          </w:rPr>
          <w:instrText xml:space="preserve"> PAGEREF _Toc471825082 \h </w:instrText>
        </w:r>
        <w:r w:rsidR="00303FFD">
          <w:rPr>
            <w:noProof/>
            <w:webHidden/>
          </w:rPr>
        </w:r>
        <w:r w:rsidR="00303FFD">
          <w:rPr>
            <w:noProof/>
            <w:webHidden/>
          </w:rPr>
          <w:fldChar w:fldCharType="separate"/>
        </w:r>
        <w:r w:rsidR="001710BD">
          <w:rPr>
            <w:noProof/>
            <w:webHidden/>
          </w:rPr>
          <w:t>52</w:t>
        </w:r>
        <w:r w:rsidR="00303FFD">
          <w:rPr>
            <w:noProof/>
            <w:webHidden/>
          </w:rPr>
          <w:fldChar w:fldCharType="end"/>
        </w:r>
      </w:hyperlink>
    </w:p>
    <w:p w14:paraId="4A9AC24C"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3" w:history="1">
        <w:r w:rsidR="00303FFD" w:rsidRPr="00AC3297">
          <w:rPr>
            <w:rStyle w:val="Hyperlink"/>
            <w:noProof/>
          </w:rPr>
          <w:t>Drain (DRN) Package</w:t>
        </w:r>
        <w:r w:rsidR="00303FFD">
          <w:rPr>
            <w:noProof/>
            <w:webHidden/>
          </w:rPr>
          <w:tab/>
        </w:r>
        <w:r w:rsidR="00303FFD">
          <w:rPr>
            <w:noProof/>
            <w:webHidden/>
          </w:rPr>
          <w:fldChar w:fldCharType="begin"/>
        </w:r>
        <w:r w:rsidR="00303FFD">
          <w:rPr>
            <w:noProof/>
            <w:webHidden/>
          </w:rPr>
          <w:instrText xml:space="preserve"> PAGEREF _Toc471825083 \h </w:instrText>
        </w:r>
        <w:r w:rsidR="00303FFD">
          <w:rPr>
            <w:noProof/>
            <w:webHidden/>
          </w:rPr>
        </w:r>
        <w:r w:rsidR="00303FFD">
          <w:rPr>
            <w:noProof/>
            <w:webHidden/>
          </w:rPr>
          <w:fldChar w:fldCharType="separate"/>
        </w:r>
        <w:r w:rsidR="001710BD">
          <w:rPr>
            <w:noProof/>
            <w:webHidden/>
          </w:rPr>
          <w:t>56</w:t>
        </w:r>
        <w:r w:rsidR="00303FFD">
          <w:rPr>
            <w:noProof/>
            <w:webHidden/>
          </w:rPr>
          <w:fldChar w:fldCharType="end"/>
        </w:r>
      </w:hyperlink>
    </w:p>
    <w:p w14:paraId="2E1CC2B0"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4" w:history="1">
        <w:r w:rsidR="00303FFD" w:rsidRPr="00AC3297">
          <w:rPr>
            <w:rStyle w:val="Hyperlink"/>
            <w:noProof/>
          </w:rPr>
          <w:t>River (RIV) Package</w:t>
        </w:r>
        <w:r w:rsidR="00303FFD">
          <w:rPr>
            <w:noProof/>
            <w:webHidden/>
          </w:rPr>
          <w:tab/>
        </w:r>
        <w:r w:rsidR="00303FFD">
          <w:rPr>
            <w:noProof/>
            <w:webHidden/>
          </w:rPr>
          <w:fldChar w:fldCharType="begin"/>
        </w:r>
        <w:r w:rsidR="00303FFD">
          <w:rPr>
            <w:noProof/>
            <w:webHidden/>
          </w:rPr>
          <w:instrText xml:space="preserve"> PAGEREF _Toc471825084 \h </w:instrText>
        </w:r>
        <w:r w:rsidR="00303FFD">
          <w:rPr>
            <w:noProof/>
            <w:webHidden/>
          </w:rPr>
        </w:r>
        <w:r w:rsidR="00303FFD">
          <w:rPr>
            <w:noProof/>
            <w:webHidden/>
          </w:rPr>
          <w:fldChar w:fldCharType="separate"/>
        </w:r>
        <w:r w:rsidR="001710BD">
          <w:rPr>
            <w:noProof/>
            <w:webHidden/>
          </w:rPr>
          <w:t>59</w:t>
        </w:r>
        <w:r w:rsidR="00303FFD">
          <w:rPr>
            <w:noProof/>
            <w:webHidden/>
          </w:rPr>
          <w:fldChar w:fldCharType="end"/>
        </w:r>
      </w:hyperlink>
    </w:p>
    <w:p w14:paraId="2065B50D"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5" w:history="1">
        <w:r w:rsidR="00303FFD" w:rsidRPr="00AC3297">
          <w:rPr>
            <w:rStyle w:val="Hyperlink"/>
            <w:noProof/>
          </w:rPr>
          <w:t>General-Head Boundary (GHB) Package</w:t>
        </w:r>
        <w:r w:rsidR="00303FFD">
          <w:rPr>
            <w:noProof/>
            <w:webHidden/>
          </w:rPr>
          <w:tab/>
        </w:r>
        <w:r w:rsidR="00303FFD">
          <w:rPr>
            <w:noProof/>
            <w:webHidden/>
          </w:rPr>
          <w:fldChar w:fldCharType="begin"/>
        </w:r>
        <w:r w:rsidR="00303FFD">
          <w:rPr>
            <w:noProof/>
            <w:webHidden/>
          </w:rPr>
          <w:instrText xml:space="preserve"> PAGEREF _Toc471825085 \h </w:instrText>
        </w:r>
        <w:r w:rsidR="00303FFD">
          <w:rPr>
            <w:noProof/>
            <w:webHidden/>
          </w:rPr>
        </w:r>
        <w:r w:rsidR="00303FFD">
          <w:rPr>
            <w:noProof/>
            <w:webHidden/>
          </w:rPr>
          <w:fldChar w:fldCharType="separate"/>
        </w:r>
        <w:r w:rsidR="001710BD">
          <w:rPr>
            <w:noProof/>
            <w:webHidden/>
          </w:rPr>
          <w:t>62</w:t>
        </w:r>
        <w:r w:rsidR="00303FFD">
          <w:rPr>
            <w:noProof/>
            <w:webHidden/>
          </w:rPr>
          <w:fldChar w:fldCharType="end"/>
        </w:r>
      </w:hyperlink>
    </w:p>
    <w:p w14:paraId="78DF88C3"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6" w:history="1">
        <w:r w:rsidR="00303FFD" w:rsidRPr="00AC3297">
          <w:rPr>
            <w:rStyle w:val="Hyperlink"/>
            <w:noProof/>
          </w:rPr>
          <w:t>Stream (STR7) Package</w:t>
        </w:r>
        <w:r w:rsidR="00303FFD">
          <w:rPr>
            <w:noProof/>
            <w:webHidden/>
          </w:rPr>
          <w:tab/>
        </w:r>
        <w:r w:rsidR="00303FFD">
          <w:rPr>
            <w:noProof/>
            <w:webHidden/>
          </w:rPr>
          <w:fldChar w:fldCharType="begin"/>
        </w:r>
        <w:r w:rsidR="00303FFD">
          <w:rPr>
            <w:noProof/>
            <w:webHidden/>
          </w:rPr>
          <w:instrText xml:space="preserve"> PAGEREF _Toc471825086 \h </w:instrText>
        </w:r>
        <w:r w:rsidR="00303FFD">
          <w:rPr>
            <w:noProof/>
            <w:webHidden/>
          </w:rPr>
        </w:r>
        <w:r w:rsidR="00303FFD">
          <w:rPr>
            <w:noProof/>
            <w:webHidden/>
          </w:rPr>
          <w:fldChar w:fldCharType="separate"/>
        </w:r>
        <w:r w:rsidR="001710BD">
          <w:rPr>
            <w:noProof/>
            <w:webHidden/>
          </w:rPr>
          <w:t>65</w:t>
        </w:r>
        <w:r w:rsidR="00303FFD">
          <w:rPr>
            <w:noProof/>
            <w:webHidden/>
          </w:rPr>
          <w:fldChar w:fldCharType="end"/>
        </w:r>
      </w:hyperlink>
    </w:p>
    <w:p w14:paraId="328EA743"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7" w:history="1">
        <w:r w:rsidR="00303FFD" w:rsidRPr="00AC3297">
          <w:rPr>
            <w:rStyle w:val="Hyperlink"/>
            <w:noProof/>
          </w:rPr>
          <w:t>Streamflow-Routing (SFR2) Package with Unsaturated Flow beneath Streams.</w:t>
        </w:r>
        <w:r w:rsidR="00303FFD">
          <w:rPr>
            <w:noProof/>
            <w:webHidden/>
          </w:rPr>
          <w:tab/>
        </w:r>
        <w:r w:rsidR="00303FFD">
          <w:rPr>
            <w:noProof/>
            <w:webHidden/>
          </w:rPr>
          <w:fldChar w:fldCharType="begin"/>
        </w:r>
        <w:r w:rsidR="00303FFD">
          <w:rPr>
            <w:noProof/>
            <w:webHidden/>
          </w:rPr>
          <w:instrText xml:space="preserve"> PAGEREF _Toc471825087 \h </w:instrText>
        </w:r>
        <w:r w:rsidR="00303FFD">
          <w:rPr>
            <w:noProof/>
            <w:webHidden/>
          </w:rPr>
        </w:r>
        <w:r w:rsidR="00303FFD">
          <w:rPr>
            <w:noProof/>
            <w:webHidden/>
          </w:rPr>
          <w:fldChar w:fldCharType="separate"/>
        </w:r>
        <w:r w:rsidR="001710BD">
          <w:rPr>
            <w:noProof/>
            <w:webHidden/>
          </w:rPr>
          <w:t>70</w:t>
        </w:r>
        <w:r w:rsidR="00303FFD">
          <w:rPr>
            <w:noProof/>
            <w:webHidden/>
          </w:rPr>
          <w:fldChar w:fldCharType="end"/>
        </w:r>
      </w:hyperlink>
    </w:p>
    <w:p w14:paraId="25B38A16"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8" w:history="1">
        <w:r w:rsidR="00303FFD" w:rsidRPr="00AC3297">
          <w:rPr>
            <w:rStyle w:val="Hyperlink"/>
            <w:noProof/>
          </w:rPr>
          <w:t>Stream Gaging (Monitoring) Station File (GAGE)</w:t>
        </w:r>
        <w:r w:rsidR="00303FFD">
          <w:rPr>
            <w:noProof/>
            <w:webHidden/>
          </w:rPr>
          <w:tab/>
        </w:r>
        <w:r w:rsidR="00303FFD">
          <w:rPr>
            <w:noProof/>
            <w:webHidden/>
          </w:rPr>
          <w:fldChar w:fldCharType="begin"/>
        </w:r>
        <w:r w:rsidR="00303FFD">
          <w:rPr>
            <w:noProof/>
            <w:webHidden/>
          </w:rPr>
          <w:instrText xml:space="preserve"> PAGEREF _Toc471825088 \h </w:instrText>
        </w:r>
        <w:r w:rsidR="00303FFD">
          <w:rPr>
            <w:noProof/>
            <w:webHidden/>
          </w:rPr>
        </w:r>
        <w:r w:rsidR="00303FFD">
          <w:rPr>
            <w:noProof/>
            <w:webHidden/>
          </w:rPr>
          <w:fldChar w:fldCharType="separate"/>
        </w:r>
        <w:r w:rsidR="001710BD">
          <w:rPr>
            <w:noProof/>
            <w:webHidden/>
          </w:rPr>
          <w:t>86</w:t>
        </w:r>
        <w:r w:rsidR="00303FFD">
          <w:rPr>
            <w:noProof/>
            <w:webHidden/>
          </w:rPr>
          <w:fldChar w:fldCharType="end"/>
        </w:r>
      </w:hyperlink>
    </w:p>
    <w:p w14:paraId="73C5322D"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89" w:history="1">
        <w:r w:rsidR="00303FFD" w:rsidRPr="00AC3297">
          <w:rPr>
            <w:rStyle w:val="Hyperlink"/>
            <w:noProof/>
          </w:rPr>
          <w:t>Lake (LAK) Package</w:t>
        </w:r>
        <w:r w:rsidR="00303FFD">
          <w:rPr>
            <w:noProof/>
            <w:webHidden/>
          </w:rPr>
          <w:tab/>
        </w:r>
        <w:r w:rsidR="00303FFD">
          <w:rPr>
            <w:noProof/>
            <w:webHidden/>
          </w:rPr>
          <w:fldChar w:fldCharType="begin"/>
        </w:r>
        <w:r w:rsidR="00303FFD">
          <w:rPr>
            <w:noProof/>
            <w:webHidden/>
          </w:rPr>
          <w:instrText xml:space="preserve"> PAGEREF _Toc471825089 \h </w:instrText>
        </w:r>
        <w:r w:rsidR="00303FFD">
          <w:rPr>
            <w:noProof/>
            <w:webHidden/>
          </w:rPr>
        </w:r>
        <w:r w:rsidR="00303FFD">
          <w:rPr>
            <w:noProof/>
            <w:webHidden/>
          </w:rPr>
          <w:fldChar w:fldCharType="separate"/>
        </w:r>
        <w:r w:rsidR="001710BD">
          <w:rPr>
            <w:noProof/>
            <w:webHidden/>
          </w:rPr>
          <w:t>88</w:t>
        </w:r>
        <w:r w:rsidR="00303FFD">
          <w:rPr>
            <w:noProof/>
            <w:webHidden/>
          </w:rPr>
          <w:fldChar w:fldCharType="end"/>
        </w:r>
      </w:hyperlink>
    </w:p>
    <w:p w14:paraId="6F22CD6C"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0" w:history="1">
        <w:r w:rsidR="00303FFD" w:rsidRPr="00AC3297">
          <w:rPr>
            <w:rStyle w:val="Hyperlink"/>
            <w:noProof/>
          </w:rPr>
          <w:t>Subsidence (SUB) Package</w:t>
        </w:r>
        <w:r w:rsidR="00303FFD">
          <w:rPr>
            <w:noProof/>
            <w:webHidden/>
          </w:rPr>
          <w:tab/>
        </w:r>
        <w:r w:rsidR="00303FFD">
          <w:rPr>
            <w:noProof/>
            <w:webHidden/>
          </w:rPr>
          <w:fldChar w:fldCharType="begin"/>
        </w:r>
        <w:r w:rsidR="00303FFD">
          <w:rPr>
            <w:noProof/>
            <w:webHidden/>
          </w:rPr>
          <w:instrText xml:space="preserve"> PAGEREF _Toc471825090 \h </w:instrText>
        </w:r>
        <w:r w:rsidR="00303FFD">
          <w:rPr>
            <w:noProof/>
            <w:webHidden/>
          </w:rPr>
        </w:r>
        <w:r w:rsidR="00303FFD">
          <w:rPr>
            <w:noProof/>
            <w:webHidden/>
          </w:rPr>
          <w:fldChar w:fldCharType="separate"/>
        </w:r>
        <w:r w:rsidR="001710BD">
          <w:rPr>
            <w:noProof/>
            <w:webHidden/>
          </w:rPr>
          <w:t>95</w:t>
        </w:r>
        <w:r w:rsidR="00303FFD">
          <w:rPr>
            <w:noProof/>
            <w:webHidden/>
          </w:rPr>
          <w:fldChar w:fldCharType="end"/>
        </w:r>
      </w:hyperlink>
    </w:p>
    <w:p w14:paraId="252FA9CA"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1" w:history="1">
        <w:r w:rsidR="00303FFD" w:rsidRPr="00AC3297">
          <w:rPr>
            <w:rStyle w:val="Hyperlink"/>
            <w:noProof/>
          </w:rPr>
          <w:t>Segmented Evapotranspiration (ETS) Package</w:t>
        </w:r>
        <w:r w:rsidR="00303FFD">
          <w:rPr>
            <w:noProof/>
            <w:webHidden/>
          </w:rPr>
          <w:tab/>
        </w:r>
        <w:r w:rsidR="00303FFD">
          <w:rPr>
            <w:noProof/>
            <w:webHidden/>
          </w:rPr>
          <w:fldChar w:fldCharType="begin"/>
        </w:r>
        <w:r w:rsidR="00303FFD">
          <w:rPr>
            <w:noProof/>
            <w:webHidden/>
          </w:rPr>
          <w:instrText xml:space="preserve"> PAGEREF _Toc471825091 \h </w:instrText>
        </w:r>
        <w:r w:rsidR="00303FFD">
          <w:rPr>
            <w:noProof/>
            <w:webHidden/>
          </w:rPr>
        </w:r>
        <w:r w:rsidR="00303FFD">
          <w:rPr>
            <w:noProof/>
            <w:webHidden/>
          </w:rPr>
          <w:fldChar w:fldCharType="separate"/>
        </w:r>
        <w:r w:rsidR="001710BD">
          <w:rPr>
            <w:noProof/>
            <w:webHidden/>
          </w:rPr>
          <w:t>103</w:t>
        </w:r>
        <w:r w:rsidR="00303FFD">
          <w:rPr>
            <w:noProof/>
            <w:webHidden/>
          </w:rPr>
          <w:fldChar w:fldCharType="end"/>
        </w:r>
      </w:hyperlink>
    </w:p>
    <w:p w14:paraId="3091601C"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2" w:history="1">
        <w:r w:rsidR="00303FFD" w:rsidRPr="00AC3297">
          <w:rPr>
            <w:rStyle w:val="Hyperlink"/>
            <w:noProof/>
          </w:rPr>
          <w:t>Connected Linear Network (CLN) Process</w:t>
        </w:r>
        <w:r w:rsidR="00303FFD">
          <w:rPr>
            <w:noProof/>
            <w:webHidden/>
          </w:rPr>
          <w:tab/>
        </w:r>
        <w:r w:rsidR="00303FFD">
          <w:rPr>
            <w:noProof/>
            <w:webHidden/>
          </w:rPr>
          <w:fldChar w:fldCharType="begin"/>
        </w:r>
        <w:r w:rsidR="00303FFD">
          <w:rPr>
            <w:noProof/>
            <w:webHidden/>
          </w:rPr>
          <w:instrText xml:space="preserve"> PAGEREF _Toc471825092 \h </w:instrText>
        </w:r>
        <w:r w:rsidR="00303FFD">
          <w:rPr>
            <w:noProof/>
            <w:webHidden/>
          </w:rPr>
        </w:r>
        <w:r w:rsidR="00303FFD">
          <w:rPr>
            <w:noProof/>
            <w:webHidden/>
          </w:rPr>
          <w:fldChar w:fldCharType="separate"/>
        </w:r>
        <w:r w:rsidR="001710BD">
          <w:rPr>
            <w:noProof/>
            <w:webHidden/>
          </w:rPr>
          <w:t>107</w:t>
        </w:r>
        <w:r w:rsidR="00303FFD">
          <w:rPr>
            <w:noProof/>
            <w:webHidden/>
          </w:rPr>
          <w:fldChar w:fldCharType="end"/>
        </w:r>
      </w:hyperlink>
    </w:p>
    <w:p w14:paraId="5420CEB7"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3" w:history="1">
        <w:r w:rsidR="00303FFD" w:rsidRPr="00AC3297">
          <w:rPr>
            <w:rStyle w:val="Hyperlink"/>
            <w:noProof/>
          </w:rPr>
          <w:t>Ghost Node Correction (GNC) Package</w:t>
        </w:r>
        <w:r w:rsidR="00303FFD">
          <w:rPr>
            <w:noProof/>
            <w:webHidden/>
          </w:rPr>
          <w:tab/>
        </w:r>
        <w:r w:rsidR="00303FFD">
          <w:rPr>
            <w:noProof/>
            <w:webHidden/>
          </w:rPr>
          <w:fldChar w:fldCharType="begin"/>
        </w:r>
        <w:r w:rsidR="00303FFD">
          <w:rPr>
            <w:noProof/>
            <w:webHidden/>
          </w:rPr>
          <w:instrText xml:space="preserve"> PAGEREF _Toc471825093 \h </w:instrText>
        </w:r>
        <w:r w:rsidR="00303FFD">
          <w:rPr>
            <w:noProof/>
            <w:webHidden/>
          </w:rPr>
        </w:r>
        <w:r w:rsidR="00303FFD">
          <w:rPr>
            <w:noProof/>
            <w:webHidden/>
          </w:rPr>
          <w:fldChar w:fldCharType="separate"/>
        </w:r>
        <w:r w:rsidR="001710BD">
          <w:rPr>
            <w:noProof/>
            <w:webHidden/>
          </w:rPr>
          <w:t>113</w:t>
        </w:r>
        <w:r w:rsidR="00303FFD">
          <w:rPr>
            <w:noProof/>
            <w:webHidden/>
          </w:rPr>
          <w:fldChar w:fldCharType="end"/>
        </w:r>
      </w:hyperlink>
    </w:p>
    <w:p w14:paraId="09A71355"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4" w:history="1">
        <w:r w:rsidR="00303FFD" w:rsidRPr="00AC3297">
          <w:rPr>
            <w:rStyle w:val="Hyperlink"/>
            <w:noProof/>
          </w:rPr>
          <w:t>Sparse Matrix Solver (SMS) Package</w:t>
        </w:r>
        <w:r w:rsidR="00303FFD">
          <w:rPr>
            <w:noProof/>
            <w:webHidden/>
          </w:rPr>
          <w:tab/>
        </w:r>
        <w:r w:rsidR="00303FFD">
          <w:rPr>
            <w:noProof/>
            <w:webHidden/>
          </w:rPr>
          <w:fldChar w:fldCharType="begin"/>
        </w:r>
        <w:r w:rsidR="00303FFD">
          <w:rPr>
            <w:noProof/>
            <w:webHidden/>
          </w:rPr>
          <w:instrText xml:space="preserve"> PAGEREF _Toc471825094 \h </w:instrText>
        </w:r>
        <w:r w:rsidR="00303FFD">
          <w:rPr>
            <w:noProof/>
            <w:webHidden/>
          </w:rPr>
        </w:r>
        <w:r w:rsidR="00303FFD">
          <w:rPr>
            <w:noProof/>
            <w:webHidden/>
          </w:rPr>
          <w:fldChar w:fldCharType="separate"/>
        </w:r>
        <w:r w:rsidR="001710BD">
          <w:rPr>
            <w:noProof/>
            <w:webHidden/>
          </w:rPr>
          <w:t>116</w:t>
        </w:r>
        <w:r w:rsidR="00303FFD">
          <w:rPr>
            <w:noProof/>
            <w:webHidden/>
          </w:rPr>
          <w:fldChar w:fldCharType="end"/>
        </w:r>
      </w:hyperlink>
    </w:p>
    <w:p w14:paraId="699D56FA"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5" w:history="1">
        <w:r w:rsidR="00303FFD" w:rsidRPr="00AC3297">
          <w:rPr>
            <w:rStyle w:val="Hyperlink"/>
            <w:noProof/>
          </w:rPr>
          <w:t>Input Instructions for Array Reading Utility Subroutines</w:t>
        </w:r>
        <w:r w:rsidR="00303FFD">
          <w:rPr>
            <w:noProof/>
            <w:webHidden/>
          </w:rPr>
          <w:tab/>
        </w:r>
        <w:r w:rsidR="00303FFD">
          <w:rPr>
            <w:noProof/>
            <w:webHidden/>
          </w:rPr>
          <w:fldChar w:fldCharType="begin"/>
        </w:r>
        <w:r w:rsidR="00303FFD">
          <w:rPr>
            <w:noProof/>
            <w:webHidden/>
          </w:rPr>
          <w:instrText xml:space="preserve"> PAGEREF _Toc471825095 \h </w:instrText>
        </w:r>
        <w:r w:rsidR="00303FFD">
          <w:rPr>
            <w:noProof/>
            <w:webHidden/>
          </w:rPr>
        </w:r>
        <w:r w:rsidR="00303FFD">
          <w:rPr>
            <w:noProof/>
            <w:webHidden/>
          </w:rPr>
          <w:fldChar w:fldCharType="separate"/>
        </w:r>
        <w:r w:rsidR="001710BD">
          <w:rPr>
            <w:noProof/>
            <w:webHidden/>
          </w:rPr>
          <w:t>122</w:t>
        </w:r>
        <w:r w:rsidR="00303FFD">
          <w:rPr>
            <w:noProof/>
            <w:webHidden/>
          </w:rPr>
          <w:fldChar w:fldCharType="end"/>
        </w:r>
      </w:hyperlink>
    </w:p>
    <w:p w14:paraId="541EB060"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6" w:history="1">
        <w:r w:rsidR="00303FFD" w:rsidRPr="00AC3297">
          <w:rPr>
            <w:rStyle w:val="Hyperlink"/>
            <w:noProof/>
          </w:rPr>
          <w:t>Input Instructions for List Utility Subroutine (ULSTRD)</w:t>
        </w:r>
        <w:r w:rsidR="00303FFD">
          <w:rPr>
            <w:noProof/>
            <w:webHidden/>
          </w:rPr>
          <w:tab/>
        </w:r>
        <w:r w:rsidR="00303FFD">
          <w:rPr>
            <w:noProof/>
            <w:webHidden/>
          </w:rPr>
          <w:fldChar w:fldCharType="begin"/>
        </w:r>
        <w:r w:rsidR="00303FFD">
          <w:rPr>
            <w:noProof/>
            <w:webHidden/>
          </w:rPr>
          <w:instrText xml:space="preserve"> PAGEREF _Toc471825096 \h </w:instrText>
        </w:r>
        <w:r w:rsidR="00303FFD">
          <w:rPr>
            <w:noProof/>
            <w:webHidden/>
          </w:rPr>
        </w:r>
        <w:r w:rsidR="00303FFD">
          <w:rPr>
            <w:noProof/>
            <w:webHidden/>
          </w:rPr>
          <w:fldChar w:fldCharType="separate"/>
        </w:r>
        <w:r w:rsidR="001710BD">
          <w:rPr>
            <w:noProof/>
            <w:webHidden/>
          </w:rPr>
          <w:t>126</w:t>
        </w:r>
        <w:r w:rsidR="00303FFD">
          <w:rPr>
            <w:noProof/>
            <w:webHidden/>
          </w:rPr>
          <w:fldChar w:fldCharType="end"/>
        </w:r>
      </w:hyperlink>
    </w:p>
    <w:p w14:paraId="386140DF" w14:textId="77777777" w:rsidR="00303FFD" w:rsidRDefault="00494DEE">
      <w:pPr>
        <w:pStyle w:val="TOC1"/>
        <w:rPr>
          <w:rFonts w:asciiTheme="minorHAnsi" w:eastAsiaTheme="minorEastAsia" w:hAnsiTheme="minorHAnsi" w:cstheme="minorBidi"/>
          <w:noProof/>
          <w:sz w:val="22"/>
          <w:szCs w:val="22"/>
        </w:rPr>
      </w:pPr>
      <w:hyperlink w:anchor="_Toc471825097" w:history="1">
        <w:r w:rsidR="00303FFD" w:rsidRPr="00AC3297">
          <w:rPr>
            <w:rStyle w:val="Hyperlink"/>
            <w:noProof/>
          </w:rPr>
          <w:t>Description of Binary Output Files</w:t>
        </w:r>
        <w:r w:rsidR="00303FFD">
          <w:rPr>
            <w:noProof/>
            <w:webHidden/>
          </w:rPr>
          <w:tab/>
        </w:r>
        <w:r w:rsidR="00303FFD">
          <w:rPr>
            <w:noProof/>
            <w:webHidden/>
          </w:rPr>
          <w:fldChar w:fldCharType="begin"/>
        </w:r>
        <w:r w:rsidR="00303FFD">
          <w:rPr>
            <w:noProof/>
            <w:webHidden/>
          </w:rPr>
          <w:instrText xml:space="preserve"> PAGEREF _Toc471825097 \h </w:instrText>
        </w:r>
        <w:r w:rsidR="00303FFD">
          <w:rPr>
            <w:noProof/>
            <w:webHidden/>
          </w:rPr>
        </w:r>
        <w:r w:rsidR="00303FFD">
          <w:rPr>
            <w:noProof/>
            <w:webHidden/>
          </w:rPr>
          <w:fldChar w:fldCharType="separate"/>
        </w:r>
        <w:r w:rsidR="001710BD">
          <w:rPr>
            <w:noProof/>
            <w:webHidden/>
          </w:rPr>
          <w:t>127</w:t>
        </w:r>
        <w:r w:rsidR="00303FFD">
          <w:rPr>
            <w:noProof/>
            <w:webHidden/>
          </w:rPr>
          <w:fldChar w:fldCharType="end"/>
        </w:r>
      </w:hyperlink>
    </w:p>
    <w:p w14:paraId="0602775E"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8" w:history="1">
        <w:r w:rsidR="00303FFD" w:rsidRPr="00AC3297">
          <w:rPr>
            <w:rStyle w:val="Hyperlink"/>
            <w:noProof/>
          </w:rPr>
          <w:t>Structured Head and Drawdown File Format</w:t>
        </w:r>
        <w:r w:rsidR="00303FFD">
          <w:rPr>
            <w:noProof/>
            <w:webHidden/>
          </w:rPr>
          <w:tab/>
        </w:r>
        <w:r w:rsidR="00303FFD">
          <w:rPr>
            <w:noProof/>
            <w:webHidden/>
          </w:rPr>
          <w:fldChar w:fldCharType="begin"/>
        </w:r>
        <w:r w:rsidR="00303FFD">
          <w:rPr>
            <w:noProof/>
            <w:webHidden/>
          </w:rPr>
          <w:instrText xml:space="preserve"> PAGEREF _Toc471825098 \h </w:instrText>
        </w:r>
        <w:r w:rsidR="00303FFD">
          <w:rPr>
            <w:noProof/>
            <w:webHidden/>
          </w:rPr>
        </w:r>
        <w:r w:rsidR="00303FFD">
          <w:rPr>
            <w:noProof/>
            <w:webHidden/>
          </w:rPr>
          <w:fldChar w:fldCharType="separate"/>
        </w:r>
        <w:r w:rsidR="001710BD">
          <w:rPr>
            <w:noProof/>
            <w:webHidden/>
          </w:rPr>
          <w:t>128</w:t>
        </w:r>
        <w:r w:rsidR="00303FFD">
          <w:rPr>
            <w:noProof/>
            <w:webHidden/>
          </w:rPr>
          <w:fldChar w:fldCharType="end"/>
        </w:r>
      </w:hyperlink>
    </w:p>
    <w:p w14:paraId="27AA0826"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099" w:history="1">
        <w:r w:rsidR="00303FFD" w:rsidRPr="00AC3297">
          <w:rPr>
            <w:rStyle w:val="Hyperlink"/>
            <w:noProof/>
          </w:rPr>
          <w:t>Unstructured Head and Drawdown File Format</w:t>
        </w:r>
        <w:r w:rsidR="00303FFD">
          <w:rPr>
            <w:noProof/>
            <w:webHidden/>
          </w:rPr>
          <w:tab/>
        </w:r>
        <w:r w:rsidR="00303FFD">
          <w:rPr>
            <w:noProof/>
            <w:webHidden/>
          </w:rPr>
          <w:fldChar w:fldCharType="begin"/>
        </w:r>
        <w:r w:rsidR="00303FFD">
          <w:rPr>
            <w:noProof/>
            <w:webHidden/>
          </w:rPr>
          <w:instrText xml:space="preserve"> PAGEREF _Toc471825099 \h </w:instrText>
        </w:r>
        <w:r w:rsidR="00303FFD">
          <w:rPr>
            <w:noProof/>
            <w:webHidden/>
          </w:rPr>
        </w:r>
        <w:r w:rsidR="00303FFD">
          <w:rPr>
            <w:noProof/>
            <w:webHidden/>
          </w:rPr>
          <w:fldChar w:fldCharType="separate"/>
        </w:r>
        <w:r w:rsidR="001710BD">
          <w:rPr>
            <w:noProof/>
            <w:webHidden/>
          </w:rPr>
          <w:t>129</w:t>
        </w:r>
        <w:r w:rsidR="00303FFD">
          <w:rPr>
            <w:noProof/>
            <w:webHidden/>
          </w:rPr>
          <w:fldChar w:fldCharType="end"/>
        </w:r>
      </w:hyperlink>
    </w:p>
    <w:p w14:paraId="410759B8"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100" w:history="1">
        <w:r w:rsidR="00303FFD" w:rsidRPr="00AC3297">
          <w:rPr>
            <w:rStyle w:val="Hyperlink"/>
            <w:noProof/>
          </w:rPr>
          <w:t>Structured Cell-by-Cell Flow File</w:t>
        </w:r>
        <w:r w:rsidR="00303FFD">
          <w:rPr>
            <w:noProof/>
            <w:webHidden/>
          </w:rPr>
          <w:tab/>
        </w:r>
        <w:r w:rsidR="00303FFD">
          <w:rPr>
            <w:noProof/>
            <w:webHidden/>
          </w:rPr>
          <w:fldChar w:fldCharType="begin"/>
        </w:r>
        <w:r w:rsidR="00303FFD">
          <w:rPr>
            <w:noProof/>
            <w:webHidden/>
          </w:rPr>
          <w:instrText xml:space="preserve"> PAGEREF _Toc471825100 \h </w:instrText>
        </w:r>
        <w:r w:rsidR="00303FFD">
          <w:rPr>
            <w:noProof/>
            <w:webHidden/>
          </w:rPr>
        </w:r>
        <w:r w:rsidR="00303FFD">
          <w:rPr>
            <w:noProof/>
            <w:webHidden/>
          </w:rPr>
          <w:fldChar w:fldCharType="separate"/>
        </w:r>
        <w:r w:rsidR="001710BD">
          <w:rPr>
            <w:noProof/>
            <w:webHidden/>
          </w:rPr>
          <w:t>130</w:t>
        </w:r>
        <w:r w:rsidR="00303FFD">
          <w:rPr>
            <w:noProof/>
            <w:webHidden/>
          </w:rPr>
          <w:fldChar w:fldCharType="end"/>
        </w:r>
      </w:hyperlink>
    </w:p>
    <w:p w14:paraId="5209BF5C" w14:textId="77777777" w:rsidR="00303FFD" w:rsidRDefault="00494DEE">
      <w:pPr>
        <w:pStyle w:val="TOC2"/>
        <w:tabs>
          <w:tab w:val="right" w:leader="dot" w:pos="10041"/>
        </w:tabs>
        <w:rPr>
          <w:rFonts w:asciiTheme="minorHAnsi" w:eastAsiaTheme="minorEastAsia" w:hAnsiTheme="minorHAnsi" w:cstheme="minorBidi"/>
          <w:noProof/>
          <w:sz w:val="22"/>
          <w:szCs w:val="22"/>
        </w:rPr>
      </w:pPr>
      <w:hyperlink w:anchor="_Toc471825101" w:history="1">
        <w:r w:rsidR="00303FFD" w:rsidRPr="00AC3297">
          <w:rPr>
            <w:rStyle w:val="Hyperlink"/>
            <w:noProof/>
          </w:rPr>
          <w:t>Unstructured Cell-by-Cell Flow File</w:t>
        </w:r>
        <w:r w:rsidR="00303FFD">
          <w:rPr>
            <w:noProof/>
            <w:webHidden/>
          </w:rPr>
          <w:tab/>
        </w:r>
        <w:r w:rsidR="00303FFD">
          <w:rPr>
            <w:noProof/>
            <w:webHidden/>
          </w:rPr>
          <w:fldChar w:fldCharType="begin"/>
        </w:r>
        <w:r w:rsidR="00303FFD">
          <w:rPr>
            <w:noProof/>
            <w:webHidden/>
          </w:rPr>
          <w:instrText xml:space="preserve"> PAGEREF _Toc471825101 \h </w:instrText>
        </w:r>
        <w:r w:rsidR="00303FFD">
          <w:rPr>
            <w:noProof/>
            <w:webHidden/>
          </w:rPr>
        </w:r>
        <w:r w:rsidR="00303FFD">
          <w:rPr>
            <w:noProof/>
            <w:webHidden/>
          </w:rPr>
          <w:fldChar w:fldCharType="separate"/>
        </w:r>
        <w:r w:rsidR="001710BD">
          <w:rPr>
            <w:noProof/>
            <w:webHidden/>
          </w:rPr>
          <w:t>132</w:t>
        </w:r>
        <w:r w:rsidR="00303FFD">
          <w:rPr>
            <w:noProof/>
            <w:webHidden/>
          </w:rPr>
          <w:fldChar w:fldCharType="end"/>
        </w:r>
      </w:hyperlink>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471825065"/>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471825066"/>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471825067"/>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6" w:name="_Toc471825068"/>
      <w:r>
        <w:lastRenderedPageBreak/>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471825069"/>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471825070"/>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471825071"/>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471825072"/>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471825073"/>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20022038"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471825074"/>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20022039"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471825075"/>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471825076"/>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471825077"/>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471825078"/>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471825079"/>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471825080"/>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471825081"/>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471825082"/>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471825083"/>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471825084"/>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471825085"/>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471825086"/>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471825087"/>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471825088"/>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471825089"/>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471825090"/>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lastRenderedPageBreak/>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7E6F12">
      <w:pPr>
        <w:keepNext/>
        <w:keepLines/>
        <w:spacing w:before="200"/>
        <w:outlineLvl w:val="1"/>
        <w:rPr>
          <w:b/>
          <w:bCs/>
          <w:color w:val="4F81BD"/>
        </w:rPr>
      </w:pPr>
      <w:r>
        <w:br w:type="page"/>
      </w:r>
      <w:bookmarkStart w:id="30" w:name="_Toc336609879"/>
      <w:bookmarkStart w:id="31" w:name="_Toc471825091"/>
      <w:r w:rsidR="007E6F12" w:rsidRPr="00D16E97">
        <w:rPr>
          <w:color w:val="4F81BD"/>
        </w:rPr>
        <w:lastRenderedPageBreak/>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lastRenderedPageBreak/>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lastRenderedPageBreak/>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77777777" w:rsidR="007E6F12" w:rsidRDefault="007E6F12" w:rsidP="007E6F12">
      <w:pPr>
        <w:autoSpaceDE w:val="0"/>
        <w:autoSpaceDN w:val="0"/>
        <w:adjustRightInd w:val="0"/>
        <w:rPr>
          <w:rFonts w:ascii="TimesNewRomanPSMT" w:hAnsi="TimesNewRomanPSMT" w:cs="TimesNewRomanPSMT"/>
          <w:color w:val="0000FF"/>
        </w:rPr>
      </w:pPr>
    </w:p>
    <w:p w14:paraId="6B2A394F" w14:textId="77777777" w:rsidR="00D16E97" w:rsidRDefault="00D16E97">
      <w:pPr>
        <w:rPr>
          <w:rFonts w:asciiTheme="majorHAnsi" w:eastAsiaTheme="majorEastAsia" w:hAnsiTheme="majorHAnsi" w:cstheme="majorBidi"/>
          <w:b/>
          <w:bCs/>
          <w:color w:val="4F81BD" w:themeColor="accent1"/>
          <w:sz w:val="26"/>
          <w:szCs w:val="26"/>
        </w:rPr>
      </w:pPr>
      <w:r>
        <w:lastRenderedPageBreak/>
        <w:br w:type="page"/>
      </w:r>
    </w:p>
    <w:p w14:paraId="05E4DF4B" w14:textId="5A28D2C2" w:rsidR="00242BA9" w:rsidRDefault="00242BA9" w:rsidP="00242BA9">
      <w:pPr>
        <w:pStyle w:val="Heading2"/>
      </w:pPr>
      <w:bookmarkStart w:id="32" w:name="_Toc471825092"/>
      <w:r w:rsidRPr="001D1C0A">
        <w:lastRenderedPageBreak/>
        <w:t>Connected Line</w:t>
      </w:r>
      <w:r>
        <w:t>ar</w:t>
      </w:r>
      <w:r w:rsidRPr="001D1C0A">
        <w:t xml:space="preserve"> Network</w:t>
      </w:r>
      <w:r>
        <w:t xml:space="preserve"> (CLN) Process</w:t>
      </w:r>
      <w:bookmarkEnd w:id="32"/>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20022040"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20022041"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3" w:name="_Toc471825093"/>
      <w:r w:rsidRPr="00F10987">
        <w:lastRenderedPageBreak/>
        <w:t>Ghost Node Correction (GNC) Package</w:t>
      </w:r>
      <w:bookmarkEnd w:id="33"/>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20022042"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20022043"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20022044"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20022045"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20022046"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20022047"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20022048"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20022049"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20022050"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4" w:name="_Toc471825094"/>
      <w:r w:rsidR="00A70EF8" w:rsidRPr="00901D18">
        <w:lastRenderedPageBreak/>
        <w:t>Sparse Matrix Solver (SMS) Package</w:t>
      </w:r>
      <w:bookmarkEnd w:id="34"/>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5" w:name="_Toc471825095"/>
      <w:r w:rsidR="005E4555" w:rsidRPr="005E4555">
        <w:lastRenderedPageBreak/>
        <w:t>Input Instructions for Array Reading Utility Subroutines</w:t>
      </w:r>
      <w:bookmarkEnd w:id="35"/>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6" w:name="_Toc471825096"/>
      <w:r>
        <w:lastRenderedPageBreak/>
        <w:t>Input Instructions for List Utility Subroutine (ULSTRD)</w:t>
      </w:r>
      <w:bookmarkEnd w:id="36"/>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7" w:name="_Toc461332618"/>
      <w:bookmarkStart w:id="38" w:name="_Toc488479934"/>
      <w:r w:rsidRPr="003137D4">
        <w:rPr>
          <w:sz w:val="24"/>
          <w:szCs w:val="24"/>
        </w:rPr>
        <w:t>Explanation of Variables Read by the List Utility Subroutine</w:t>
      </w:r>
      <w:bookmarkEnd w:id="37"/>
      <w:bookmarkEnd w:id="38"/>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9" w:name="_Toc471825097"/>
      <w:r w:rsidR="005133E3" w:rsidRPr="005133E3">
        <w:lastRenderedPageBreak/>
        <w:t>Description of Binary Output Files</w:t>
      </w:r>
      <w:bookmarkEnd w:id="39"/>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0" w:name="_Toc471825098"/>
      <w:r w:rsidR="005133E3" w:rsidRPr="000A5122">
        <w:lastRenderedPageBreak/>
        <w:t>Structured Head and Drawdown File Format</w:t>
      </w:r>
      <w:bookmarkEnd w:id="40"/>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1" w:name="_Toc471825099"/>
      <w:r w:rsidR="005133E3" w:rsidRPr="005133E3">
        <w:lastRenderedPageBreak/>
        <w:t>Unstructured Head and Drawdown File Format</w:t>
      </w:r>
      <w:bookmarkEnd w:id="41"/>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2" w:name="_Toc471825100"/>
      <w:r w:rsidR="005133E3" w:rsidRPr="005133E3">
        <w:lastRenderedPageBreak/>
        <w:t>Structured Cell-by-Cell Flow File</w:t>
      </w:r>
      <w:bookmarkEnd w:id="42"/>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3" w:name="_Toc471825101"/>
      <w:r>
        <w:lastRenderedPageBreak/>
        <w:t>Unstructured Cell-by-Cell Flow File</w:t>
      </w:r>
      <w:bookmarkEnd w:id="43"/>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4DEE">
      <w:rPr>
        <w:rStyle w:val="PageNumber"/>
        <w:noProof/>
      </w:rPr>
      <w:t>1</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E140-1187-9649-BEBB-FAB8F66B5AE4}">
  <ds:schemaRefs>
    <ds:schemaRef ds:uri="http://schemas.openxmlformats.org/officeDocument/2006/bibliography"/>
  </ds:schemaRefs>
</ds:datastoreItem>
</file>

<file path=customXml/itemProps2.xml><?xml version="1.0" encoding="utf-8"?>
<ds:datastoreItem xmlns:ds="http://schemas.openxmlformats.org/officeDocument/2006/customXml" ds:itemID="{C8877862-F70D-4F44-9316-2455FDD1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133</Pages>
  <Words>46866</Words>
  <Characters>267142</Characters>
  <Application>Microsoft Macintosh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313382</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66</cp:revision>
  <cp:lastPrinted>2017-01-10T20:24:00Z</cp:lastPrinted>
  <dcterms:created xsi:type="dcterms:W3CDTF">2013-04-30T13:05:00Z</dcterms:created>
  <dcterms:modified xsi:type="dcterms:W3CDTF">2017-01-17T18:47:00Z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