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183916"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183917"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183918"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lastRenderedPageBreak/>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w:t>
      </w:r>
      <w:r w:rsidRPr="005C0BAD">
        <w:rPr>
          <w:rFonts w:eastAsiaTheme="minorHAnsi"/>
          <w:sz w:val="22"/>
          <w:szCs w:val="22"/>
        </w:rPr>
        <w:lastRenderedPageBreak/>
        <w:t>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183919"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bookmarkStart w:id="17" w:name="_GoBack"/>
      <w:bookmarkEnd w:id="17"/>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w:t>
      </w:r>
      <w:r w:rsidR="00AB5EA1">
        <w:rPr>
          <w:rFonts w:eastAsiaTheme="minorHAnsi"/>
          <w:sz w:val="22"/>
          <w:szCs w:val="22"/>
        </w:rPr>
        <w:lastRenderedPageBreak/>
        <w:t xml:space="preserve">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w:t>
      </w:r>
      <w:r w:rsidRPr="00425483">
        <w:rPr>
          <w:rFonts w:eastAsiaTheme="minorHAnsi"/>
          <w:sz w:val="22"/>
          <w:szCs w:val="22"/>
        </w:rPr>
        <w:lastRenderedPageBreak/>
        <w:t>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619C0" w14:textId="77777777" w:rsidR="003F53F1" w:rsidRDefault="003F53F1" w:rsidP="00BA48E4">
      <w:pPr>
        <w:spacing w:after="0" w:line="240" w:lineRule="auto"/>
      </w:pPr>
      <w:r>
        <w:separator/>
      </w:r>
    </w:p>
  </w:endnote>
  <w:endnote w:type="continuationSeparator" w:id="0">
    <w:p w14:paraId="66C80562" w14:textId="77777777" w:rsidR="003F53F1" w:rsidRDefault="003F53F1"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BC5D66" w:rsidRDefault="00BC5D66">
        <w:pPr>
          <w:pStyle w:val="Footer"/>
          <w:jc w:val="center"/>
        </w:pPr>
        <w:r>
          <w:fldChar w:fldCharType="begin"/>
        </w:r>
        <w:r>
          <w:instrText xml:space="preserve"> PAGE   \* MERGEFORMAT </w:instrText>
        </w:r>
        <w:r>
          <w:fldChar w:fldCharType="separate"/>
        </w:r>
        <w:r w:rsidR="004C1485">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9BEEA" w14:textId="77777777" w:rsidR="003F53F1" w:rsidRDefault="003F53F1" w:rsidP="00BA48E4">
      <w:pPr>
        <w:spacing w:after="0" w:line="240" w:lineRule="auto"/>
      </w:pPr>
      <w:r>
        <w:separator/>
      </w:r>
    </w:p>
  </w:footnote>
  <w:footnote w:type="continuationSeparator" w:id="0">
    <w:p w14:paraId="3127C283" w14:textId="77777777" w:rsidR="003F53F1" w:rsidRDefault="003F53F1"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13C6D-1C29-409C-BB09-647ECE20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20084</TotalTime>
  <Pages>45</Pages>
  <Words>14336</Words>
  <Characters>81717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22</cp:revision>
  <cp:lastPrinted>2012-10-10T19:14:00Z</cp:lastPrinted>
  <dcterms:created xsi:type="dcterms:W3CDTF">2014-05-27T19:04:00Z</dcterms:created>
  <dcterms:modified xsi:type="dcterms:W3CDTF">2016-01-13T17:52:00Z</dcterms:modified>
</cp:coreProperties>
</file>