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rsidR="00F67271" w:rsidRDefault="00503C0F" w:rsidP="0075198B">
      <w:pPr>
        <w:pStyle w:val="Heading1"/>
        <w:numPr>
          <w:ilvl w:val="0"/>
          <w:numId w:val="9"/>
        </w:numPr>
        <w:ind w:left="540" w:hanging="540"/>
      </w:pPr>
      <w:bookmarkStart w:id="0" w:name="_Toc321942231"/>
      <w:r>
        <w:t>Input</w:t>
      </w:r>
      <w:bookmarkEnd w:id="0"/>
    </w:p>
    <w:p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rsidR="0016755A" w:rsidRDefault="0016755A" w:rsidP="00413203">
      <w:pPr>
        <w:autoSpaceDE w:val="0"/>
        <w:autoSpaceDN w:val="0"/>
        <w:adjustRightInd w:val="0"/>
        <w:spacing w:after="0" w:line="240" w:lineRule="auto"/>
        <w:jc w:val="both"/>
      </w:pPr>
    </w:p>
    <w:p w:rsidR="005D302A" w:rsidRDefault="005D302A" w:rsidP="005D302A">
      <w:pPr>
        <w:pStyle w:val="Heading2"/>
      </w:pPr>
      <w:bookmarkStart w:id="1" w:name="_Toc321942232"/>
      <w:r>
        <w:t>NAM File</w:t>
      </w:r>
      <w:bookmarkEnd w:id="1"/>
    </w:p>
    <w:p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rsidR="00E63215" w:rsidRDefault="00E63215" w:rsidP="00413203">
      <w:pPr>
        <w:spacing w:after="0" w:line="240" w:lineRule="auto"/>
        <w:jc w:val="both"/>
      </w:pPr>
    </w:p>
    <w:p w:rsidR="00E63215" w:rsidRDefault="00E63215" w:rsidP="00413203">
      <w:pPr>
        <w:autoSpaceDE w:val="0"/>
        <w:autoSpaceDN w:val="0"/>
        <w:adjustRightInd w:val="0"/>
        <w:spacing w:after="0" w:line="240" w:lineRule="auto"/>
        <w:jc w:val="both"/>
      </w:pPr>
      <w:r w:rsidRPr="001B4315">
        <w:t>For each simulation:</w:t>
      </w:r>
    </w:p>
    <w:p w:rsidR="00B40618" w:rsidRPr="001B4315" w:rsidRDefault="00B40618" w:rsidP="00B40618">
      <w:pPr>
        <w:autoSpaceDE w:val="0"/>
        <w:autoSpaceDN w:val="0"/>
        <w:adjustRightInd w:val="0"/>
        <w:spacing w:after="0" w:line="240" w:lineRule="auto"/>
      </w:pPr>
    </w:p>
    <w:p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rsidR="00F27FFC" w:rsidRDefault="00805032" w:rsidP="000A469D">
      <w:pPr>
        <w:autoSpaceDE w:val="0"/>
        <w:autoSpaceDN w:val="0"/>
        <w:adjustRightInd w:val="0"/>
        <w:spacing w:after="0" w:line="240" w:lineRule="auto"/>
        <w:ind w:firstLine="720"/>
      </w:pPr>
      <w:r>
        <w:t xml:space="preserve">Format: </w:t>
      </w:r>
      <w:r>
        <w:tab/>
        <w:t>Free</w:t>
      </w:r>
    </w:p>
    <w:p w:rsidR="00173FD8" w:rsidRDefault="00173FD8" w:rsidP="00AE57C7">
      <w:pPr>
        <w:spacing w:after="0" w:line="240" w:lineRule="auto"/>
      </w:pPr>
    </w:p>
    <w:p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rsidR="00E11BA6" w:rsidRDefault="00E11BA6" w:rsidP="00413203">
      <w:pPr>
        <w:spacing w:after="0" w:line="240" w:lineRule="auto"/>
        <w:jc w:val="both"/>
      </w:pPr>
    </w:p>
    <w:p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rsidR="006939C8" w:rsidRDefault="006939C8" w:rsidP="00AE57C7">
      <w:pPr>
        <w:spacing w:after="0" w:line="240" w:lineRule="auto"/>
      </w:pPr>
    </w:p>
    <w:p w:rsidR="006939C8" w:rsidRPr="006939C8" w:rsidRDefault="006939C8" w:rsidP="006939C8">
      <w:pPr>
        <w:spacing w:after="0" w:line="240" w:lineRule="auto"/>
        <w:rPr>
          <w:b/>
          <w:bCs/>
          <w:iCs/>
        </w:rPr>
      </w:pPr>
      <w:r w:rsidRPr="006939C8">
        <w:rPr>
          <w:b/>
          <w:bCs/>
          <w:iCs/>
        </w:rPr>
        <w:t>Explanation of Variables in the Name File</w:t>
      </w:r>
    </w:p>
    <w:p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rsidR="006939C8" w:rsidRPr="006939C8" w:rsidRDefault="006939C8" w:rsidP="006939C8">
      <w:pPr>
        <w:spacing w:after="0" w:line="240" w:lineRule="auto"/>
      </w:pPr>
    </w:p>
    <w:p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rsidR="006939C8" w:rsidRPr="006939C8" w:rsidRDefault="006939C8" w:rsidP="00413203">
      <w:pPr>
        <w:spacing w:after="0" w:line="240" w:lineRule="auto"/>
        <w:jc w:val="both"/>
      </w:pPr>
      <w:r w:rsidRPr="006939C8">
        <w:rPr>
          <w:b/>
          <w:bCs/>
          <w:i/>
          <w:iCs/>
        </w:rPr>
        <w:t xml:space="preserve">ADV </w:t>
      </w:r>
      <w:r w:rsidRPr="006939C8">
        <w:t>for the MT3DMS Advection Package.</w:t>
      </w:r>
    </w:p>
    <w:p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rsidR="006939C8" w:rsidRPr="006939C8" w:rsidRDefault="006939C8" w:rsidP="00413203">
      <w:pPr>
        <w:spacing w:after="0" w:line="240" w:lineRule="auto"/>
        <w:jc w:val="both"/>
      </w:pPr>
      <w:r w:rsidRPr="006939C8">
        <w:rPr>
          <w:b/>
          <w:bCs/>
          <w:i/>
          <w:iCs/>
        </w:rPr>
        <w:t xml:space="preserve">RCT </w:t>
      </w:r>
      <w:r w:rsidRPr="006939C8">
        <w:t>for the MT3DMS Reaction Package.</w:t>
      </w:r>
    </w:p>
    <w:p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rsidR="00B02131" w:rsidRPr="006939C8" w:rsidRDefault="00B02131" w:rsidP="00413203">
      <w:pPr>
        <w:spacing w:after="0" w:line="240" w:lineRule="auto"/>
        <w:jc w:val="both"/>
      </w:pPr>
    </w:p>
    <w:p w:rsidR="00CC1BC9" w:rsidRDefault="00CC1BC9" w:rsidP="00413203">
      <w:pPr>
        <w:spacing w:after="0" w:line="240" w:lineRule="auto"/>
        <w:jc w:val="both"/>
      </w:pPr>
      <w:r>
        <w:rPr>
          <w:noProof/>
        </w:rPr>
        <w:drawing>
          <wp:inline distT="0" distB="0" distL="0" distR="0">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rsidR="00CC1BC9" w:rsidRDefault="00CC1BC9" w:rsidP="00413203">
      <w:pPr>
        <w:spacing w:after="0" w:line="240" w:lineRule="auto"/>
        <w:jc w:val="both"/>
      </w:pPr>
    </w:p>
    <w:p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rsidR="00AB5F1F" w:rsidRDefault="00AB5F1F" w:rsidP="00413203">
      <w:pPr>
        <w:spacing w:after="0" w:line="240" w:lineRule="auto"/>
        <w:jc w:val="both"/>
      </w:pPr>
    </w:p>
    <w:p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rsidR="00AB5F1F" w:rsidRDefault="00AB5F1F" w:rsidP="00413203">
      <w:pPr>
        <w:spacing w:after="0" w:line="240" w:lineRule="auto"/>
        <w:jc w:val="both"/>
        <w:rPr>
          <w:b/>
          <w:bCs/>
        </w:rPr>
      </w:pPr>
    </w:p>
    <w:p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rsidR="004A65A1" w:rsidRPr="006939C8" w:rsidRDefault="004A65A1" w:rsidP="00413203">
      <w:pPr>
        <w:spacing w:after="0" w:line="240" w:lineRule="auto"/>
        <w:jc w:val="both"/>
      </w:pPr>
    </w:p>
    <w:p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rsidR="00ED4B7C" w:rsidRDefault="00ED4B7C" w:rsidP="00413203">
      <w:pPr>
        <w:spacing w:after="0" w:line="240" w:lineRule="auto"/>
        <w:jc w:val="both"/>
        <w:rPr>
          <w:b/>
          <w:bCs/>
        </w:rPr>
      </w:pPr>
    </w:p>
    <w:p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rsidR="00B92E48" w:rsidRDefault="00B92E48" w:rsidP="00B92E48">
      <w:pPr>
        <w:pStyle w:val="Heading2"/>
      </w:pPr>
      <w:bookmarkStart w:id="2" w:name="_Toc321942233"/>
      <w:r>
        <w:t>ADV Package</w:t>
      </w:r>
      <w:bookmarkEnd w:id="2"/>
    </w:p>
    <w:p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rsidR="00B92E48" w:rsidRDefault="00B92E48" w:rsidP="00B92E48">
      <w:pPr>
        <w:spacing w:after="0" w:line="240" w:lineRule="auto"/>
        <w:jc w:val="both"/>
      </w:pPr>
    </w:p>
    <w:p w:rsidR="00B07CA0" w:rsidRDefault="00B07CA0" w:rsidP="00B07CA0">
      <w:pPr>
        <w:autoSpaceDE w:val="0"/>
        <w:autoSpaceDN w:val="0"/>
        <w:adjustRightInd w:val="0"/>
        <w:spacing w:after="0" w:line="240" w:lineRule="auto"/>
        <w:jc w:val="both"/>
      </w:pPr>
      <w:r w:rsidRPr="001B4315">
        <w:t>For each simulation:</w:t>
      </w:r>
    </w:p>
    <w:p w:rsidR="00B07CA0" w:rsidRPr="001B4315" w:rsidRDefault="00B07CA0" w:rsidP="00B07CA0">
      <w:pPr>
        <w:autoSpaceDE w:val="0"/>
        <w:autoSpaceDN w:val="0"/>
        <w:adjustRightInd w:val="0"/>
        <w:spacing w:after="0" w:line="240" w:lineRule="auto"/>
        <w:jc w:val="both"/>
      </w:pPr>
    </w:p>
    <w:p w:rsidR="00B07CA0" w:rsidRPr="001B4315" w:rsidRDefault="00B07CA0" w:rsidP="00B07CA0">
      <w:pPr>
        <w:autoSpaceDE w:val="0"/>
        <w:autoSpaceDN w:val="0"/>
        <w:adjustRightInd w:val="0"/>
        <w:spacing w:after="0" w:line="240" w:lineRule="auto"/>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p>
    <w:p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rsidR="00BE1032" w:rsidRDefault="00BE1032" w:rsidP="00BE1032">
      <w:pPr>
        <w:pStyle w:val="ListParagraph"/>
        <w:autoSpaceDE w:val="0"/>
        <w:autoSpaceDN w:val="0"/>
        <w:adjustRightInd w:val="0"/>
        <w:spacing w:after="0" w:line="240" w:lineRule="auto"/>
        <w:ind w:left="2160"/>
      </w:pPr>
      <w:r>
        <w:t>= 1, the forward-tracking method of characteristics (MOC);</w:t>
      </w:r>
    </w:p>
    <w:p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rsidR="00BE1032" w:rsidRDefault="00BE1032" w:rsidP="00BE1032">
      <w:pPr>
        <w:pStyle w:val="ListParagraph"/>
        <w:autoSpaceDE w:val="0"/>
        <w:autoSpaceDN w:val="0"/>
        <w:adjustRightInd w:val="0"/>
        <w:spacing w:after="0" w:line="240" w:lineRule="auto"/>
        <w:ind w:left="2160"/>
      </w:pPr>
      <w:r>
        <w:t>= -1, the third-order TVD scheme (ULTIMATE).</w:t>
      </w:r>
    </w:p>
    <w:p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rsidR="00795F18" w:rsidRDefault="00795F18" w:rsidP="00795F18">
      <w:pPr>
        <w:pStyle w:val="ListParagraph"/>
        <w:autoSpaceDE w:val="0"/>
        <w:autoSpaceDN w:val="0"/>
        <w:adjustRightInd w:val="0"/>
        <w:spacing w:after="0" w:line="240" w:lineRule="auto"/>
        <w:ind w:left="2160"/>
        <w:jc w:val="both"/>
      </w:pPr>
    </w:p>
    <w:p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rsidR="00795F18" w:rsidRDefault="00795F18" w:rsidP="00795F18">
      <w:pPr>
        <w:pStyle w:val="ListParagraph"/>
        <w:autoSpaceDE w:val="0"/>
        <w:autoSpaceDN w:val="0"/>
        <w:adjustRightInd w:val="0"/>
        <w:spacing w:after="0" w:line="240" w:lineRule="auto"/>
        <w:ind w:left="2160"/>
        <w:jc w:val="both"/>
      </w:pPr>
    </w:p>
    <w:p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rsidR="00556FC0" w:rsidRDefault="00556FC0" w:rsidP="00556FC0">
      <w:pPr>
        <w:spacing w:after="0" w:line="240" w:lineRule="auto"/>
        <w:jc w:val="both"/>
      </w:pPr>
    </w:p>
    <w:p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rsidR="004E72B4" w:rsidRDefault="002B674C" w:rsidP="004E72B4">
      <w:pPr>
        <w:pStyle w:val="ListParagraph"/>
        <w:autoSpaceDE w:val="0"/>
        <w:autoSpaceDN w:val="0"/>
        <w:adjustRightInd w:val="0"/>
        <w:spacing w:after="0" w:line="240" w:lineRule="auto"/>
        <w:ind w:left="2160"/>
        <w:jc w:val="both"/>
      </w:pPr>
      <w:r>
        <w:lastRenderedPageBreak/>
        <w:t>= 2, central-in-space weighting.</w:t>
      </w:r>
    </w:p>
    <w:p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rsidR="00E63211" w:rsidRDefault="00E63211" w:rsidP="00207A45">
      <w:pPr>
        <w:pStyle w:val="ListParagraph"/>
        <w:autoSpaceDE w:val="0"/>
        <w:autoSpaceDN w:val="0"/>
        <w:adjustRightInd w:val="0"/>
        <w:spacing w:after="0" w:line="240" w:lineRule="auto"/>
        <w:ind w:left="2160"/>
        <w:jc w:val="both"/>
      </w:pPr>
    </w:p>
    <w:p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rsidR="00E63211" w:rsidRDefault="00E63211" w:rsidP="00E63211">
      <w:pPr>
        <w:autoSpaceDE w:val="0"/>
        <w:autoSpaceDN w:val="0"/>
        <w:adjustRightInd w:val="0"/>
        <w:spacing w:after="0" w:line="240" w:lineRule="auto"/>
        <w:rPr>
          <w:rFonts w:eastAsiaTheme="minorHAnsi"/>
          <w:sz w:val="22"/>
          <w:szCs w:val="22"/>
        </w:rPr>
      </w:pPr>
    </w:p>
    <w:p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rsidR="00E63211" w:rsidRDefault="00E63211" w:rsidP="00E63211">
      <w:pPr>
        <w:autoSpaceDE w:val="0"/>
        <w:autoSpaceDN w:val="0"/>
        <w:adjustRightInd w:val="0"/>
        <w:spacing w:after="0" w:line="240" w:lineRule="auto"/>
        <w:rPr>
          <w:rFonts w:eastAsiaTheme="minorHAnsi"/>
          <w:sz w:val="22"/>
          <w:szCs w:val="22"/>
        </w:rPr>
      </w:pPr>
    </w:p>
    <w:p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rsidR="00F3252D" w:rsidRDefault="00F3252D" w:rsidP="00F3252D">
      <w:pPr>
        <w:autoSpaceDE w:val="0"/>
        <w:autoSpaceDN w:val="0"/>
        <w:adjustRightInd w:val="0"/>
        <w:spacing w:after="0" w:line="240" w:lineRule="auto"/>
        <w:rPr>
          <w:rFonts w:eastAsiaTheme="minorHAnsi"/>
          <w:sz w:val="22"/>
          <w:szCs w:val="22"/>
        </w:rPr>
      </w:pPr>
    </w:p>
    <w:p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rsidR="00F3252D" w:rsidRDefault="00F3252D" w:rsidP="00F3252D">
      <w:pPr>
        <w:autoSpaceDE w:val="0"/>
        <w:autoSpaceDN w:val="0"/>
        <w:adjustRightInd w:val="0"/>
        <w:spacing w:after="0" w:line="240" w:lineRule="auto"/>
        <w:rPr>
          <w:rFonts w:eastAsiaTheme="minorHAnsi"/>
          <w:sz w:val="22"/>
          <w:szCs w:val="22"/>
        </w:rPr>
      </w:pPr>
    </w:p>
    <w:p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rsidR="00F3252D" w:rsidRDefault="00F3252D" w:rsidP="00F3252D">
      <w:pPr>
        <w:autoSpaceDE w:val="0"/>
        <w:autoSpaceDN w:val="0"/>
        <w:adjustRightInd w:val="0"/>
        <w:spacing w:after="0" w:line="240" w:lineRule="auto"/>
        <w:ind w:left="2160"/>
        <w:rPr>
          <w:rFonts w:eastAsiaTheme="minorHAnsi"/>
          <w:sz w:val="22"/>
          <w:szCs w:val="22"/>
        </w:rPr>
      </w:pPr>
    </w:p>
    <w:p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rsidR="00F3252D" w:rsidRDefault="00F3252D" w:rsidP="00F3252D">
      <w:pPr>
        <w:autoSpaceDE w:val="0"/>
        <w:autoSpaceDN w:val="0"/>
        <w:adjustRightInd w:val="0"/>
        <w:spacing w:after="0" w:line="240" w:lineRule="auto"/>
        <w:rPr>
          <w:rFonts w:eastAsiaTheme="minorHAnsi"/>
          <w:sz w:val="22"/>
          <w:szCs w:val="22"/>
        </w:rPr>
      </w:pPr>
    </w:p>
    <w:p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plan view, set NPLANE = 1.  For cross sectional or three-dimensional simulations, </w:t>
      </w:r>
      <w:r>
        <w:rPr>
          <w:rFonts w:eastAsiaTheme="minorHAnsi"/>
          <w:sz w:val="22"/>
          <w:szCs w:val="22"/>
        </w:rPr>
        <w:lastRenderedPageBreak/>
        <w:t>NPLANE = 2 is normally adequate.  Increase NPLANE if more resolution in the vertical direction is desired.</w:t>
      </w:r>
    </w:p>
    <w:p w:rsidR="00663208" w:rsidRDefault="00663208" w:rsidP="00663208">
      <w:pPr>
        <w:autoSpaceDE w:val="0"/>
        <w:autoSpaceDN w:val="0"/>
        <w:adjustRightInd w:val="0"/>
        <w:spacing w:after="0" w:line="240" w:lineRule="auto"/>
        <w:ind w:left="2160"/>
        <w:rPr>
          <w:rFonts w:eastAsiaTheme="minorHAnsi"/>
          <w:sz w:val="22"/>
          <w:szCs w:val="22"/>
        </w:rPr>
      </w:pPr>
    </w:p>
    <w:p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rsidR="004E231A" w:rsidRPr="004E231A" w:rsidRDefault="004E231A" w:rsidP="004E231A">
      <w:pPr>
        <w:pStyle w:val="ListParagraph"/>
        <w:rPr>
          <w:rFonts w:eastAsiaTheme="minorHAnsi"/>
          <w:sz w:val="22"/>
          <w:szCs w:val="22"/>
        </w:rPr>
      </w:pPr>
    </w:p>
    <w:p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lastRenderedPageBreak/>
        <w:t>INTERP is a flag indicating the concentration interpolation method for use in the MMOC scheme. Currently, only linear interpolation is implemented. Enter INTERP = 1.</w:t>
      </w:r>
    </w:p>
    <w:p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rsidR="004E231A" w:rsidRDefault="004E231A" w:rsidP="004E231A">
      <w:pPr>
        <w:autoSpaceDE w:val="0"/>
        <w:autoSpaceDN w:val="0"/>
        <w:adjustRightInd w:val="0"/>
        <w:spacing w:after="0" w:line="240" w:lineRule="auto"/>
        <w:rPr>
          <w:rFonts w:eastAsiaTheme="minorHAnsi"/>
          <w:sz w:val="22"/>
          <w:szCs w:val="22"/>
        </w:rPr>
      </w:pPr>
    </w:p>
    <w:p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rsidR="00663208" w:rsidRDefault="00663208" w:rsidP="00663208">
      <w:pPr>
        <w:pStyle w:val="ListParagraph"/>
        <w:autoSpaceDE w:val="0"/>
        <w:autoSpaceDN w:val="0"/>
        <w:adjustRightInd w:val="0"/>
        <w:spacing w:after="0" w:line="240" w:lineRule="auto"/>
        <w:ind w:left="2160"/>
        <w:rPr>
          <w:rFonts w:eastAsiaTheme="minorHAnsi"/>
          <w:sz w:val="22"/>
          <w:szCs w:val="22"/>
        </w:rPr>
      </w:pPr>
    </w:p>
    <w:p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rsidR="00663208" w:rsidRDefault="00663208" w:rsidP="00663208">
      <w:pPr>
        <w:autoSpaceDE w:val="0"/>
        <w:autoSpaceDN w:val="0"/>
        <w:adjustRightInd w:val="0"/>
        <w:spacing w:after="0" w:line="240" w:lineRule="auto"/>
        <w:ind w:left="2160"/>
        <w:rPr>
          <w:rFonts w:eastAsiaTheme="minorHAnsi"/>
          <w:sz w:val="22"/>
          <w:szCs w:val="22"/>
        </w:rPr>
      </w:pPr>
    </w:p>
    <w:p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rsidR="00F3252D" w:rsidRDefault="00F3252D" w:rsidP="00F3252D">
      <w:pPr>
        <w:autoSpaceDE w:val="0"/>
        <w:autoSpaceDN w:val="0"/>
        <w:adjustRightInd w:val="0"/>
        <w:spacing w:after="0" w:line="240" w:lineRule="auto"/>
      </w:pPr>
    </w:p>
    <w:p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rsidR="0011184C" w:rsidRDefault="0011184C" w:rsidP="002B674C">
      <w:pPr>
        <w:spacing w:after="0" w:line="240" w:lineRule="auto"/>
        <w:jc w:val="both"/>
      </w:pPr>
    </w:p>
    <w:p w:rsidR="001D37D3" w:rsidRDefault="001D37D3" w:rsidP="001D37D3">
      <w:pPr>
        <w:pStyle w:val="Heading2"/>
      </w:pPr>
      <w:bookmarkStart w:id="3" w:name="_Toc321942235"/>
      <w:r>
        <w:t>BTN Package</w:t>
      </w:r>
      <w:bookmarkEnd w:id="3"/>
    </w:p>
    <w:p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rsidR="001D37D3" w:rsidRDefault="001D37D3" w:rsidP="001D37D3">
      <w:pPr>
        <w:spacing w:after="0" w:line="240" w:lineRule="auto"/>
        <w:jc w:val="both"/>
      </w:pPr>
    </w:p>
    <w:p w:rsidR="001D37D3" w:rsidRDefault="001D37D3" w:rsidP="001D37D3">
      <w:pPr>
        <w:autoSpaceDE w:val="0"/>
        <w:autoSpaceDN w:val="0"/>
        <w:adjustRightInd w:val="0"/>
        <w:spacing w:after="0" w:line="240" w:lineRule="auto"/>
        <w:rPr>
          <w:sz w:val="22"/>
          <w:szCs w:val="22"/>
        </w:rPr>
      </w:pPr>
      <w:r>
        <w:rPr>
          <w:sz w:val="22"/>
          <w:szCs w:val="22"/>
        </w:rPr>
        <w:t>For each simulation:</w:t>
      </w:r>
    </w:p>
    <w:p w:rsidR="001D37D3" w:rsidRDefault="001D37D3" w:rsidP="001D37D3">
      <w:pPr>
        <w:autoSpaceDE w:val="0"/>
        <w:autoSpaceDN w:val="0"/>
        <w:adjustRightInd w:val="0"/>
        <w:spacing w:after="0" w:line="240" w:lineRule="auto"/>
        <w:rPr>
          <w:sz w:val="22"/>
          <w:szCs w:val="22"/>
        </w:rPr>
      </w:pPr>
    </w:p>
    <w:p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NROW is the total number of rows;</w:t>
      </w:r>
    </w:p>
    <w:p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rsidR="001D37D3" w:rsidRDefault="001D37D3" w:rsidP="001D37D3">
      <w:pPr>
        <w:autoSpaceDE w:val="0"/>
        <w:autoSpaceDN w:val="0"/>
        <w:adjustRightInd w:val="0"/>
        <w:spacing w:after="0" w:line="240" w:lineRule="auto"/>
        <w:ind w:left="1440" w:firstLine="720"/>
        <w:rPr>
          <w:sz w:val="22"/>
          <w:szCs w:val="22"/>
        </w:rPr>
      </w:pPr>
    </w:p>
    <w:p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rsidR="001D37D3" w:rsidRDefault="001D37D3" w:rsidP="001D37D3">
      <w:pPr>
        <w:autoSpaceDE w:val="0"/>
        <w:autoSpaceDN w:val="0"/>
        <w:adjustRightInd w:val="0"/>
        <w:spacing w:after="0" w:line="240" w:lineRule="auto"/>
        <w:ind w:left="2160"/>
        <w:rPr>
          <w:rFonts w:eastAsiaTheme="minorHAnsi"/>
          <w:sz w:val="22"/>
          <w:szCs w:val="22"/>
        </w:rPr>
      </w:pPr>
    </w:p>
    <w:p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lastRenderedPageBreak/>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rsidR="001D37D3" w:rsidRDefault="001D37D3" w:rsidP="001D37D3">
      <w:pPr>
        <w:autoSpaceDE w:val="0"/>
        <w:autoSpaceDN w:val="0"/>
        <w:adjustRightInd w:val="0"/>
        <w:spacing w:after="0" w:line="240" w:lineRule="auto"/>
        <w:rPr>
          <w:sz w:val="22"/>
          <w:szCs w:val="22"/>
        </w:rPr>
      </w:pPr>
    </w:p>
    <w:p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 xml:space="preserve">ICBUND is an integer array specifying the boundary condition type (inactive, constant-concentration, or active) for every model cell. For multispecies simulation, ICBUND defines the boundary condition type shared by all species. Note that different species are allowed to have </w:t>
      </w:r>
      <w:r w:rsidRPr="00F54DF8">
        <w:rPr>
          <w:sz w:val="22"/>
          <w:szCs w:val="22"/>
        </w:rPr>
        <w:lastRenderedPageBreak/>
        <w:t>different constant-concentration conditions through an option in the</w:t>
      </w:r>
      <w:r>
        <w:rPr>
          <w:sz w:val="22"/>
          <w:szCs w:val="22"/>
        </w:rPr>
        <w:t xml:space="preserve"> </w:t>
      </w:r>
      <w:r w:rsidRPr="00F54DF8">
        <w:rPr>
          <w:sz w:val="22"/>
          <w:szCs w:val="22"/>
        </w:rPr>
        <w:t>Source and Sink Mixing Package.</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rsidR="001D37D3" w:rsidRDefault="001D37D3" w:rsidP="001D37D3">
      <w:pPr>
        <w:autoSpaceDE w:val="0"/>
        <w:autoSpaceDN w:val="0"/>
        <w:adjustRightInd w:val="0"/>
        <w:spacing w:after="0" w:line="240" w:lineRule="auto"/>
        <w:ind w:left="2160"/>
        <w:rPr>
          <w:rFonts w:eastAsiaTheme="minorHAnsi"/>
          <w:sz w:val="22"/>
          <w:szCs w:val="22"/>
        </w:rPr>
      </w:pPr>
    </w:p>
    <w:p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rsidR="001D37D3" w:rsidRDefault="001D37D3" w:rsidP="001D37D3">
      <w:pPr>
        <w:autoSpaceDE w:val="0"/>
        <w:autoSpaceDN w:val="0"/>
        <w:adjustRightInd w:val="0"/>
        <w:spacing w:after="0" w:line="240" w:lineRule="auto"/>
        <w:ind w:left="2160"/>
        <w:rPr>
          <w:rFonts w:eastAsiaTheme="minorHAnsi"/>
          <w:sz w:val="22"/>
          <w:szCs w:val="22"/>
        </w:rPr>
      </w:pPr>
    </w:p>
    <w:p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rsidR="001D37D3" w:rsidRDefault="001D37D3" w:rsidP="001D37D3">
      <w:pPr>
        <w:autoSpaceDE w:val="0"/>
        <w:autoSpaceDN w:val="0"/>
        <w:adjustRightInd w:val="0"/>
        <w:spacing w:after="0" w:line="240" w:lineRule="auto"/>
      </w:pPr>
    </w:p>
    <w:p w:rsidR="001D37D3" w:rsidRDefault="001D37D3" w:rsidP="001D37D3">
      <w:pPr>
        <w:autoSpaceDE w:val="0"/>
        <w:autoSpaceDN w:val="0"/>
        <w:adjustRightInd w:val="0"/>
        <w:spacing w:after="0" w:line="240" w:lineRule="auto"/>
      </w:pPr>
      <w:r>
        <w:rPr>
          <w:rFonts w:eastAsiaTheme="minorHAnsi"/>
          <w:sz w:val="22"/>
          <w:szCs w:val="22"/>
        </w:rPr>
        <w:t>(Enter 13 for each species)</w:t>
      </w:r>
    </w:p>
    <w:p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p>
    <w:p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p>
    <w:p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(Enter 17 only if NPRS &gt; 0)</w:t>
      </w:r>
    </w:p>
    <w:p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2I10</w:t>
      </w:r>
    </w:p>
    <w:p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(Enter 19 NOBS times if NOBS &gt; 0)</w:t>
      </w:r>
    </w:p>
    <w:p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p>
    <w:p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rsidR="001D37D3" w:rsidRDefault="001D37D3" w:rsidP="001D37D3">
      <w:pPr>
        <w:autoSpaceDE w:val="0"/>
        <w:autoSpaceDN w:val="0"/>
        <w:adjustRightInd w:val="0"/>
        <w:spacing w:after="0" w:line="240" w:lineRule="auto"/>
        <w:ind w:left="2160"/>
        <w:rPr>
          <w:sz w:val="22"/>
          <w:szCs w:val="22"/>
        </w:rPr>
      </w:pPr>
    </w:p>
    <w:p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For each stress period</w:t>
      </w:r>
    </w:p>
    <w:p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 xml:space="preserve">TSMULT specified here must be </w:t>
      </w:r>
      <w:r w:rsidRPr="004B6625">
        <w:rPr>
          <w:sz w:val="22"/>
          <w:szCs w:val="22"/>
        </w:rPr>
        <w:lastRenderedPageBreak/>
        <w:t>identical to those specified</w:t>
      </w:r>
      <w:r>
        <w:rPr>
          <w:sz w:val="22"/>
          <w:szCs w:val="22"/>
        </w:rPr>
        <w:t xml:space="preserve"> </w:t>
      </w:r>
      <w:r w:rsidRPr="004B6625">
        <w:rPr>
          <w:sz w:val="22"/>
          <w:szCs w:val="22"/>
        </w:rPr>
        <w:t>in the flow model if the flow model is transient.</w:t>
      </w:r>
    </w:p>
    <w:p w:rsidR="001D37D3" w:rsidRPr="004B6625"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rsidR="001D37D3" w:rsidRDefault="001D37D3" w:rsidP="001D37D3">
      <w:pPr>
        <w:autoSpaceDE w:val="0"/>
        <w:autoSpaceDN w:val="0"/>
        <w:adjustRightInd w:val="0"/>
        <w:spacing w:after="0" w:line="240" w:lineRule="auto"/>
        <w:ind w:left="2160"/>
        <w:rPr>
          <w:sz w:val="22"/>
          <w:szCs w:val="22"/>
        </w:rPr>
      </w:pPr>
    </w:p>
    <w:p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(Enter 22 if TSMULT &lt;= 0)</w:t>
      </w:r>
    </w:p>
    <w:p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rsidR="001D37D3" w:rsidRDefault="001D37D3" w:rsidP="001D37D3">
      <w:pPr>
        <w:autoSpaceDE w:val="0"/>
        <w:autoSpaceDN w:val="0"/>
        <w:adjustRightInd w:val="0"/>
        <w:spacing w:after="0" w:line="240" w:lineRule="auto"/>
        <w:ind w:left="2160"/>
        <w:rPr>
          <w:sz w:val="22"/>
          <w:szCs w:val="22"/>
        </w:rPr>
      </w:pPr>
    </w:p>
    <w:p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w:t>
      </w:r>
      <w:r w:rsidRPr="00242748">
        <w:rPr>
          <w:sz w:val="22"/>
          <w:szCs w:val="22"/>
        </w:rPr>
        <w:lastRenderedPageBreak/>
        <w:t xml:space="preserve">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rsidR="001D37D3" w:rsidRDefault="001D37D3" w:rsidP="001D37D3">
      <w:pPr>
        <w:spacing w:after="0" w:line="240" w:lineRule="auto"/>
      </w:pPr>
    </w:p>
    <w:p w:rsidR="001D37D3" w:rsidRDefault="001D37D3" w:rsidP="001D37D3">
      <w:pPr>
        <w:pStyle w:val="Heading2"/>
      </w:pPr>
      <w:bookmarkStart w:id="4" w:name="_Toc321942234"/>
      <w:r>
        <w:t>CTS Package</w:t>
      </w:r>
      <w:bookmarkEnd w:id="4"/>
    </w:p>
    <w:p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rsidR="001D37D3" w:rsidRPr="001B4315" w:rsidRDefault="001D37D3" w:rsidP="001D37D3">
      <w:pPr>
        <w:autoSpaceDE w:val="0"/>
        <w:autoSpaceDN w:val="0"/>
        <w:adjustRightInd w:val="0"/>
        <w:spacing w:after="0" w:line="240" w:lineRule="auto"/>
        <w:jc w:val="both"/>
      </w:pPr>
    </w:p>
    <w:p w:rsidR="001D37D3" w:rsidRDefault="001D37D3" w:rsidP="001D37D3">
      <w:pPr>
        <w:autoSpaceDE w:val="0"/>
        <w:autoSpaceDN w:val="0"/>
        <w:adjustRightInd w:val="0"/>
        <w:spacing w:after="0" w:line="240" w:lineRule="auto"/>
        <w:jc w:val="both"/>
      </w:pPr>
      <w:r w:rsidRPr="001B4315">
        <w:t>For each simulation:</w:t>
      </w:r>
    </w:p>
    <w:p w:rsidR="001D37D3" w:rsidRPr="001B4315" w:rsidRDefault="001D37D3" w:rsidP="001D37D3">
      <w:pPr>
        <w:autoSpaceDE w:val="0"/>
        <w:autoSpaceDN w:val="0"/>
        <w:adjustRightInd w:val="0"/>
        <w:spacing w:after="0" w:line="240" w:lineRule="auto"/>
        <w:jc w:val="both"/>
      </w:pPr>
    </w:p>
    <w:p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rsidR="001D37D3" w:rsidRDefault="001D37D3" w:rsidP="001D37D3">
      <w:pPr>
        <w:autoSpaceDE w:val="0"/>
        <w:autoSpaceDN w:val="0"/>
        <w:adjustRightInd w:val="0"/>
        <w:spacing w:after="0" w:line="240" w:lineRule="auto"/>
      </w:pPr>
    </w:p>
    <w:p w:rsidR="001D37D3" w:rsidRDefault="001D37D3" w:rsidP="001D37D3">
      <w:pPr>
        <w:autoSpaceDE w:val="0"/>
        <w:autoSpaceDN w:val="0"/>
        <w:adjustRightInd w:val="0"/>
        <w:spacing w:after="0" w:line="240" w:lineRule="auto"/>
      </w:pPr>
      <w:r>
        <w:lastRenderedPageBreak/>
        <w:t>For each stress period:</w:t>
      </w:r>
    </w:p>
    <w:p w:rsidR="001D37D3" w:rsidRDefault="001D37D3" w:rsidP="001D37D3">
      <w:pPr>
        <w:autoSpaceDE w:val="0"/>
        <w:autoSpaceDN w:val="0"/>
        <w:adjustRightInd w:val="0"/>
        <w:spacing w:after="0" w:line="240" w:lineRule="auto"/>
      </w:pPr>
    </w:p>
    <w:p w:rsidR="001D37D3" w:rsidRDefault="001D37D3" w:rsidP="001D37D3">
      <w:pPr>
        <w:autoSpaceDE w:val="0"/>
        <w:autoSpaceDN w:val="0"/>
        <w:adjustRightInd w:val="0"/>
        <w:spacing w:after="0" w:line="240" w:lineRule="auto"/>
      </w:pPr>
      <w:r>
        <w:t>2</w:t>
      </w:r>
      <w:r>
        <w:tab/>
        <w:t>Record:</w:t>
      </w:r>
      <w:r>
        <w:tab/>
        <w:t>NCTS</w:t>
      </w:r>
    </w:p>
    <w:p w:rsidR="001D37D3" w:rsidRDefault="001D37D3" w:rsidP="001D37D3">
      <w:pPr>
        <w:autoSpaceDE w:val="0"/>
        <w:autoSpaceDN w:val="0"/>
        <w:adjustRightInd w:val="0"/>
        <w:spacing w:after="0" w:line="240" w:lineRule="auto"/>
      </w:pPr>
      <w:r>
        <w:tab/>
        <w:t>Format:</w:t>
      </w:r>
      <w:r>
        <w:tab/>
        <w:t>I10</w:t>
      </w:r>
    </w:p>
    <w:p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rsidR="001D37D3" w:rsidRDefault="001D37D3" w:rsidP="001D37D3">
      <w:pPr>
        <w:autoSpaceDE w:val="0"/>
        <w:autoSpaceDN w:val="0"/>
        <w:adjustRightInd w:val="0"/>
        <w:spacing w:after="0" w:line="240" w:lineRule="auto"/>
      </w:pPr>
    </w:p>
    <w:p w:rsidR="001D37D3" w:rsidRDefault="001D37D3" w:rsidP="001D37D3">
      <w:pPr>
        <w:autoSpaceDE w:val="0"/>
        <w:autoSpaceDN w:val="0"/>
        <w:adjustRightInd w:val="0"/>
        <w:spacing w:after="0" w:line="240" w:lineRule="auto"/>
      </w:pPr>
      <w:r>
        <w:t>For each contaminant treatment system:</w:t>
      </w:r>
    </w:p>
    <w:p w:rsidR="001D37D3" w:rsidRPr="001B4315" w:rsidRDefault="001D37D3" w:rsidP="001D37D3">
      <w:pPr>
        <w:autoSpaceDE w:val="0"/>
        <w:autoSpaceDN w:val="0"/>
        <w:adjustRightInd w:val="0"/>
        <w:spacing w:after="0" w:line="240" w:lineRule="auto"/>
      </w:pPr>
    </w:p>
    <w:p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rsidR="001D37D3" w:rsidRDefault="001D37D3" w:rsidP="001D37D3">
      <w:pPr>
        <w:autoSpaceDE w:val="0"/>
        <w:autoSpaceDN w:val="0"/>
        <w:adjustRightInd w:val="0"/>
        <w:spacing w:after="0" w:line="240" w:lineRule="auto"/>
      </w:pPr>
      <w:r>
        <w:tab/>
        <w:t>Format:</w:t>
      </w:r>
      <w:r>
        <w:tab/>
        <w:t>5I10</w:t>
      </w:r>
    </w:p>
    <w:p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rsidR="001D37D3" w:rsidRDefault="001D37D3" w:rsidP="001D37D3">
      <w:pPr>
        <w:autoSpaceDE w:val="0"/>
        <w:autoSpaceDN w:val="0"/>
        <w:adjustRightInd w:val="0"/>
        <w:spacing w:after="0" w:line="240" w:lineRule="auto"/>
      </w:pPr>
    </w:p>
    <w:p w:rsidR="001D37D3" w:rsidRDefault="001D37D3" w:rsidP="001D37D3">
      <w:pPr>
        <w:autoSpaceDE w:val="0"/>
        <w:autoSpaceDN w:val="0"/>
        <w:adjustRightInd w:val="0"/>
        <w:spacing w:after="0" w:line="240" w:lineRule="auto"/>
      </w:pPr>
      <w:r>
        <w:t>(Enter 5 NEXT times if NEXT &gt; 0)</w:t>
      </w:r>
    </w:p>
    <w:p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rsidR="001D37D3" w:rsidRDefault="001D37D3" w:rsidP="001D37D3">
      <w:pPr>
        <w:autoSpaceDE w:val="0"/>
        <w:autoSpaceDN w:val="0"/>
        <w:adjustRightInd w:val="0"/>
        <w:spacing w:after="0" w:line="240" w:lineRule="auto"/>
      </w:pPr>
      <w:r>
        <w:tab/>
        <w:t>Format:</w:t>
      </w:r>
      <w:r>
        <w:tab/>
        <w:t>4I10</w:t>
      </w:r>
    </w:p>
    <w:p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rsidR="001D37D3" w:rsidRDefault="001D37D3" w:rsidP="001D37D3">
      <w:pPr>
        <w:autoSpaceDE w:val="0"/>
        <w:autoSpaceDN w:val="0"/>
        <w:adjustRightInd w:val="0"/>
        <w:spacing w:after="0" w:line="240" w:lineRule="auto"/>
      </w:pPr>
    </w:p>
    <w:p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rsidR="001D37D3" w:rsidRDefault="001D37D3" w:rsidP="001D37D3">
      <w:pPr>
        <w:autoSpaceDE w:val="0"/>
        <w:autoSpaceDN w:val="0"/>
        <w:adjustRightInd w:val="0"/>
        <w:spacing w:after="0" w:line="240" w:lineRule="auto"/>
      </w:pPr>
      <w:r>
        <w:tab/>
        <w:t>Format:</w:t>
      </w:r>
      <w:r>
        <w:tab/>
        <w:t>2F10.0</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rsidR="001D37D3" w:rsidRDefault="001D37D3" w:rsidP="001D37D3">
      <w:pPr>
        <w:autoSpaceDE w:val="0"/>
        <w:autoSpaceDN w:val="0"/>
        <w:adjustRightInd w:val="0"/>
        <w:spacing w:after="0" w:line="240" w:lineRule="auto"/>
      </w:pPr>
    </w:p>
    <w:p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rsidR="001D37D3" w:rsidRDefault="001D37D3" w:rsidP="001D37D3">
      <w:pPr>
        <w:autoSpaceDE w:val="0"/>
        <w:autoSpaceDN w:val="0"/>
        <w:adjustRightInd w:val="0"/>
        <w:spacing w:after="0" w:line="240" w:lineRule="auto"/>
      </w:pPr>
      <w:r>
        <w:tab/>
        <w:t>Format:</w:t>
      </w:r>
      <w:r>
        <w:tab/>
        <w:t>1000(I10, F10.0)</w:t>
      </w:r>
    </w:p>
    <w:p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rsidR="001D37D3" w:rsidRDefault="001D37D3" w:rsidP="001D37D3">
      <w:pPr>
        <w:pStyle w:val="ListParagraph"/>
        <w:autoSpaceDE w:val="0"/>
        <w:autoSpaceDN w:val="0"/>
        <w:adjustRightInd w:val="0"/>
        <w:spacing w:after="0" w:line="240" w:lineRule="auto"/>
        <w:ind w:left="2160"/>
      </w:pPr>
    </w:p>
    <w:p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rsidR="001D37D3" w:rsidRDefault="001D37D3" w:rsidP="001D37D3">
      <w:pPr>
        <w:autoSpaceDE w:val="0"/>
        <w:autoSpaceDN w:val="0"/>
        <w:adjustRightInd w:val="0"/>
        <w:spacing w:after="0" w:line="240" w:lineRule="auto"/>
      </w:pPr>
      <w:r>
        <w:t xml:space="preserve"> </w:t>
      </w:r>
    </w:p>
    <w:p w:rsidR="001D37D3" w:rsidRDefault="001D37D3" w:rsidP="001D37D3">
      <w:pPr>
        <w:autoSpaceDE w:val="0"/>
        <w:autoSpaceDN w:val="0"/>
        <w:adjustRightInd w:val="0"/>
        <w:spacing w:after="0" w:line="240" w:lineRule="auto"/>
      </w:pPr>
      <w:r>
        <w:t>(Enter 8 only if IFORCE = 0)</w:t>
      </w:r>
    </w:p>
    <w:p w:rsidR="001D37D3" w:rsidRDefault="001D37D3" w:rsidP="001D37D3">
      <w:pPr>
        <w:autoSpaceDE w:val="0"/>
        <w:autoSpaceDN w:val="0"/>
        <w:adjustRightInd w:val="0"/>
        <w:spacing w:after="0" w:line="240" w:lineRule="auto"/>
      </w:pPr>
      <w:r>
        <w:t>8</w:t>
      </w:r>
      <w:r>
        <w:tab/>
        <w:t>Record:</w:t>
      </w:r>
      <w:r>
        <w:tab/>
        <w:t>(</w:t>
      </w:r>
      <w:r w:rsidRPr="00ED4B76">
        <w:t>CNTE</w:t>
      </w:r>
      <w:r>
        <w:t>(n), n=1,NCOMP)</w:t>
      </w:r>
    </w:p>
    <w:p w:rsidR="001D37D3" w:rsidRDefault="001D37D3" w:rsidP="001D37D3">
      <w:pPr>
        <w:autoSpaceDE w:val="0"/>
        <w:autoSpaceDN w:val="0"/>
        <w:adjustRightInd w:val="0"/>
        <w:spacing w:after="0" w:line="240" w:lineRule="auto"/>
      </w:pPr>
      <w:r>
        <w:tab/>
        <w:t>Format:</w:t>
      </w:r>
      <w:r>
        <w:tab/>
        <w:t>1000( F10.0)</w:t>
      </w:r>
    </w:p>
    <w:p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rsidR="001D37D3" w:rsidRDefault="001D37D3" w:rsidP="001D37D3">
      <w:pPr>
        <w:autoSpaceDE w:val="0"/>
        <w:autoSpaceDN w:val="0"/>
        <w:adjustRightInd w:val="0"/>
        <w:spacing w:after="0" w:line="240" w:lineRule="auto"/>
      </w:pPr>
    </w:p>
    <w:p w:rsidR="001D37D3" w:rsidRDefault="001D37D3" w:rsidP="001D37D3">
      <w:pPr>
        <w:autoSpaceDE w:val="0"/>
        <w:autoSpaceDN w:val="0"/>
        <w:adjustRightInd w:val="0"/>
        <w:spacing w:after="0" w:line="240" w:lineRule="auto"/>
      </w:pPr>
      <w:r>
        <w:t>(Enter 9 NINJ times if NINJ &gt; 0)</w:t>
      </w:r>
    </w:p>
    <w:p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rsidR="001D37D3" w:rsidRPr="00B657A5" w:rsidRDefault="001D37D3" w:rsidP="001D37D3">
      <w:pPr>
        <w:autoSpaceDE w:val="0"/>
        <w:autoSpaceDN w:val="0"/>
        <w:adjustRightInd w:val="0"/>
        <w:spacing w:after="0" w:line="240" w:lineRule="auto"/>
      </w:pPr>
      <w:r w:rsidRPr="00B657A5">
        <w:lastRenderedPageBreak/>
        <w:tab/>
        <w:t>Format:</w:t>
      </w:r>
      <w:r w:rsidRPr="00B657A5">
        <w:tab/>
      </w:r>
      <w:r>
        <w:t xml:space="preserve">4I10, </w:t>
      </w:r>
      <w:r w:rsidRPr="00B657A5">
        <w:t>1000( F10.0)</w:t>
      </w:r>
    </w:p>
    <w:p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rsidR="001D37D3" w:rsidRDefault="001D37D3" w:rsidP="001D37D3">
      <w:pPr>
        <w:pStyle w:val="ListParagraph"/>
        <w:autoSpaceDE w:val="0"/>
        <w:autoSpaceDN w:val="0"/>
        <w:adjustRightInd w:val="0"/>
        <w:spacing w:after="0" w:line="240" w:lineRule="auto"/>
        <w:ind w:left="2160"/>
      </w:pPr>
    </w:p>
    <w:p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rsidR="001D37D3" w:rsidRDefault="001D37D3" w:rsidP="001D37D3">
      <w:pPr>
        <w:pStyle w:val="ListParagraph"/>
        <w:autoSpaceDE w:val="0"/>
        <w:autoSpaceDN w:val="0"/>
        <w:adjustRightInd w:val="0"/>
        <w:spacing w:after="0" w:line="240" w:lineRule="auto"/>
        <w:ind w:left="2160"/>
      </w:pPr>
    </w:p>
    <w:p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rsidR="001D37D3" w:rsidRDefault="001D37D3" w:rsidP="001D37D3">
      <w:pPr>
        <w:pStyle w:val="ListParagraph"/>
        <w:autoSpaceDE w:val="0"/>
        <w:autoSpaceDN w:val="0"/>
        <w:adjustRightInd w:val="0"/>
        <w:spacing w:after="0" w:line="240" w:lineRule="auto"/>
        <w:ind w:left="2160"/>
      </w:pPr>
    </w:p>
    <w:p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rsidR="001D37D3" w:rsidRDefault="001D37D3" w:rsidP="001D37D3">
      <w:pPr>
        <w:autoSpaceDE w:val="0"/>
        <w:autoSpaceDN w:val="0"/>
        <w:adjustRightInd w:val="0"/>
        <w:spacing w:after="0" w:line="240" w:lineRule="auto"/>
      </w:pPr>
    </w:p>
    <w:p w:rsidR="001D37D3" w:rsidRPr="001C473D" w:rsidRDefault="001D37D3" w:rsidP="001D37D3">
      <w:pPr>
        <w:autoSpaceDE w:val="0"/>
        <w:autoSpaceDN w:val="0"/>
        <w:adjustRightInd w:val="0"/>
        <w:spacing w:after="0" w:line="240" w:lineRule="auto"/>
      </w:pPr>
      <w:r>
        <w:t>10</w:t>
      </w:r>
      <w:r>
        <w:tab/>
        <w:t>Record:</w:t>
      </w:r>
      <w:r>
        <w:tab/>
      </w:r>
      <w:r w:rsidRPr="001C473D">
        <w:t>QOUTCTS</w:t>
      </w:r>
    </w:p>
    <w:p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rsidR="001D37D3" w:rsidRDefault="001D37D3" w:rsidP="001D37D3">
      <w:pPr>
        <w:autoSpaceDE w:val="0"/>
        <w:autoSpaceDN w:val="0"/>
        <w:adjustRightInd w:val="0"/>
        <w:spacing w:after="0" w:line="240" w:lineRule="auto"/>
      </w:pPr>
    </w:p>
    <w:p w:rsidR="0011184C" w:rsidRDefault="0011184C" w:rsidP="0011184C">
      <w:pPr>
        <w:pStyle w:val="Heading2"/>
      </w:pPr>
      <w:r>
        <w:t>DSP Package</w:t>
      </w:r>
    </w:p>
    <w:p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rsidR="0011184C" w:rsidRDefault="0011184C" w:rsidP="0011184C">
      <w:pPr>
        <w:spacing w:after="0" w:line="240" w:lineRule="auto"/>
        <w:jc w:val="both"/>
      </w:pPr>
    </w:p>
    <w:p w:rsidR="0011184C" w:rsidRDefault="0011184C" w:rsidP="0011184C">
      <w:pPr>
        <w:autoSpaceDE w:val="0"/>
        <w:autoSpaceDN w:val="0"/>
        <w:adjustRightInd w:val="0"/>
        <w:spacing w:after="0" w:line="240" w:lineRule="auto"/>
        <w:jc w:val="both"/>
      </w:pPr>
      <w:r w:rsidRPr="001B4315">
        <w:t>For each simulation:</w:t>
      </w:r>
    </w:p>
    <w:p w:rsidR="00D71152" w:rsidRDefault="00D71152" w:rsidP="0011184C">
      <w:pPr>
        <w:autoSpaceDE w:val="0"/>
        <w:autoSpaceDN w:val="0"/>
        <w:adjustRightInd w:val="0"/>
        <w:spacing w:after="0" w:line="240" w:lineRule="auto"/>
        <w:jc w:val="both"/>
      </w:pPr>
    </w:p>
    <w:p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rsidR="0011184C" w:rsidRPr="001B4315" w:rsidRDefault="0011184C" w:rsidP="0011184C">
      <w:pPr>
        <w:autoSpaceDE w:val="0"/>
        <w:autoSpaceDN w:val="0"/>
        <w:adjustRightInd w:val="0"/>
        <w:spacing w:after="0" w:line="240" w:lineRule="auto"/>
        <w:jc w:val="both"/>
      </w:pPr>
    </w:p>
    <w:p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rsidR="00B074A8" w:rsidRDefault="002163CC" w:rsidP="00B074A8">
      <w:pPr>
        <w:pStyle w:val="ListParagraph"/>
        <w:autoSpaceDE w:val="0"/>
        <w:autoSpaceDN w:val="0"/>
        <w:adjustRightInd w:val="0"/>
        <w:spacing w:after="0" w:line="240" w:lineRule="auto"/>
        <w:ind w:left="2160"/>
      </w:pPr>
      <w:r w:rsidRPr="002163CC">
        <w:t>the model grid (unit, L).</w:t>
      </w:r>
    </w:p>
    <w:p w:rsidR="0011184C" w:rsidRDefault="0011184C" w:rsidP="0011184C">
      <w:pPr>
        <w:pStyle w:val="ListParagraph"/>
        <w:autoSpaceDE w:val="0"/>
        <w:autoSpaceDN w:val="0"/>
        <w:adjustRightInd w:val="0"/>
        <w:spacing w:after="0" w:line="240" w:lineRule="auto"/>
        <w:ind w:left="2160"/>
      </w:pPr>
    </w:p>
    <w:p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rsidR="00B074A8" w:rsidRDefault="00B074A8" w:rsidP="00B074A8">
      <w:pPr>
        <w:pStyle w:val="ListParagraph"/>
        <w:autoSpaceDE w:val="0"/>
        <w:autoSpaceDN w:val="0"/>
        <w:adjustRightInd w:val="0"/>
        <w:spacing w:after="0" w:line="240" w:lineRule="auto"/>
        <w:ind w:left="2160"/>
      </w:pPr>
    </w:p>
    <w:p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rsidR="00E23247" w:rsidRDefault="00E23247" w:rsidP="00E23247">
      <w:pPr>
        <w:pStyle w:val="ListParagraph"/>
        <w:autoSpaceDE w:val="0"/>
        <w:autoSpaceDN w:val="0"/>
        <w:adjustRightInd w:val="0"/>
        <w:spacing w:after="0" w:line="240" w:lineRule="auto"/>
        <w:ind w:left="2160"/>
      </w:pPr>
    </w:p>
    <w:p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rsidR="00B074A8" w:rsidRDefault="00B074A8" w:rsidP="00B074A8">
      <w:pPr>
        <w:pStyle w:val="ListParagraph"/>
        <w:autoSpaceDE w:val="0"/>
        <w:autoSpaceDN w:val="0"/>
        <w:adjustRightInd w:val="0"/>
        <w:spacing w:after="0" w:line="240" w:lineRule="auto"/>
        <w:ind w:left="2160"/>
      </w:pPr>
    </w:p>
    <w:p w:rsidR="00D75A39" w:rsidRPr="00D75A39" w:rsidRDefault="00D75A39" w:rsidP="00D75A39">
      <w:pPr>
        <w:autoSpaceDE w:val="0"/>
        <w:autoSpaceDN w:val="0"/>
        <w:adjustRightInd w:val="0"/>
        <w:spacing w:after="0" w:line="240" w:lineRule="auto"/>
        <w:rPr>
          <w:i/>
        </w:rPr>
      </w:pPr>
      <w:r w:rsidRPr="00D75A39">
        <w:rPr>
          <w:i/>
        </w:rPr>
        <w:t>If no keyword is defined:</w:t>
      </w:r>
    </w:p>
    <w:p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w:t>
      </w:r>
      <w:r w:rsidRPr="00E23247">
        <w:lastRenderedPageBreak/>
        <w:t xml:space="preserve">considered unimportant. </w:t>
      </w:r>
      <w:r>
        <w:t xml:space="preserve"> </w:t>
      </w:r>
      <w:r w:rsidRPr="00E23247">
        <w:t>Each value in the array corresponds to one model layer.</w:t>
      </w:r>
      <w:r w:rsidR="00D75A39">
        <w:t xml:space="preserve">  Enter one array for all solute components.</w:t>
      </w:r>
    </w:p>
    <w:p w:rsidR="00B074A8" w:rsidRDefault="00B074A8" w:rsidP="00B074A8">
      <w:pPr>
        <w:pStyle w:val="ListParagraph"/>
        <w:autoSpaceDE w:val="0"/>
        <w:autoSpaceDN w:val="0"/>
        <w:adjustRightInd w:val="0"/>
        <w:spacing w:after="0" w:line="240" w:lineRule="auto"/>
        <w:ind w:left="2160"/>
      </w:pPr>
    </w:p>
    <w:p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rsidR="00D75A39" w:rsidRDefault="00D75A39" w:rsidP="00D75A39">
      <w:pPr>
        <w:pStyle w:val="ListParagraph"/>
        <w:autoSpaceDE w:val="0"/>
        <w:autoSpaceDN w:val="0"/>
        <w:adjustRightInd w:val="0"/>
        <w:spacing w:after="0" w:line="240" w:lineRule="auto"/>
        <w:ind w:left="2160"/>
      </w:pPr>
    </w:p>
    <w:p w:rsidR="00D75A39" w:rsidRDefault="00D75A39" w:rsidP="00D75A39">
      <w:pPr>
        <w:autoSpaceDE w:val="0"/>
        <w:autoSpaceDN w:val="0"/>
        <w:adjustRightInd w:val="0"/>
        <w:spacing w:after="0" w:line="240" w:lineRule="auto"/>
      </w:pPr>
    </w:p>
    <w:p w:rsidR="001D37D3" w:rsidRDefault="001D37D3" w:rsidP="001D37D3">
      <w:pPr>
        <w:pStyle w:val="Heading2"/>
      </w:pPr>
      <w:bookmarkStart w:id="5" w:name="_Toc321942236"/>
      <w:r>
        <w:t>GCG Package</w:t>
      </w:r>
      <w:bookmarkEnd w:id="5"/>
    </w:p>
    <w:p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rsidR="001D37D3" w:rsidRDefault="001D37D3" w:rsidP="001D37D3">
      <w:pPr>
        <w:spacing w:after="0" w:line="240" w:lineRule="auto"/>
        <w:jc w:val="both"/>
      </w:pPr>
    </w:p>
    <w:p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rsidR="001D37D3" w:rsidRDefault="001D37D3" w:rsidP="001D37D3">
      <w:pPr>
        <w:spacing w:after="0" w:line="240" w:lineRule="auto"/>
        <w:jc w:val="both"/>
      </w:pPr>
    </w:p>
    <w:p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MXITER is the maximum number of outer iterations; it should be set to an integer greater than one only when a</w:t>
      </w:r>
      <w:r>
        <w:rPr>
          <w:sz w:val="22"/>
          <w:szCs w:val="22"/>
        </w:rPr>
        <w:t xml:space="preserve"> </w:t>
      </w:r>
      <w:r w:rsidRPr="00473684">
        <w:rPr>
          <w:sz w:val="22"/>
          <w:szCs w:val="22"/>
        </w:rPr>
        <w:t>nonlinear sorption isotherm is included in simulation.</w:t>
      </w:r>
    </w:p>
    <w:p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rsidR="001D37D3" w:rsidRDefault="001D37D3" w:rsidP="001D37D3">
      <w:pPr>
        <w:spacing w:after="0" w:line="240" w:lineRule="auto"/>
      </w:pPr>
    </w:p>
    <w:p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lastRenderedPageBreak/>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rsidR="001D37D3" w:rsidRDefault="001D37D3" w:rsidP="001D37D3">
      <w:pPr>
        <w:spacing w:after="0" w:line="240" w:lineRule="auto"/>
      </w:pPr>
    </w:p>
    <w:p w:rsidR="006D2BC1" w:rsidRDefault="006D2BC1" w:rsidP="006D2BC1">
      <w:pPr>
        <w:pStyle w:val="Heading2"/>
      </w:pPr>
      <w:r>
        <w:t>LK</w:t>
      </w:r>
      <w:r>
        <w:t>T Package</w:t>
      </w:r>
    </w:p>
    <w:p w:rsidR="006D2BC1" w:rsidRDefault="006D2BC1" w:rsidP="006D2BC1">
      <w:pPr>
        <w:spacing w:after="0" w:line="240" w:lineRule="auto"/>
        <w:jc w:val="both"/>
      </w:pPr>
      <w:r>
        <w:t xml:space="preserve">Input to the </w:t>
      </w:r>
      <w:r>
        <w:t>Lake Transport</w:t>
      </w:r>
      <w:r>
        <w:t xml:space="preserve"> Package is read </w:t>
      </w:r>
      <w:r>
        <w:t>from a file listed in the name file with “LKT” as the file type.</w:t>
      </w:r>
      <w:r>
        <w:t xml:space="preserve"> </w:t>
      </w:r>
      <w:r>
        <w:t xml:space="preserve"> </w:t>
      </w:r>
      <w:r>
        <w:t xml:space="preserve">The input file is needed only if </w:t>
      </w:r>
      <w:r>
        <w:t>lakes</w:t>
      </w:r>
      <w:r>
        <w:t xml:space="preserve"> are simulated</w:t>
      </w:r>
      <w:r>
        <w:t xml:space="preserve"> in the flow model</w:t>
      </w:r>
      <w:r>
        <w:t xml:space="preserve">. </w:t>
      </w:r>
    </w:p>
    <w:p w:rsidR="006D2BC1" w:rsidRDefault="006D2BC1" w:rsidP="006D2BC1">
      <w:pPr>
        <w:spacing w:after="0" w:line="240" w:lineRule="auto"/>
        <w:jc w:val="both"/>
      </w:pPr>
    </w:p>
    <w:p w:rsidR="006D2BC1" w:rsidRDefault="006D2BC1" w:rsidP="006D2BC1">
      <w:pPr>
        <w:spacing w:after="0" w:line="240" w:lineRule="auto"/>
        <w:jc w:val="both"/>
        <w:rPr>
          <w:sz w:val="22"/>
        </w:rPr>
      </w:pPr>
      <w:r w:rsidRPr="006D2BC1">
        <w:rPr>
          <w:sz w:val="22"/>
        </w:rPr>
        <w:t>For each simulation:</w:t>
      </w:r>
    </w:p>
    <w:p w:rsidR="006D2BC1" w:rsidRDefault="006D2BC1" w:rsidP="006D2BC1">
      <w:pPr>
        <w:spacing w:after="0" w:line="240" w:lineRule="auto"/>
        <w:jc w:val="both"/>
        <w:rPr>
          <w:sz w:val="22"/>
        </w:rPr>
      </w:pPr>
    </w:p>
    <w:p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rsidR="005207C8" w:rsidRDefault="005207C8" w:rsidP="006D2BC1">
      <w:pPr>
        <w:spacing w:after="0" w:line="240" w:lineRule="auto"/>
        <w:jc w:val="both"/>
        <w:rPr>
          <w:sz w:val="22"/>
        </w:rPr>
      </w:pPr>
      <w:r>
        <w:rPr>
          <w:sz w:val="22"/>
        </w:rPr>
        <w:tab/>
        <w:t>Format:</w:t>
      </w:r>
      <w:r>
        <w:rPr>
          <w:sz w:val="22"/>
        </w:rPr>
        <w:tab/>
      </w:r>
      <w:r>
        <w:rPr>
          <w:sz w:val="22"/>
        </w:rPr>
        <w:tab/>
        <w:t>Free</w:t>
      </w:r>
    </w:p>
    <w:p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rsidR="006D2BC1" w:rsidRPr="005207C8" w:rsidRDefault="005207C8" w:rsidP="005C0F07">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rsidR="005207C8" w:rsidRPr="005207C8" w:rsidRDefault="005207C8" w:rsidP="005C0F07">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rsidR="005207C8" w:rsidRDefault="005207C8" w:rsidP="005C0F07">
      <w:pPr>
        <w:pStyle w:val="ListParagraph"/>
        <w:numPr>
          <w:ilvl w:val="0"/>
          <w:numId w:val="39"/>
        </w:numPr>
        <w:spacing w:after="0" w:line="240" w:lineRule="auto"/>
        <w:ind w:left="2160"/>
      </w:pPr>
      <w:r>
        <w:t xml:space="preserve">IETLAK is an integer value specifying whether or not evaporation as </w:t>
      </w:r>
      <w:r>
        <w:t>simulated in the flow solution</w:t>
      </w:r>
      <w:r>
        <w:t xml:space="preserve"> will act as a mass sink.</w:t>
      </w:r>
    </w:p>
    <w:p w:rsidR="005207C8" w:rsidRDefault="005207C8" w:rsidP="005207C8">
      <w:pPr>
        <w:autoSpaceDE w:val="0"/>
        <w:autoSpaceDN w:val="0"/>
        <w:adjustRightInd w:val="0"/>
        <w:spacing w:after="0" w:line="240" w:lineRule="auto"/>
        <w:ind w:left="2610" w:hanging="450"/>
      </w:pPr>
      <w:r>
        <w:t>= 0,</w:t>
      </w:r>
      <w:r>
        <w:t xml:space="preserve"> Mass does not exit the model via simulated lake evaporation</w:t>
      </w:r>
      <w:r>
        <w:t>;</w:t>
      </w:r>
    </w:p>
    <w:p w:rsidR="005207C8" w:rsidRDefault="005207C8" w:rsidP="005207C8">
      <w:pPr>
        <w:autoSpaceDE w:val="0"/>
        <w:autoSpaceDN w:val="0"/>
        <w:adjustRightInd w:val="0"/>
        <w:spacing w:after="0" w:line="240" w:lineRule="auto"/>
        <w:ind w:left="2610" w:hanging="450"/>
      </w:pPr>
      <w:r>
        <w:t>≠</w:t>
      </w:r>
      <w:r>
        <w:t xml:space="preserve"> </w:t>
      </w:r>
      <w:r>
        <w:t>0</w:t>
      </w:r>
      <w:r>
        <w:t xml:space="preserve">, </w:t>
      </w:r>
      <w:r>
        <w:t>Mass may leave the lake via simulated lake evaporation</w:t>
      </w:r>
      <w:r>
        <w:t>;</w:t>
      </w:r>
    </w:p>
    <w:p w:rsidR="005207C8" w:rsidRDefault="005207C8" w:rsidP="005207C8">
      <w:pPr>
        <w:spacing w:after="0" w:line="240" w:lineRule="auto"/>
        <w:ind w:left="1440"/>
      </w:pPr>
    </w:p>
    <w:p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COLDLAK</w:t>
      </w:r>
      <w:r>
        <w:rPr>
          <w:rFonts w:eastAsiaTheme="minorHAnsi"/>
          <w:sz w:val="22"/>
          <w:szCs w:val="22"/>
        </w:rPr>
        <w:t xml:space="preserve"> </w:t>
      </w:r>
    </w:p>
    <w:p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rsidR="005207C8" w:rsidRPr="00524B4F" w:rsidRDefault="00524B4F" w:rsidP="00524B4F">
      <w:pPr>
        <w:pStyle w:val="ListParagraph"/>
        <w:numPr>
          <w:ilvl w:val="0"/>
          <w:numId w:val="40"/>
        </w:numPr>
        <w:spacing w:after="0" w:line="240" w:lineRule="auto"/>
      </w:pPr>
      <w:r w:rsidRPr="00524B4F">
        <w:rPr>
          <w:rFonts w:eastAsiaTheme="minorHAnsi"/>
          <w:sz w:val="22"/>
          <w:szCs w:val="22"/>
        </w:rPr>
        <w:t>I</w:t>
      </w: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rsidR="00524B4F" w:rsidRDefault="00524B4F" w:rsidP="00524B4F">
      <w:pPr>
        <w:spacing w:after="0" w:line="240" w:lineRule="auto"/>
      </w:pPr>
    </w:p>
    <w:p w:rsidR="00524B4F" w:rsidRDefault="00524B4F" w:rsidP="00524B4F">
      <w:pPr>
        <w:spacing w:after="0" w:line="240" w:lineRule="auto"/>
      </w:pPr>
      <w:r>
        <w:t>For each stress period:</w:t>
      </w:r>
    </w:p>
    <w:p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rsidR="00524B4F" w:rsidRDefault="00524B4F" w:rsidP="00524B4F">
      <w:pPr>
        <w:autoSpaceDE w:val="0"/>
        <w:autoSpaceDN w:val="0"/>
        <w:adjustRightInd w:val="0"/>
        <w:spacing w:after="0" w:line="240" w:lineRule="auto"/>
        <w:rPr>
          <w:rFonts w:eastAsiaTheme="minorHAnsi"/>
          <w:sz w:val="22"/>
          <w:szCs w:val="22"/>
        </w:rPr>
      </w:pPr>
    </w:p>
    <w:p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Pr>
          <w:rFonts w:eastAsiaTheme="minorHAnsi"/>
          <w:sz w:val="22"/>
          <w:szCs w:val="22"/>
        </w:rPr>
        <w:t>4</w:t>
      </w:r>
      <w:r>
        <w:rPr>
          <w:rFonts w:eastAsiaTheme="minorHAnsi"/>
          <w:sz w:val="22"/>
          <w:szCs w:val="22"/>
        </w:rPr>
        <w:t xml:space="preserve"> for each NTMP boundary condition)</w:t>
      </w:r>
    </w:p>
    <w:p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CBCLK</w:t>
      </w:r>
    </w:p>
    <w:p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 xml:space="preserve">BC in an integer value that </w:t>
      </w:r>
      <w:r w:rsidR="00AA5E1C">
        <w:rPr>
          <w:rFonts w:eastAsiaTheme="minorHAnsi"/>
          <w:sz w:val="22"/>
          <w:szCs w:val="22"/>
        </w:rPr>
        <w:t>is the lake number for which the current boundary condition will be specified</w:t>
      </w:r>
    </w:p>
    <w:p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Pr>
          <w:rFonts w:eastAsiaTheme="minorHAnsi"/>
          <w:sz w:val="22"/>
          <w:szCs w:val="22"/>
        </w:rPr>
        <w:t>LK</w:t>
      </w:r>
      <w:r>
        <w:rPr>
          <w:rFonts w:eastAsiaTheme="minorHAnsi"/>
          <w:sz w:val="22"/>
          <w:szCs w:val="22"/>
        </w:rPr>
        <w:t>BCTYP is an integer value that specifies, for ISEGBC/IRCHBC, what the boundary condition type is:</w:t>
      </w:r>
    </w:p>
    <w:p w:rsidR="00AA5E1C" w:rsidRDefault="00AA5E1C" w:rsidP="00AA5E1C">
      <w:pPr>
        <w:autoSpaceDE w:val="0"/>
        <w:autoSpaceDN w:val="0"/>
        <w:adjustRightInd w:val="0"/>
        <w:spacing w:after="0" w:line="240" w:lineRule="auto"/>
        <w:ind w:left="2610" w:hanging="450"/>
      </w:pPr>
      <w:r>
        <w:lastRenderedPageBreak/>
        <w:t xml:space="preserve">= </w:t>
      </w:r>
      <w:r>
        <w:t>1</w:t>
      </w:r>
      <w:r>
        <w:t xml:space="preserve">, </w:t>
      </w:r>
      <w:r w:rsidR="0077361E">
        <w:t xml:space="preserve">a </w:t>
      </w:r>
      <w:r w:rsidR="0077361E">
        <w:t xml:space="preserve">precipitation boundary. If precipitation directly to </w:t>
      </w:r>
      <w:r w:rsidR="0077361E">
        <w:t>lake</w:t>
      </w:r>
      <w:r w:rsidR="0077361E">
        <w:t>s is simulated in the flow model and a non-zero concentration (default is zero) is desired, use ISFBCTYP = 1;</w:t>
      </w:r>
    </w:p>
    <w:p w:rsidR="00AA5E1C" w:rsidRDefault="00AA5E1C" w:rsidP="00AA5E1C">
      <w:pPr>
        <w:autoSpaceDE w:val="0"/>
        <w:autoSpaceDN w:val="0"/>
        <w:adjustRightInd w:val="0"/>
        <w:spacing w:after="0" w:line="240" w:lineRule="auto"/>
        <w:ind w:left="2610" w:hanging="450"/>
      </w:pPr>
      <w:r>
        <w:t xml:space="preserve">= </w:t>
      </w:r>
      <w:r>
        <w:t>2</w:t>
      </w:r>
      <w:r>
        <w:t xml:space="preserve">, </w:t>
      </w:r>
      <w:r w:rsidR="0077361E">
        <w:t xml:space="preserve">a runoff boundary condition that is not the same thing as runoff simulated in the UZF1 package and routed to a </w:t>
      </w:r>
      <w:r w:rsidR="0077361E">
        <w:t>lake</w:t>
      </w:r>
      <w:r w:rsidR="0077361E">
        <w:t xml:space="preserve"> (or </w:t>
      </w:r>
      <w:r w:rsidR="0077361E">
        <w:t>stream</w:t>
      </w:r>
      <w:r w:rsidR="0077361E">
        <w:t xml:space="preserve">) using the IRNBND array.  Users who specify runoff in the </w:t>
      </w:r>
      <w:r w:rsidR="0077361E">
        <w:t>LAK</w:t>
      </w:r>
      <w:r w:rsidR="0077361E">
        <w:t xml:space="preserve"> input via the RNF variable appearing in record set </w:t>
      </w:r>
      <w:r w:rsidR="0077361E">
        <w:t>9</w:t>
      </w:r>
      <w:r w:rsidR="0077361E">
        <w:t>a and want to assign a non-zero concentration (default is zero) associated with this specified source, use ISFBCTYP=2;</w:t>
      </w:r>
    </w:p>
    <w:p w:rsidR="00AA5E1C" w:rsidRDefault="00AA5E1C" w:rsidP="00AA5E1C">
      <w:pPr>
        <w:autoSpaceDE w:val="0"/>
        <w:autoSpaceDN w:val="0"/>
        <w:adjustRightInd w:val="0"/>
        <w:spacing w:after="0" w:line="240" w:lineRule="auto"/>
        <w:ind w:left="2610" w:hanging="450"/>
      </w:pPr>
      <w:r>
        <w:t xml:space="preserve">= </w:t>
      </w:r>
      <w:r>
        <w:t>3</w:t>
      </w:r>
      <w:r>
        <w:t xml:space="preserve">, </w:t>
      </w:r>
      <w:r w:rsidR="0077361E">
        <w:t xml:space="preserve">a </w:t>
      </w:r>
      <w:r w:rsidR="0077361E">
        <w:t>“pump”</w:t>
      </w:r>
      <w:r w:rsidR="0077361E">
        <w:t xml:space="preserve"> boundary condition</w:t>
      </w:r>
      <w:r w:rsidR="0077361E">
        <w:t>.</w:t>
      </w:r>
      <w:r w:rsidR="0077361E">
        <w:t xml:space="preserve">  Users who specify </w:t>
      </w:r>
      <w:r w:rsidR="0077361E">
        <w:t>a withdrawl from a lake</w:t>
      </w:r>
      <w:r w:rsidR="0077361E">
        <w:t xml:space="preserve"> via the </w:t>
      </w:r>
      <w:r w:rsidR="0077361E">
        <w:t>WTHDRW</w:t>
      </w:r>
      <w:r w:rsidR="0077361E">
        <w:t xml:space="preserve"> variable appearing in record set 9a and want to assign a non-zero concentration (default is zero) associated with this specified source, use ISFBCTYP=2;</w:t>
      </w:r>
    </w:p>
    <w:p w:rsidR="00524B4F" w:rsidRDefault="00AA5E1C" w:rsidP="000D1AB9">
      <w:pPr>
        <w:spacing w:after="0" w:line="240" w:lineRule="auto"/>
        <w:ind w:left="2610" w:hanging="450"/>
        <w:rPr>
          <w:rFonts w:eastAsiaTheme="minorHAnsi"/>
          <w:sz w:val="22"/>
          <w:szCs w:val="22"/>
        </w:rPr>
      </w:pPr>
      <w:r>
        <w:t xml:space="preserve">= </w:t>
      </w:r>
      <w:r>
        <w:t>4</w:t>
      </w:r>
      <w:r>
        <w:t xml:space="preserve">, </w:t>
      </w:r>
      <w:r w:rsidR="0077361E">
        <w:t xml:space="preserve">an evaporation boundary condition.  In models where evaporation is simulated directly from the surface of the </w:t>
      </w:r>
      <w:r w:rsidR="0077361E">
        <w:t>lake</w:t>
      </w:r>
      <w:r w:rsidR="0077361E">
        <w:t>, users can use this boundary condition to specify a non-zero concentration (default is zero) associated with the evaporation losses</w:t>
      </w:r>
      <w:r w:rsidR="000D1AB9">
        <w:t>.</w:t>
      </w:r>
    </w:p>
    <w:p w:rsidR="00524B4F" w:rsidRDefault="00524B4F" w:rsidP="00524B4F">
      <w:pPr>
        <w:spacing w:after="0" w:line="240" w:lineRule="auto"/>
      </w:pPr>
    </w:p>
    <w:p w:rsidR="001D37D3" w:rsidRDefault="001D37D3" w:rsidP="001D37D3">
      <w:pPr>
        <w:pStyle w:val="Heading2"/>
      </w:pPr>
      <w:bookmarkStart w:id="6" w:name="_Toc321942237"/>
      <w:r>
        <w:t>RCT Package</w:t>
      </w:r>
      <w:bookmarkEnd w:id="6"/>
    </w:p>
    <w:p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rsidR="001D37D3" w:rsidRDefault="001D37D3" w:rsidP="001D37D3">
      <w:pPr>
        <w:spacing w:after="0" w:line="240" w:lineRule="auto"/>
        <w:jc w:val="both"/>
      </w:pPr>
    </w:p>
    <w:p w:rsidR="001D37D3" w:rsidRDefault="001D37D3" w:rsidP="001D37D3">
      <w:pPr>
        <w:spacing w:after="0" w:line="240" w:lineRule="auto"/>
        <w:jc w:val="both"/>
      </w:pPr>
      <w:r>
        <w:rPr>
          <w:rFonts w:eastAsiaTheme="minorHAnsi"/>
          <w:sz w:val="22"/>
          <w:szCs w:val="22"/>
        </w:rPr>
        <w:t>For each simulation:</w:t>
      </w:r>
    </w:p>
    <w:p w:rsidR="001D37D3" w:rsidRDefault="001D37D3" w:rsidP="001D37D3">
      <w:pPr>
        <w:spacing w:after="0" w:line="240" w:lineRule="auto"/>
        <w:jc w:val="both"/>
      </w:pPr>
    </w:p>
    <w:p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rsidR="001D37D3" w:rsidRDefault="001D37D3" w:rsidP="001D37D3">
      <w:pPr>
        <w:autoSpaceDE w:val="0"/>
        <w:autoSpaceDN w:val="0"/>
        <w:adjustRightInd w:val="0"/>
        <w:spacing w:after="0" w:line="240" w:lineRule="auto"/>
        <w:ind w:left="2160"/>
      </w:pPr>
      <w:r>
        <w:t>= 0, no sorption is simulated;</w:t>
      </w:r>
    </w:p>
    <w:p w:rsidR="001D37D3" w:rsidRDefault="001D37D3" w:rsidP="001D37D3">
      <w:pPr>
        <w:autoSpaceDE w:val="0"/>
        <w:autoSpaceDN w:val="0"/>
        <w:adjustRightInd w:val="0"/>
        <w:spacing w:after="0" w:line="240" w:lineRule="auto"/>
        <w:ind w:left="2160"/>
      </w:pPr>
      <w:r>
        <w:t xml:space="preserve">=1, Linear isotherm (equilibrium-controlled); </w:t>
      </w:r>
    </w:p>
    <w:p w:rsidR="001D37D3" w:rsidRDefault="001D37D3" w:rsidP="001D37D3">
      <w:pPr>
        <w:autoSpaceDE w:val="0"/>
        <w:autoSpaceDN w:val="0"/>
        <w:adjustRightInd w:val="0"/>
        <w:spacing w:after="0" w:line="240" w:lineRule="auto"/>
        <w:ind w:left="2160"/>
      </w:pPr>
      <w:r>
        <w:t xml:space="preserve">=2, Freundlich isotherm (equilibrium-controlled); </w:t>
      </w:r>
    </w:p>
    <w:p w:rsidR="001D37D3" w:rsidRDefault="001D37D3" w:rsidP="001D37D3">
      <w:pPr>
        <w:autoSpaceDE w:val="0"/>
        <w:autoSpaceDN w:val="0"/>
        <w:adjustRightInd w:val="0"/>
        <w:spacing w:after="0" w:line="240" w:lineRule="auto"/>
        <w:ind w:left="2160"/>
      </w:pPr>
      <w:r>
        <w:t xml:space="preserve">=3, Langmuir isotherm (equilibrium-controlled); </w:t>
      </w:r>
    </w:p>
    <w:p w:rsidR="001D37D3" w:rsidRDefault="001D37D3" w:rsidP="001D37D3">
      <w:pPr>
        <w:autoSpaceDE w:val="0"/>
        <w:autoSpaceDN w:val="0"/>
        <w:adjustRightInd w:val="0"/>
        <w:spacing w:after="0" w:line="240" w:lineRule="auto"/>
        <w:ind w:left="2160"/>
      </w:pPr>
      <w:r>
        <w:t xml:space="preserve">=4, First-order kinetic sorption (nonequilibrium); </w:t>
      </w:r>
    </w:p>
    <w:p w:rsidR="001D37D3" w:rsidRDefault="001D37D3" w:rsidP="001D37D3">
      <w:pPr>
        <w:autoSpaceDE w:val="0"/>
        <w:autoSpaceDN w:val="0"/>
        <w:adjustRightInd w:val="0"/>
        <w:spacing w:after="0" w:line="240" w:lineRule="auto"/>
        <w:ind w:left="2160"/>
      </w:pPr>
      <w:r>
        <w:t xml:space="preserve">=5, Dual-domain mass transfer (without sorption); </w:t>
      </w:r>
    </w:p>
    <w:p w:rsidR="001D37D3" w:rsidRDefault="001D37D3" w:rsidP="001D37D3">
      <w:pPr>
        <w:autoSpaceDE w:val="0"/>
        <w:autoSpaceDN w:val="0"/>
        <w:adjustRightInd w:val="0"/>
        <w:spacing w:after="0" w:line="240" w:lineRule="auto"/>
        <w:ind w:left="2160"/>
      </w:pPr>
      <w:r>
        <w:t>=6, Dual-domain mass transfer (with sorption).</w:t>
      </w:r>
    </w:p>
    <w:p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rsidR="001D37D3" w:rsidRDefault="001D37D3" w:rsidP="001D37D3">
      <w:pPr>
        <w:autoSpaceDE w:val="0"/>
        <w:autoSpaceDN w:val="0"/>
        <w:adjustRightInd w:val="0"/>
        <w:spacing w:after="0" w:line="240" w:lineRule="auto"/>
        <w:ind w:left="2160"/>
      </w:pPr>
      <w:r>
        <w:t>IREACT = 0, no kinetic rate reaction is simulated;</w:t>
      </w:r>
    </w:p>
    <w:p w:rsidR="001D37D3" w:rsidRDefault="001D37D3" w:rsidP="001D37D3">
      <w:pPr>
        <w:autoSpaceDE w:val="0"/>
        <w:autoSpaceDN w:val="0"/>
        <w:adjustRightInd w:val="0"/>
        <w:spacing w:after="0" w:line="240" w:lineRule="auto"/>
        <w:ind w:left="2160"/>
      </w:pPr>
      <w:r>
        <w:t>IREACT = 1, first-order irreversible reaction;</w:t>
      </w:r>
    </w:p>
    <w:p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lastRenderedPageBreak/>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rsidR="001D37D3" w:rsidRDefault="001D37D3" w:rsidP="001D37D3">
      <w:pPr>
        <w:autoSpaceDE w:val="0"/>
        <w:autoSpaceDN w:val="0"/>
        <w:adjustRightInd w:val="0"/>
        <w:spacing w:after="0" w:line="240" w:lineRule="auto"/>
        <w:ind w:left="2160"/>
      </w:pPr>
      <w:r>
        <w:t>IREACT = 100, zeroth-order reaction (decay or production)</w:t>
      </w:r>
    </w:p>
    <w:p w:rsidR="001D37D3" w:rsidRDefault="001D37D3" w:rsidP="001D37D3">
      <w:pPr>
        <w:autoSpaceDE w:val="0"/>
        <w:autoSpaceDN w:val="0"/>
        <w:adjustRightInd w:val="0"/>
        <w:spacing w:after="0" w:line="240" w:lineRule="auto"/>
        <w:ind w:left="2160"/>
      </w:pPr>
    </w:p>
    <w:p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rsidR="001D37D3" w:rsidRDefault="001D37D3" w:rsidP="001D37D3">
      <w:pPr>
        <w:autoSpaceDE w:val="0"/>
        <w:autoSpaceDN w:val="0"/>
        <w:adjustRightInd w:val="0"/>
        <w:spacing w:after="0" w:line="240" w:lineRule="auto"/>
        <w:ind w:left="2160"/>
      </w:pPr>
    </w:p>
    <w:p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rsidR="001D37D3" w:rsidRDefault="001D37D3" w:rsidP="001D37D3">
      <w:pPr>
        <w:autoSpaceDE w:val="0"/>
        <w:autoSpaceDN w:val="0"/>
        <w:adjustRightInd w:val="0"/>
        <w:spacing w:after="0" w:line="240" w:lineRule="auto"/>
        <w:ind w:left="2160"/>
      </w:pPr>
    </w:p>
    <w:p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rsidR="001D37D3" w:rsidRDefault="001D37D3" w:rsidP="001D37D3">
      <w:pPr>
        <w:autoSpaceDE w:val="0"/>
        <w:autoSpaceDN w:val="0"/>
        <w:adjustRightInd w:val="0"/>
        <w:spacing w:after="0" w:line="240" w:lineRule="auto"/>
        <w:ind w:left="2160"/>
      </w:pPr>
    </w:p>
    <w:p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rsidR="001D37D3" w:rsidRDefault="001D37D3" w:rsidP="001D37D3">
      <w:pPr>
        <w:autoSpaceDE w:val="0"/>
        <w:autoSpaceDN w:val="0"/>
        <w:adjustRightInd w:val="0"/>
        <w:spacing w:after="0" w:line="240" w:lineRule="auto"/>
        <w:ind w:left="2160"/>
      </w:pPr>
    </w:p>
    <w:p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rsidR="001D37D3" w:rsidRDefault="001D37D3" w:rsidP="001D37D3">
      <w:pPr>
        <w:autoSpaceDE w:val="0"/>
        <w:autoSpaceDN w:val="0"/>
        <w:adjustRightInd w:val="0"/>
        <w:spacing w:after="0" w:line="240" w:lineRule="auto"/>
        <w:ind w:left="2160"/>
      </w:pPr>
    </w:p>
    <w:p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rsidR="001D37D3" w:rsidRDefault="001D37D3" w:rsidP="001D37D3">
      <w:pPr>
        <w:autoSpaceDE w:val="0"/>
        <w:autoSpaceDN w:val="0"/>
        <w:adjustRightInd w:val="0"/>
        <w:spacing w:after="0" w:line="240" w:lineRule="auto"/>
        <w:ind w:left="2160"/>
      </w:pPr>
    </w:p>
    <w:p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rsidR="001D37D3" w:rsidRDefault="001D37D3" w:rsidP="001D37D3">
      <w:pPr>
        <w:spacing w:after="0" w:line="240" w:lineRule="auto"/>
      </w:pPr>
    </w:p>
    <w:p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rsidR="001D37D3" w:rsidRPr="00803835" w:rsidRDefault="001D37D3" w:rsidP="001D37D3">
      <w:pPr>
        <w:pStyle w:val="ListParagraph"/>
        <w:autoSpaceDE w:val="0"/>
        <w:autoSpaceDN w:val="0"/>
        <w:adjustRightInd w:val="0"/>
        <w:spacing w:after="0" w:line="240" w:lineRule="auto"/>
        <w:ind w:left="2160"/>
        <w:rPr>
          <w:highlight w:val="lightGray"/>
        </w:rPr>
      </w:pPr>
    </w:p>
    <w:p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lastRenderedPageBreak/>
        <w:t>If IREACTION=2, kinetic reaction is simulated between multiple EAs and EDs.</w:t>
      </w:r>
    </w:p>
    <w:p w:rsidR="001D37D3" w:rsidRPr="00803835" w:rsidRDefault="001D37D3" w:rsidP="001D37D3">
      <w:pPr>
        <w:pStyle w:val="ListParagraph"/>
        <w:autoSpaceDE w:val="0"/>
        <w:autoSpaceDN w:val="0"/>
        <w:adjustRightInd w:val="0"/>
        <w:spacing w:after="0" w:line="240" w:lineRule="auto"/>
        <w:ind w:left="2160"/>
        <w:rPr>
          <w:highlight w:val="lightGray"/>
        </w:rPr>
      </w:pPr>
    </w:p>
    <w:p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rsidR="001D37D3" w:rsidRPr="00803835" w:rsidRDefault="001D37D3" w:rsidP="001D37D3">
      <w:pPr>
        <w:pStyle w:val="ListParagraph"/>
        <w:autoSpaceDE w:val="0"/>
        <w:autoSpaceDN w:val="0"/>
        <w:adjustRightInd w:val="0"/>
        <w:spacing w:after="0" w:line="240" w:lineRule="auto"/>
        <w:ind w:left="2160"/>
        <w:rPr>
          <w:highlight w:val="lightGray"/>
        </w:rPr>
      </w:pPr>
    </w:p>
    <w:p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rsidR="001D37D3" w:rsidRDefault="001D37D3" w:rsidP="001D37D3">
      <w:pPr>
        <w:spacing w:after="0" w:line="240" w:lineRule="auto"/>
      </w:pP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rsidR="001D37D3" w:rsidRDefault="001D37D3" w:rsidP="001D37D3">
      <w:pPr>
        <w:spacing w:after="0" w:line="240" w:lineRule="auto"/>
      </w:pP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(Enter 2C for each species if IGETSC &gt; 0)</w:t>
      </w:r>
    </w:p>
    <w:p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rsidR="001D37D3" w:rsidRDefault="001D37D3" w:rsidP="001D37D3">
      <w:pPr>
        <w:autoSpaceDE w:val="0"/>
        <w:autoSpaceDN w:val="0"/>
        <w:adjustRightInd w:val="0"/>
        <w:spacing w:after="0" w:line="240" w:lineRule="auto"/>
        <w:ind w:left="2160"/>
        <w:rPr>
          <w:sz w:val="22"/>
          <w:szCs w:val="22"/>
        </w:rPr>
      </w:pPr>
    </w:p>
    <w:p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rsidR="001D37D3" w:rsidRPr="00434A80" w:rsidRDefault="001D37D3" w:rsidP="001D37D3">
      <w:pPr>
        <w:autoSpaceDE w:val="0"/>
        <w:autoSpaceDN w:val="0"/>
        <w:adjustRightInd w:val="0"/>
        <w:spacing w:after="0" w:line="240" w:lineRule="auto"/>
        <w:ind w:left="2160"/>
        <w:rPr>
          <w:sz w:val="22"/>
          <w:szCs w:val="22"/>
        </w:rPr>
      </w:pPr>
    </w:p>
    <w:p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rsidR="001D37D3" w:rsidRDefault="001D37D3" w:rsidP="001D37D3">
      <w:pPr>
        <w:autoSpaceDE w:val="0"/>
        <w:autoSpaceDN w:val="0"/>
        <w:adjustRightInd w:val="0"/>
        <w:spacing w:after="0" w:line="240" w:lineRule="auto"/>
        <w:ind w:left="2160"/>
        <w:rPr>
          <w:sz w:val="22"/>
          <w:szCs w:val="22"/>
        </w:rPr>
      </w:pPr>
    </w:p>
    <w:p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rsidR="001D37D3" w:rsidRDefault="001D37D3" w:rsidP="001D37D3">
      <w:pPr>
        <w:autoSpaceDE w:val="0"/>
        <w:autoSpaceDN w:val="0"/>
        <w:adjustRightInd w:val="0"/>
        <w:spacing w:after="0" w:line="240" w:lineRule="auto"/>
        <w:ind w:left="2160"/>
        <w:rPr>
          <w:sz w:val="22"/>
          <w:szCs w:val="22"/>
        </w:rPr>
      </w:pPr>
    </w:p>
    <w:p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75pt;height:18.75pt" o:ole="">
            <v:imagedata r:id="rId9" o:title=""/>
          </v:shape>
          <o:OLEObject Type="Embed" ProgID="Equation.3" ShapeID="_x0000_i1026" DrawAspect="Content" ObjectID="_1462697422"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rsidR="001D37D3" w:rsidRDefault="001D37D3" w:rsidP="001D37D3">
      <w:pPr>
        <w:spacing w:after="0" w:line="240" w:lineRule="auto"/>
      </w:pPr>
    </w:p>
    <w:p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v:shape id="_x0000_i1027" type="#_x0000_t75" style="width:23.25pt;height:18.75pt" o:ole="">
            <v:imagedata r:id="rId11" o:title=""/>
          </v:shape>
          <o:OLEObject Type="Embed" ProgID="Equation.3" ShapeID="_x0000_i1027" DrawAspect="Content" ObjectID="_1462697423"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 xml:space="preserve"> (Enter 4 for each species if ISOTHM &gt; 0)</w:t>
      </w:r>
    </w:p>
    <w:p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rsidR="001D37D3" w:rsidRDefault="001D37D3" w:rsidP="001D37D3">
      <w:pPr>
        <w:autoSpaceDE w:val="0"/>
        <w:autoSpaceDN w:val="0"/>
        <w:adjustRightInd w:val="0"/>
        <w:spacing w:after="0" w:line="240" w:lineRule="auto"/>
        <w:ind w:left="2160"/>
        <w:rPr>
          <w:sz w:val="22"/>
          <w:szCs w:val="22"/>
        </w:rPr>
      </w:pPr>
    </w:p>
    <w:p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rsidR="001D37D3" w:rsidRDefault="001D37D3" w:rsidP="001D37D3">
      <w:pPr>
        <w:autoSpaceDE w:val="0"/>
        <w:autoSpaceDN w:val="0"/>
        <w:adjustRightInd w:val="0"/>
        <w:spacing w:after="0" w:line="240" w:lineRule="auto"/>
        <w:ind w:left="2160"/>
        <w:rPr>
          <w:sz w:val="22"/>
          <w:szCs w:val="22"/>
        </w:rPr>
      </w:pPr>
    </w:p>
    <w:p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rsidR="001D37D3" w:rsidRDefault="001D37D3" w:rsidP="001D37D3">
      <w:pPr>
        <w:autoSpaceDE w:val="0"/>
        <w:autoSpaceDN w:val="0"/>
        <w:adjustRightInd w:val="0"/>
        <w:spacing w:after="0" w:line="240" w:lineRule="auto"/>
        <w:ind w:left="2160"/>
        <w:rPr>
          <w:sz w:val="22"/>
          <w:szCs w:val="22"/>
        </w:rPr>
      </w:pPr>
    </w:p>
    <w:p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rsidR="001D37D3" w:rsidRDefault="001D37D3" w:rsidP="001D37D3">
      <w:pPr>
        <w:autoSpaceDE w:val="0"/>
        <w:autoSpaceDN w:val="0"/>
        <w:adjustRightInd w:val="0"/>
        <w:spacing w:after="0" w:line="240" w:lineRule="auto"/>
        <w:ind w:left="2160"/>
        <w:rPr>
          <w:sz w:val="22"/>
          <w:szCs w:val="22"/>
        </w:rPr>
      </w:pPr>
    </w:p>
    <w:p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rsidR="001D37D3" w:rsidRDefault="001D37D3" w:rsidP="001D37D3">
      <w:pPr>
        <w:autoSpaceDE w:val="0"/>
        <w:autoSpaceDN w:val="0"/>
        <w:adjustRightInd w:val="0"/>
        <w:spacing w:after="0" w:line="240" w:lineRule="auto"/>
        <w:ind w:left="2160"/>
        <w:rPr>
          <w:sz w:val="22"/>
          <w:szCs w:val="22"/>
        </w:rPr>
      </w:pPr>
    </w:p>
    <w:p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(Enter 5 for each species if IREACT &gt; 0)</w:t>
      </w:r>
    </w:p>
    <w:p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 xml:space="preserve">is the zeroth-order reaction rate coefficient for the dissolved (liquid) </w:t>
      </w:r>
      <w:r w:rsidRPr="00F32D2E">
        <w:rPr>
          <w:rFonts w:ascii="TimesNewRomanPSMT" w:eastAsiaTheme="minorHAnsi" w:hAnsi="TimesNewRomanPSMT" w:cs="TimesNewRomanPSMT"/>
        </w:rPr>
        <w:lastRenderedPageBreak/>
        <w:t>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rsidR="001D37D3" w:rsidRDefault="001D37D3" w:rsidP="001D37D3">
      <w:pPr>
        <w:spacing w:after="0" w:line="240" w:lineRule="auto"/>
      </w:pPr>
    </w:p>
    <w:p w:rsidR="001D37D3" w:rsidRDefault="001D37D3" w:rsidP="001D37D3">
      <w:pPr>
        <w:spacing w:after="0" w:line="240" w:lineRule="auto"/>
      </w:pPr>
      <w:r>
        <w:rPr>
          <w:rFonts w:eastAsiaTheme="minorHAnsi"/>
          <w:sz w:val="22"/>
          <w:szCs w:val="22"/>
        </w:rPr>
        <w:t>(Enter 6 for each species if IREACT &gt; 0)</w:t>
      </w:r>
    </w:p>
    <w:p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rsidR="001D37D3" w:rsidRDefault="001D37D3" w:rsidP="001D37D3">
      <w:pPr>
        <w:spacing w:after="0" w:line="240" w:lineRule="auto"/>
      </w:pPr>
    </w:p>
    <w:p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v:shape id="_x0000_i1028" type="#_x0000_t75" style="width:16.5pt;height:18pt" o:ole="">
            <v:imagedata r:id="rId13" o:title=""/>
          </v:shape>
          <o:OLEObject Type="Embed" ProgID="Equation.3" ShapeID="_x0000_i1028" DrawAspect="Content" ObjectID="_1462697424"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rsidR="001D37D3" w:rsidRDefault="001D37D3" w:rsidP="001D37D3">
      <w:pPr>
        <w:spacing w:after="0" w:line="240" w:lineRule="auto"/>
      </w:pPr>
    </w:p>
    <w:p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rsidR="001D37D3" w:rsidRDefault="001D37D3" w:rsidP="001D37D3">
      <w:pPr>
        <w:spacing w:after="0" w:line="240" w:lineRule="auto"/>
      </w:pPr>
    </w:p>
    <w:p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rsidR="001D37D3" w:rsidRDefault="001D37D3" w:rsidP="001D37D3">
      <w:pPr>
        <w:spacing w:after="0" w:line="240" w:lineRule="auto"/>
      </w:pPr>
    </w:p>
    <w:p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lastRenderedPageBreak/>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rsidR="001D37D3" w:rsidRDefault="001D37D3" w:rsidP="001D37D3">
      <w:pPr>
        <w:spacing w:after="0" w:line="240" w:lineRule="auto"/>
      </w:pPr>
    </w:p>
    <w:p w:rsidR="001D37D3" w:rsidRDefault="001D37D3" w:rsidP="001D37D3">
      <w:pPr>
        <w:spacing w:after="0" w:line="240" w:lineRule="auto"/>
      </w:pPr>
    </w:p>
    <w:p w:rsidR="001D37D3" w:rsidRDefault="001D37D3" w:rsidP="001D37D3">
      <w:pPr>
        <w:spacing w:after="0" w:line="240" w:lineRule="auto"/>
        <w:rPr>
          <w:sz w:val="22"/>
          <w:szCs w:val="22"/>
          <w:u w:val="single"/>
        </w:rPr>
      </w:pPr>
      <w:r w:rsidRPr="00DA33B8">
        <w:rPr>
          <w:sz w:val="22"/>
          <w:szCs w:val="22"/>
          <w:highlight w:val="lightGray"/>
          <w:u w:val="single"/>
        </w:rPr>
        <w:t>rec_FileName</w:t>
      </w:r>
    </w:p>
    <w:p w:rsidR="001D37D3" w:rsidRDefault="001D37D3" w:rsidP="001D37D3">
      <w:pPr>
        <w:spacing w:after="0" w:line="240" w:lineRule="auto"/>
        <w:rPr>
          <w:sz w:val="22"/>
          <w:szCs w:val="22"/>
        </w:rPr>
      </w:pPr>
    </w:p>
    <w:p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rsidR="001D37D3" w:rsidRPr="003E4C3E" w:rsidRDefault="001D37D3" w:rsidP="001D37D3">
      <w:pPr>
        <w:spacing w:after="0" w:line="240" w:lineRule="auto"/>
        <w:jc w:val="both"/>
        <w:rPr>
          <w:highlight w:val="lightGray"/>
        </w:rPr>
      </w:pPr>
    </w:p>
    <w:p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rsidR="001D37D3" w:rsidRPr="003E4C3E" w:rsidRDefault="001D37D3" w:rsidP="001D37D3">
      <w:pPr>
        <w:spacing w:after="0" w:line="240" w:lineRule="auto"/>
        <w:jc w:val="both"/>
        <w:rPr>
          <w:sz w:val="22"/>
          <w:szCs w:val="22"/>
          <w:highlight w:val="lightGray"/>
        </w:rPr>
      </w:pPr>
    </w:p>
    <w:p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rsidR="001D37D3" w:rsidRPr="003E4C3E" w:rsidRDefault="001D37D3" w:rsidP="001D37D3">
      <w:pPr>
        <w:spacing w:after="0" w:line="240" w:lineRule="auto"/>
        <w:rPr>
          <w:sz w:val="22"/>
          <w:szCs w:val="22"/>
          <w:highlight w:val="lightGray"/>
        </w:rPr>
      </w:pPr>
    </w:p>
    <w:p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rsidR="001D37D3" w:rsidRPr="003E4C3E" w:rsidRDefault="001D37D3" w:rsidP="001D37D3">
      <w:pPr>
        <w:autoSpaceDE w:val="0"/>
        <w:autoSpaceDN w:val="0"/>
        <w:adjustRightInd w:val="0"/>
        <w:spacing w:after="0" w:line="240" w:lineRule="auto"/>
        <w:rPr>
          <w:sz w:val="22"/>
          <w:szCs w:val="22"/>
          <w:highlight w:val="lightGray"/>
        </w:rPr>
      </w:pPr>
    </w:p>
    <w:p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rsidR="001D37D3" w:rsidRPr="003E4C3E" w:rsidRDefault="001D37D3" w:rsidP="001D37D3">
      <w:pPr>
        <w:autoSpaceDE w:val="0"/>
        <w:autoSpaceDN w:val="0"/>
        <w:adjustRightInd w:val="0"/>
        <w:spacing w:after="0" w:line="240" w:lineRule="auto"/>
        <w:rPr>
          <w:sz w:val="22"/>
          <w:szCs w:val="22"/>
          <w:highlight w:val="lightGray"/>
        </w:rPr>
      </w:pPr>
    </w:p>
    <w:p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lastRenderedPageBreak/>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rsidR="001D37D3" w:rsidRPr="003E4C3E" w:rsidRDefault="001D37D3" w:rsidP="001D37D3">
      <w:pPr>
        <w:autoSpaceDE w:val="0"/>
        <w:autoSpaceDN w:val="0"/>
        <w:adjustRightInd w:val="0"/>
        <w:spacing w:after="0" w:line="240" w:lineRule="auto"/>
        <w:rPr>
          <w:sz w:val="22"/>
          <w:szCs w:val="22"/>
          <w:highlight w:val="lightGray"/>
        </w:rPr>
      </w:pPr>
    </w:p>
    <w:p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rsidR="001D37D3" w:rsidRDefault="001D37D3" w:rsidP="001D37D3">
      <w:pPr>
        <w:spacing w:after="0" w:line="240" w:lineRule="auto"/>
      </w:pPr>
    </w:p>
    <w:p w:rsidR="001D37D3" w:rsidRDefault="001D37D3" w:rsidP="001D37D3">
      <w:pPr>
        <w:spacing w:after="0" w:line="240" w:lineRule="auto"/>
      </w:pPr>
    </w:p>
    <w:p w:rsidR="006D2BC1" w:rsidRDefault="006D2BC1" w:rsidP="006D2BC1">
      <w:pPr>
        <w:pStyle w:val="Heading2"/>
      </w:pPr>
      <w:r>
        <w:t>SFT Package</w:t>
      </w:r>
    </w:p>
    <w:p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w:t>
      </w:r>
      <w:r>
        <w:t>input file is needed only if streams simulated using the SFR2 or SWR package in MODFLOW are activated and a solution to the surface water network transport problem is desired.</w:t>
      </w:r>
    </w:p>
    <w:p w:rsidR="006D2BC1" w:rsidRDefault="006D2BC1" w:rsidP="006D2BC1">
      <w:pPr>
        <w:autoSpaceDE w:val="0"/>
        <w:autoSpaceDN w:val="0"/>
        <w:adjustRightInd w:val="0"/>
        <w:spacing w:after="0" w:line="240" w:lineRule="auto"/>
      </w:pPr>
    </w:p>
    <w:p w:rsidR="006D2BC1" w:rsidRDefault="006D2BC1" w:rsidP="006D2BC1">
      <w:pPr>
        <w:autoSpaceDE w:val="0"/>
        <w:autoSpaceDN w:val="0"/>
        <w:adjustRightInd w:val="0"/>
        <w:spacing w:after="0" w:line="240" w:lineRule="auto"/>
        <w:rPr>
          <w:sz w:val="22"/>
          <w:szCs w:val="22"/>
        </w:rPr>
      </w:pPr>
      <w:r>
        <w:rPr>
          <w:sz w:val="22"/>
          <w:szCs w:val="22"/>
        </w:rPr>
        <w:t>For each simulation:</w:t>
      </w:r>
    </w:p>
    <w:p w:rsidR="006D2BC1" w:rsidRDefault="006D2BC1" w:rsidP="006D2BC1">
      <w:pPr>
        <w:autoSpaceDE w:val="0"/>
        <w:autoSpaceDN w:val="0"/>
        <w:adjustRightInd w:val="0"/>
        <w:spacing w:after="0" w:line="240" w:lineRule="auto"/>
        <w:rPr>
          <w:sz w:val="22"/>
          <w:szCs w:val="22"/>
        </w:rPr>
      </w:pPr>
    </w:p>
    <w:p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number of simulated stream reaches (in SFR2, the number of stream reaches is greater than or equal to the number of stream segements)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rsidR="006D2BC1" w:rsidRDefault="006D2BC1" w:rsidP="006D2BC1">
      <w:pPr>
        <w:spacing w:after="0" w:line="240" w:lineRule="auto"/>
      </w:pPr>
    </w:p>
    <w:p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rsidR="006D2BC1" w:rsidRPr="00BD122E"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rsidR="006D2BC1" w:rsidRDefault="006D2BC1" w:rsidP="006D2BC1">
      <w:pPr>
        <w:pStyle w:val="ListParagraph"/>
        <w:spacing w:after="0" w:line="240" w:lineRule="auto"/>
        <w:ind w:left="6210"/>
      </w:pPr>
    </w:p>
    <w:p w:rsidR="006D2BC1" w:rsidRDefault="006D2BC1" w:rsidP="006D2BC1">
      <w:pPr>
        <w:autoSpaceDE w:val="0"/>
        <w:autoSpaceDN w:val="0"/>
        <w:adjustRightInd w:val="0"/>
        <w:spacing w:after="0" w:line="240" w:lineRule="auto"/>
        <w:rPr>
          <w:sz w:val="22"/>
          <w:szCs w:val="22"/>
        </w:rPr>
      </w:pPr>
      <w:r>
        <w:rPr>
          <w:sz w:val="22"/>
          <w:szCs w:val="22"/>
        </w:rPr>
        <w:t>3</w:t>
      </w:r>
      <w:r w:rsidRPr="00EE6A52">
        <w:rPr>
          <w:sz w:val="22"/>
          <w:szCs w:val="22"/>
        </w:rPr>
        <w:t xml:space="preserve"> </w:t>
      </w:r>
      <w:r w:rsidRPr="00EE6A52">
        <w:rPr>
          <w:sz w:val="22"/>
          <w:szCs w:val="22"/>
        </w:rPr>
        <w:tab/>
        <w:t xml:space="preserve">Record: </w:t>
      </w:r>
      <w:r w:rsidRPr="00EE6A52">
        <w:rPr>
          <w:sz w:val="22"/>
          <w:szCs w:val="22"/>
        </w:rPr>
        <w:tab/>
      </w:r>
      <w:r>
        <w:rPr>
          <w:sz w:val="22"/>
          <w:szCs w:val="22"/>
        </w:rPr>
        <w:t>COLDSF(NRCH)</w:t>
      </w:r>
    </w:p>
    <w:p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rsidR="006D2BC1" w:rsidRDefault="006D2BC1" w:rsidP="006D2BC1">
      <w:pPr>
        <w:pStyle w:val="ListParagraph"/>
        <w:autoSpaceDE w:val="0"/>
        <w:autoSpaceDN w:val="0"/>
        <w:adjustRightInd w:val="0"/>
        <w:spacing w:after="0" w:line="240" w:lineRule="auto"/>
        <w:ind w:left="2160"/>
        <w:rPr>
          <w:rFonts w:eastAsiaTheme="minorHAnsi"/>
          <w:sz w:val="22"/>
          <w:szCs w:val="22"/>
        </w:rPr>
      </w:pPr>
    </w:p>
    <w:p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DISPSF(NRCH,NCOMP)</w:t>
      </w:r>
    </w:p>
    <w:p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rsidR="006D2BC1" w:rsidRDefault="006D2BC1" w:rsidP="006D2BC1">
      <w:pPr>
        <w:autoSpaceDE w:val="0"/>
        <w:autoSpaceDN w:val="0"/>
        <w:adjustRightInd w:val="0"/>
        <w:spacing w:after="0" w:line="240" w:lineRule="auto"/>
        <w:rPr>
          <w:rFonts w:eastAsiaTheme="minorHAnsi"/>
          <w:sz w:val="22"/>
          <w:szCs w:val="22"/>
        </w:rPr>
      </w:pPr>
    </w:p>
    <w:p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t>NTMP</w:t>
      </w:r>
    </w:p>
    <w:p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rsidR="006D2BC1" w:rsidRDefault="006D2BC1" w:rsidP="006D2BC1">
      <w:pPr>
        <w:autoSpaceDE w:val="0"/>
        <w:autoSpaceDN w:val="0"/>
        <w:adjustRightInd w:val="0"/>
        <w:spacing w:after="0" w:line="240" w:lineRule="auto"/>
        <w:rPr>
          <w:rFonts w:eastAsiaTheme="minorHAnsi"/>
          <w:sz w:val="22"/>
          <w:szCs w:val="22"/>
        </w:rPr>
      </w:pPr>
    </w:p>
    <w:p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lastRenderedPageBreak/>
        <w:t>6</w:t>
      </w:r>
      <w:r>
        <w:rPr>
          <w:rFonts w:eastAsiaTheme="minorHAnsi"/>
          <w:sz w:val="22"/>
          <w:szCs w:val="22"/>
        </w:rPr>
        <w:tab/>
        <w:t>Record:</w:t>
      </w:r>
      <w:r>
        <w:rPr>
          <w:rFonts w:eastAsiaTheme="minorHAnsi"/>
          <w:sz w:val="22"/>
          <w:szCs w:val="22"/>
        </w:rPr>
        <w:tab/>
      </w:r>
      <w:r>
        <w:rPr>
          <w:rFonts w:eastAsiaTheme="minorHAnsi"/>
          <w:sz w:val="22"/>
          <w:szCs w:val="22"/>
        </w:rPr>
        <w:tab/>
        <w:t>ISEGBC, IRCHBC, ISFBCTYP, CBCSF</w:t>
      </w:r>
    </w:p>
    <w:p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rsidR="006D2BC1" w:rsidRPr="00F869A4" w:rsidRDefault="006D2BC1" w:rsidP="006D2BC1">
      <w:pPr>
        <w:autoSpaceDE w:val="0"/>
        <w:autoSpaceDN w:val="0"/>
        <w:adjustRightInd w:val="0"/>
        <w:spacing w:after="0" w:line="240" w:lineRule="auto"/>
        <w:rPr>
          <w:rFonts w:eastAsiaTheme="minorHAnsi"/>
          <w:sz w:val="22"/>
          <w:szCs w:val="22"/>
        </w:rPr>
      </w:pPr>
    </w:p>
    <w:p w:rsidR="006D2BC1" w:rsidRDefault="006D2BC1" w:rsidP="006D2BC1">
      <w:pPr>
        <w:autoSpaceDE w:val="0"/>
        <w:autoSpaceDN w:val="0"/>
        <w:adjustRightInd w:val="0"/>
        <w:spacing w:after="0" w:line="240" w:lineRule="auto"/>
        <w:ind w:firstLine="720"/>
        <w:rPr>
          <w:sz w:val="22"/>
          <w:szCs w:val="22"/>
        </w:rPr>
      </w:pPr>
    </w:p>
    <w:p w:rsidR="0025259E" w:rsidRDefault="0025259E" w:rsidP="0025259E">
      <w:pPr>
        <w:pStyle w:val="Heading2"/>
      </w:pPr>
      <w:r>
        <w:t>SSM Package</w:t>
      </w:r>
    </w:p>
    <w:p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rsidR="0025259E" w:rsidRDefault="0025259E" w:rsidP="0025259E">
      <w:pPr>
        <w:spacing w:after="0" w:line="240" w:lineRule="auto"/>
        <w:jc w:val="both"/>
      </w:pPr>
    </w:p>
    <w:p w:rsidR="0025259E" w:rsidRDefault="0025259E" w:rsidP="0025259E">
      <w:pPr>
        <w:autoSpaceDE w:val="0"/>
        <w:autoSpaceDN w:val="0"/>
        <w:adjustRightInd w:val="0"/>
        <w:spacing w:after="0" w:line="240" w:lineRule="auto"/>
        <w:rPr>
          <w:sz w:val="22"/>
          <w:szCs w:val="22"/>
        </w:rPr>
      </w:pPr>
      <w:r>
        <w:rPr>
          <w:sz w:val="22"/>
          <w:szCs w:val="22"/>
        </w:rPr>
        <w:t>For each simulation:</w:t>
      </w:r>
    </w:p>
    <w:p w:rsidR="0025259E" w:rsidRDefault="0025259E" w:rsidP="0025259E">
      <w:pPr>
        <w:autoSpaceDE w:val="0"/>
        <w:autoSpaceDN w:val="0"/>
        <w:adjustRightInd w:val="0"/>
        <w:spacing w:after="0" w:line="240" w:lineRule="auto"/>
        <w:rPr>
          <w:sz w:val="22"/>
          <w:szCs w:val="22"/>
        </w:rPr>
      </w:pPr>
    </w:p>
    <w:p w:rsidR="0025259E" w:rsidRDefault="0025259E" w:rsidP="0025259E">
      <w:pPr>
        <w:autoSpaceDE w:val="0"/>
        <w:autoSpaceDN w:val="0"/>
        <w:adjustRightInd w:val="0"/>
        <w:spacing w:after="0" w:line="240" w:lineRule="auto"/>
        <w:rPr>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FWEL, FDRN, FRCH, FEVT, FRIV, FGHB</w:t>
      </w:r>
    </w:p>
    <w:p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rsidR="0025259E" w:rsidRDefault="0025259E" w:rsidP="0025259E">
      <w:pPr>
        <w:spacing w:after="0" w:line="240" w:lineRule="auto"/>
      </w:pPr>
    </w:p>
    <w:p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rsidR="00130D2B" w:rsidRPr="00130D2B" w:rsidRDefault="00130D2B" w:rsidP="00130D2B">
      <w:pPr>
        <w:autoSpaceDE w:val="0"/>
        <w:autoSpaceDN w:val="0"/>
        <w:adjustRightInd w:val="0"/>
        <w:spacing w:after="0" w:line="240" w:lineRule="auto"/>
        <w:rPr>
          <w:sz w:val="22"/>
          <w:szCs w:val="22"/>
        </w:rPr>
      </w:pPr>
    </w:p>
    <w:p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rsidR="00130D2B" w:rsidRDefault="00130D2B" w:rsidP="00130D2B">
      <w:pPr>
        <w:spacing w:after="0" w:line="240" w:lineRule="auto"/>
      </w:pPr>
    </w:p>
    <w:p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rsidR="0025259E" w:rsidRDefault="0025259E" w:rsidP="0025259E">
      <w:pPr>
        <w:spacing w:after="0" w:line="240" w:lineRule="auto"/>
      </w:pPr>
    </w:p>
    <w:p w:rsidR="00425483" w:rsidRDefault="00425483" w:rsidP="00425483">
      <w:pPr>
        <w:spacing w:after="0" w:line="240" w:lineRule="auto"/>
        <w:rPr>
          <w:rFonts w:eastAsiaTheme="minorHAnsi"/>
          <w:sz w:val="22"/>
          <w:szCs w:val="22"/>
        </w:rPr>
      </w:pPr>
      <w:r>
        <w:rPr>
          <w:rFonts w:eastAsiaTheme="minorHAnsi"/>
          <w:sz w:val="22"/>
          <w:szCs w:val="22"/>
        </w:rPr>
        <w:t>For each stress period:</w:t>
      </w:r>
    </w:p>
    <w:p w:rsidR="00425483" w:rsidRDefault="00425483" w:rsidP="00425483">
      <w:pPr>
        <w:spacing w:after="0" w:line="240" w:lineRule="auto"/>
        <w:rPr>
          <w:rFonts w:eastAsiaTheme="minorHAnsi"/>
          <w:sz w:val="22"/>
          <w:szCs w:val="22"/>
        </w:rPr>
      </w:pPr>
    </w:p>
    <w:p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w:t>
      </w:r>
      <w:r w:rsidRPr="005C0BAD">
        <w:rPr>
          <w:rFonts w:eastAsiaTheme="minorHAnsi"/>
          <w:sz w:val="22"/>
          <w:szCs w:val="22"/>
        </w:rPr>
        <w:lastRenderedPageBreak/>
        <w:t>to zero and that of negative recharge flux (sink) is set equal to the aquifer concentration.</w:t>
      </w:r>
    </w:p>
    <w:p w:rsidR="0025259E" w:rsidRDefault="0025259E" w:rsidP="0025259E">
      <w:pPr>
        <w:spacing w:after="0" w:line="240" w:lineRule="auto"/>
      </w:pPr>
    </w:p>
    <w:p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rsidR="0025259E" w:rsidRPr="0041308C" w:rsidRDefault="0025259E" w:rsidP="0025259E">
      <w:pPr>
        <w:autoSpaceDE w:val="0"/>
        <w:autoSpaceDN w:val="0"/>
        <w:adjustRightInd w:val="0"/>
        <w:spacing w:after="0" w:line="240" w:lineRule="auto"/>
        <w:ind w:left="2160"/>
        <w:rPr>
          <w:sz w:val="22"/>
          <w:szCs w:val="22"/>
        </w:rPr>
      </w:pPr>
    </w:p>
    <w:p w:rsidR="0025259E" w:rsidRDefault="00425483" w:rsidP="0025259E">
      <w:pPr>
        <w:spacing w:after="0" w:line="240" w:lineRule="auto"/>
      </w:pPr>
      <w:r>
        <w:t xml:space="preserve">(Enter </w:t>
      </w:r>
      <w:r w:rsidR="008842F8">
        <w:t xml:space="preserve">item </w:t>
      </w:r>
      <w:r>
        <w:t>5 if FEVT = T)</w:t>
      </w:r>
    </w:p>
    <w:p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rsidR="00425483" w:rsidRDefault="00425483" w:rsidP="00425483">
      <w:pPr>
        <w:autoSpaceDE w:val="0"/>
        <w:autoSpaceDN w:val="0"/>
        <w:adjustRightInd w:val="0"/>
        <w:spacing w:after="0" w:line="240" w:lineRule="auto"/>
        <w:rPr>
          <w:sz w:val="22"/>
          <w:szCs w:val="22"/>
        </w:rPr>
      </w:pPr>
    </w:p>
    <w:p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rsidR="0025259E" w:rsidRDefault="0025259E" w:rsidP="0025259E">
      <w:pPr>
        <w:spacing w:after="0" w:line="240" w:lineRule="auto"/>
      </w:pPr>
    </w:p>
    <w:p w:rsidR="00425483" w:rsidRDefault="00425483" w:rsidP="0025259E">
      <w:pPr>
        <w:spacing w:after="0" w:line="240" w:lineRule="auto"/>
      </w:pPr>
      <w:r>
        <w:t xml:space="preserve">(Enter </w:t>
      </w:r>
      <w:r w:rsidR="008842F8">
        <w:t xml:space="preserve">item </w:t>
      </w:r>
      <w:r>
        <w:t>6 for each species if FEVT = T and INCEVT ≥ 0)</w:t>
      </w:r>
    </w:p>
    <w:p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rsidR="0025259E" w:rsidRDefault="0025259E" w:rsidP="0025259E">
      <w:pPr>
        <w:spacing w:after="0" w:line="240" w:lineRule="auto"/>
      </w:pPr>
    </w:p>
    <w:p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rsidR="00AE7710" w:rsidRDefault="00AE7710" w:rsidP="00AE7710">
      <w:pPr>
        <w:autoSpaceDE w:val="0"/>
        <w:autoSpaceDN w:val="0"/>
        <w:adjustRightInd w:val="0"/>
        <w:spacing w:after="0" w:line="240" w:lineRule="auto"/>
        <w:rPr>
          <w:sz w:val="22"/>
          <w:szCs w:val="22"/>
        </w:rPr>
      </w:pPr>
    </w:p>
    <w:p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rsidR="0025259E" w:rsidRDefault="0025259E" w:rsidP="0025259E">
      <w:pPr>
        <w:spacing w:after="0" w:line="240" w:lineRule="auto"/>
      </w:pPr>
    </w:p>
    <w:p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n=1,NCOMP)</w:t>
      </w:r>
    </w:p>
    <w:p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rsidR="00F62FE8" w:rsidRDefault="00F62FE8" w:rsidP="00F62FE8">
      <w:pPr>
        <w:autoSpaceDE w:val="0"/>
        <w:autoSpaceDN w:val="0"/>
        <w:adjustRightInd w:val="0"/>
        <w:spacing w:after="0" w:line="240" w:lineRule="auto"/>
        <w:rPr>
          <w:rFonts w:eastAsiaTheme="minorHAnsi"/>
          <w:sz w:val="22"/>
          <w:szCs w:val="22"/>
        </w:rPr>
      </w:pPr>
    </w:p>
    <w:p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Pr>
          <w:rFonts w:eastAsiaTheme="minorHAnsi"/>
          <w:sz w:val="14"/>
          <w:szCs w:val="14"/>
        </w:rPr>
        <w:t>-3</w:t>
      </w:r>
      <w:r>
        <w:rPr>
          <w:rFonts w:eastAsiaTheme="minorHAnsi"/>
          <w:sz w:val="22"/>
          <w:szCs w:val="22"/>
        </w:rPr>
        <w:t>), which, when multiplied by its corresponding flow rate (L</w:t>
      </w:r>
      <w:r>
        <w:rPr>
          <w:rFonts w:eastAsiaTheme="minorHAnsi"/>
          <w:sz w:val="14"/>
          <w:szCs w:val="14"/>
        </w:rPr>
        <w:t>3</w:t>
      </w:r>
      <w:r>
        <w:rPr>
          <w:rFonts w:eastAsiaTheme="minorHAnsi"/>
          <w:sz w:val="22"/>
          <w:szCs w:val="22"/>
        </w:rPr>
        <w:t>T</w:t>
      </w:r>
      <w:r>
        <w:rPr>
          <w:rFonts w:eastAsiaTheme="minorHAnsi"/>
          <w:sz w:val="14"/>
          <w:szCs w:val="14"/>
        </w:rPr>
        <w:t>-1</w:t>
      </w:r>
      <w:r>
        <w:rPr>
          <w:rFonts w:eastAsiaTheme="minorHAnsi"/>
          <w:sz w:val="22"/>
          <w:szCs w:val="22"/>
        </w:rPr>
        <w:t>) from the flow model, yields the mass-loading rate (MT</w:t>
      </w:r>
      <w:r>
        <w:rPr>
          <w:rFonts w:eastAsiaTheme="minorHAnsi"/>
          <w:sz w:val="14"/>
          <w:szCs w:val="14"/>
        </w:rPr>
        <w:t>-1</w:t>
      </w:r>
      <w:r>
        <w:rPr>
          <w:rFonts w:eastAsiaTheme="minorHAnsi"/>
          <w:sz w:val="22"/>
          <w:szCs w:val="22"/>
        </w:rPr>
        <w:t>) of the source.</w:t>
      </w:r>
    </w:p>
    <w:p w:rsidR="00F62FE8" w:rsidRDefault="00F62FE8" w:rsidP="00F62FE8">
      <w:pPr>
        <w:autoSpaceDE w:val="0"/>
        <w:autoSpaceDN w:val="0"/>
        <w:adjustRightInd w:val="0"/>
        <w:spacing w:after="0" w:line="240" w:lineRule="auto"/>
        <w:rPr>
          <w:rFonts w:eastAsiaTheme="minorHAnsi"/>
          <w:sz w:val="22"/>
          <w:szCs w:val="22"/>
        </w:rPr>
      </w:pPr>
    </w:p>
    <w:p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Pr>
          <w:rFonts w:eastAsiaTheme="minorHAnsi"/>
          <w:sz w:val="14"/>
          <w:szCs w:val="14"/>
        </w:rPr>
        <w:t>-1</w:t>
      </w:r>
      <w:r>
        <w:rPr>
          <w:rFonts w:eastAsiaTheme="minorHAnsi"/>
          <w:sz w:val="22"/>
          <w:szCs w:val="22"/>
        </w:rPr>
        <w:t xml:space="preserve">) of the source so that no flow rate is required from the flow model. </w:t>
      </w:r>
    </w:p>
    <w:p w:rsidR="00F62FE8" w:rsidRDefault="00F62FE8" w:rsidP="00F62FE8">
      <w:pPr>
        <w:autoSpaceDE w:val="0"/>
        <w:autoSpaceDN w:val="0"/>
        <w:adjustRightInd w:val="0"/>
        <w:spacing w:after="0" w:line="240" w:lineRule="auto"/>
        <w:rPr>
          <w:rFonts w:eastAsiaTheme="minorHAnsi"/>
          <w:sz w:val="22"/>
          <w:szCs w:val="22"/>
        </w:rPr>
      </w:pPr>
    </w:p>
    <w:p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rsidR="00A81450" w:rsidRDefault="00A81450" w:rsidP="00F62FE8">
      <w:pPr>
        <w:autoSpaceDE w:val="0"/>
        <w:autoSpaceDN w:val="0"/>
        <w:adjustRightInd w:val="0"/>
        <w:spacing w:after="0" w:line="240" w:lineRule="auto"/>
        <w:ind w:left="2160"/>
        <w:rPr>
          <w:rFonts w:eastAsiaTheme="minorHAnsi"/>
          <w:sz w:val="22"/>
          <w:szCs w:val="22"/>
        </w:rPr>
      </w:pPr>
    </w:p>
    <w:p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rsidR="00EB5C18" w:rsidRDefault="00EB5C18" w:rsidP="00A81450">
      <w:pPr>
        <w:autoSpaceDE w:val="0"/>
        <w:autoSpaceDN w:val="0"/>
        <w:adjustRightInd w:val="0"/>
        <w:spacing w:after="0" w:line="240" w:lineRule="auto"/>
        <w:ind w:left="2880"/>
        <w:rPr>
          <w:rFonts w:eastAsiaTheme="minorHAnsi"/>
          <w:sz w:val="22"/>
          <w:szCs w:val="22"/>
        </w:rPr>
      </w:pPr>
    </w:p>
    <w:p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v:shape id="_x0000_i1025" type="#_x0000_t75" style="width:244.5pt;height:17.25pt" o:ole="">
            <v:imagedata r:id="rId15" o:title=""/>
          </v:shape>
          <o:OLEObject Type="Embed" ProgID="Equation.3" ShapeID="_x0000_i1025" DrawAspect="Content" ObjectID="_1462697425" r:id="rId16"/>
        </w:object>
      </w:r>
    </w:p>
    <w:p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rsidR="00A81450" w:rsidRDefault="00A81450" w:rsidP="00A81450">
      <w:pPr>
        <w:autoSpaceDE w:val="0"/>
        <w:autoSpaceDN w:val="0"/>
        <w:adjustRightInd w:val="0"/>
        <w:spacing w:after="0" w:line="240" w:lineRule="auto"/>
        <w:ind w:left="2880"/>
        <w:rPr>
          <w:rFonts w:eastAsiaTheme="minorHAnsi"/>
          <w:sz w:val="22"/>
          <w:szCs w:val="22"/>
        </w:rPr>
      </w:pPr>
    </w:p>
    <w:p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rsidR="00E63211" w:rsidRDefault="00E63211" w:rsidP="00E63211">
      <w:pPr>
        <w:autoSpaceDE w:val="0"/>
        <w:autoSpaceDN w:val="0"/>
        <w:adjustRightInd w:val="0"/>
        <w:spacing w:after="0" w:line="240" w:lineRule="auto"/>
        <w:ind w:left="1800"/>
        <w:rPr>
          <w:sz w:val="22"/>
          <w:szCs w:val="22"/>
        </w:rPr>
      </w:pPr>
    </w:p>
    <w:p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rsidR="00E63211" w:rsidRDefault="00E63211" w:rsidP="00E63211">
      <w:pPr>
        <w:autoSpaceDE w:val="0"/>
        <w:autoSpaceDN w:val="0"/>
        <w:adjustRightInd w:val="0"/>
        <w:spacing w:after="0" w:line="240" w:lineRule="auto"/>
        <w:ind w:left="2160"/>
        <w:rPr>
          <w:rFonts w:eastAsiaTheme="minorHAnsi"/>
          <w:sz w:val="22"/>
          <w:szCs w:val="22"/>
        </w:rPr>
      </w:pPr>
    </w:p>
    <w:p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rsidR="00E63211" w:rsidRDefault="00E63211" w:rsidP="00E63211">
      <w:pPr>
        <w:autoSpaceDE w:val="0"/>
        <w:autoSpaceDN w:val="0"/>
        <w:adjustRightInd w:val="0"/>
        <w:spacing w:after="0" w:line="240" w:lineRule="auto"/>
        <w:ind w:left="2160"/>
        <w:rPr>
          <w:rFonts w:eastAsiaTheme="minorHAnsi"/>
          <w:sz w:val="22"/>
          <w:szCs w:val="22"/>
        </w:rPr>
      </w:pPr>
    </w:p>
    <w:p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rsidR="0025259E" w:rsidRDefault="0025259E" w:rsidP="0018413C">
      <w:pPr>
        <w:spacing w:after="0" w:line="240" w:lineRule="auto"/>
      </w:pPr>
    </w:p>
    <w:p w:rsidR="00CC1BC9" w:rsidRDefault="00CC1BC9" w:rsidP="00CC1BC9">
      <w:pPr>
        <w:pStyle w:val="Heading2"/>
      </w:pPr>
      <w:r>
        <w:t>TOB Package</w:t>
      </w:r>
    </w:p>
    <w:p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rsidR="00661506" w:rsidRDefault="00661506" w:rsidP="00661506">
      <w:pPr>
        <w:pStyle w:val="Heading2"/>
      </w:pPr>
      <w:r>
        <w:t>UZT Package</w:t>
      </w:r>
    </w:p>
    <w:p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rsidR="008D4712" w:rsidRDefault="008D4712" w:rsidP="00F0579C">
      <w:pPr>
        <w:autoSpaceDE w:val="0"/>
        <w:autoSpaceDN w:val="0"/>
        <w:adjustRightInd w:val="0"/>
        <w:spacing w:after="0" w:line="240" w:lineRule="auto"/>
      </w:pPr>
    </w:p>
    <w:p w:rsidR="008D4712" w:rsidRDefault="008D4712" w:rsidP="008D4712">
      <w:pPr>
        <w:autoSpaceDE w:val="0"/>
        <w:autoSpaceDN w:val="0"/>
        <w:adjustRightInd w:val="0"/>
        <w:spacing w:after="0" w:line="240" w:lineRule="auto"/>
        <w:rPr>
          <w:sz w:val="22"/>
          <w:szCs w:val="22"/>
        </w:rPr>
      </w:pPr>
      <w:r>
        <w:rPr>
          <w:sz w:val="22"/>
          <w:szCs w:val="22"/>
        </w:rPr>
        <w:t>For each simulation:</w:t>
      </w:r>
    </w:p>
    <w:p w:rsidR="008D4712" w:rsidRDefault="008D4712" w:rsidP="008D4712">
      <w:pPr>
        <w:autoSpaceDE w:val="0"/>
        <w:autoSpaceDN w:val="0"/>
        <w:adjustRightInd w:val="0"/>
        <w:spacing w:after="0" w:line="240" w:lineRule="auto"/>
        <w:rPr>
          <w:sz w:val="22"/>
          <w:szCs w:val="22"/>
        </w:rPr>
      </w:pPr>
    </w:p>
    <w:p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rsidR="008D4712" w:rsidRDefault="008D4712" w:rsidP="008D4712">
      <w:pPr>
        <w:spacing w:after="0" w:line="240" w:lineRule="auto"/>
      </w:pPr>
    </w:p>
    <w:p w:rsidR="008D4712" w:rsidRDefault="008D4712" w:rsidP="008D4712">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rsidR="008D4712" w:rsidRDefault="008D4712" w:rsidP="008D4712">
      <w:pPr>
        <w:autoSpaceDE w:val="0"/>
        <w:autoSpaceDN w:val="0"/>
        <w:adjustRightInd w:val="0"/>
        <w:spacing w:after="0" w:line="240" w:lineRule="auto"/>
        <w:ind w:firstLine="720"/>
        <w:rPr>
          <w:rFonts w:eastAsiaTheme="minorHAnsi"/>
          <w:sz w:val="22"/>
          <w:szCs w:val="22"/>
        </w:rPr>
      </w:pPr>
    </w:p>
    <w:p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rsidR="007F765F" w:rsidRDefault="007F765F" w:rsidP="008D4712">
      <w:pPr>
        <w:autoSpaceDE w:val="0"/>
        <w:autoSpaceDN w:val="0"/>
        <w:adjustRightInd w:val="0"/>
        <w:spacing w:after="0" w:line="240" w:lineRule="auto"/>
        <w:ind w:firstLine="720"/>
        <w:rPr>
          <w:rFonts w:eastAsiaTheme="minorHAnsi"/>
          <w:sz w:val="22"/>
          <w:szCs w:val="22"/>
        </w:rPr>
      </w:pPr>
    </w:p>
    <w:p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rsidR="007F765F" w:rsidRDefault="007F765F" w:rsidP="007F765F">
      <w:pPr>
        <w:autoSpaceDE w:val="0"/>
        <w:autoSpaceDN w:val="0"/>
        <w:adjustRightInd w:val="0"/>
        <w:spacing w:after="0" w:line="240" w:lineRule="auto"/>
        <w:rPr>
          <w:rFonts w:eastAsiaTheme="minorHAnsi"/>
          <w:sz w:val="22"/>
          <w:szCs w:val="22"/>
        </w:rPr>
      </w:pPr>
    </w:p>
    <w:p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w:t>
      </w:r>
      <w:r w:rsidR="00AB5EA1">
        <w:rPr>
          <w:rFonts w:eastAsiaTheme="minorHAnsi"/>
          <w:sz w:val="22"/>
          <w:szCs w:val="22"/>
        </w:rPr>
        <w:lastRenderedPageBreak/>
        <w:t xml:space="preserve">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rsidR="008842F8" w:rsidRDefault="008842F8" w:rsidP="008842F8">
      <w:pPr>
        <w:autoSpaceDE w:val="0"/>
        <w:autoSpaceDN w:val="0"/>
        <w:adjustRightInd w:val="0"/>
        <w:spacing w:after="0" w:line="240" w:lineRule="auto"/>
        <w:rPr>
          <w:rFonts w:eastAsiaTheme="minorHAnsi"/>
          <w:sz w:val="22"/>
          <w:szCs w:val="22"/>
        </w:rPr>
      </w:pPr>
    </w:p>
    <w:p w:rsidR="008842F8" w:rsidRDefault="008842F8" w:rsidP="008842F8">
      <w:pPr>
        <w:spacing w:after="0" w:line="240" w:lineRule="auto"/>
      </w:pPr>
      <w:r>
        <w:t>(Enter item 7 for each species if INCRCH ≥ 0)</w:t>
      </w:r>
    </w:p>
    <w:p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rsidR="008842F8" w:rsidRDefault="008842F8" w:rsidP="008842F8">
      <w:pPr>
        <w:autoSpaceDE w:val="0"/>
        <w:autoSpaceDN w:val="0"/>
        <w:adjustRightInd w:val="0"/>
        <w:spacing w:after="0" w:line="240" w:lineRule="auto"/>
        <w:rPr>
          <w:rFonts w:eastAsiaTheme="minorHAnsi"/>
          <w:sz w:val="22"/>
          <w:szCs w:val="22"/>
        </w:rPr>
      </w:pPr>
    </w:p>
    <w:p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rsidR="00F869A4" w:rsidRDefault="00F869A4" w:rsidP="00F869A4">
      <w:pPr>
        <w:autoSpaceDE w:val="0"/>
        <w:autoSpaceDN w:val="0"/>
        <w:adjustRightInd w:val="0"/>
        <w:spacing w:after="0" w:line="240" w:lineRule="auto"/>
        <w:rPr>
          <w:rFonts w:eastAsiaTheme="minorHAnsi"/>
          <w:sz w:val="22"/>
          <w:szCs w:val="22"/>
        </w:rPr>
      </w:pPr>
    </w:p>
    <w:p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rsidR="00F869A4" w:rsidRDefault="00F869A4" w:rsidP="00F869A4">
      <w:pPr>
        <w:autoSpaceDE w:val="0"/>
        <w:autoSpaceDN w:val="0"/>
        <w:adjustRightInd w:val="0"/>
        <w:spacing w:after="0" w:line="240" w:lineRule="auto"/>
        <w:rPr>
          <w:rFonts w:eastAsiaTheme="minorHAnsi"/>
          <w:sz w:val="22"/>
          <w:szCs w:val="22"/>
        </w:rPr>
      </w:pPr>
    </w:p>
    <w:p w:rsidR="007958C4" w:rsidRDefault="007958C4" w:rsidP="007958C4">
      <w:pPr>
        <w:spacing w:after="0" w:line="240" w:lineRule="auto"/>
      </w:pPr>
      <w:r>
        <w:t>(Enter item 9 for each species if INCUZET ≥ 0)</w:t>
      </w:r>
    </w:p>
    <w:p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rsidR="007958C4" w:rsidRDefault="007958C4" w:rsidP="007958C4">
      <w:pPr>
        <w:autoSpaceDE w:val="0"/>
        <w:autoSpaceDN w:val="0"/>
        <w:adjustRightInd w:val="0"/>
        <w:spacing w:after="0" w:line="240" w:lineRule="auto"/>
        <w:rPr>
          <w:rFonts w:eastAsiaTheme="minorHAnsi"/>
          <w:sz w:val="22"/>
          <w:szCs w:val="22"/>
        </w:rPr>
      </w:pPr>
    </w:p>
    <w:p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rsidR="007958C4" w:rsidRDefault="007958C4" w:rsidP="007958C4">
      <w:pPr>
        <w:autoSpaceDE w:val="0"/>
        <w:autoSpaceDN w:val="0"/>
        <w:adjustRightInd w:val="0"/>
        <w:spacing w:after="0" w:line="240" w:lineRule="auto"/>
        <w:rPr>
          <w:rFonts w:eastAsiaTheme="minorHAnsi"/>
          <w:sz w:val="22"/>
          <w:szCs w:val="22"/>
        </w:rPr>
      </w:pPr>
    </w:p>
    <w:p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 xml:space="preserve">T &lt; 0 is specified for the first stress period, then by default, the concentration of negative evapotranspiration flux </w:t>
      </w:r>
      <w:r w:rsidRPr="00425483">
        <w:rPr>
          <w:rFonts w:eastAsiaTheme="minorHAnsi"/>
          <w:sz w:val="22"/>
          <w:szCs w:val="22"/>
        </w:rPr>
        <w:lastRenderedPageBreak/>
        <w:t>(sink) is set to the aquifer concentration, while the concentration of positive evapotranspiration flux (source) is set to zero.</w:t>
      </w:r>
    </w:p>
    <w:p w:rsidR="007958C4" w:rsidRDefault="007958C4" w:rsidP="007958C4">
      <w:pPr>
        <w:autoSpaceDE w:val="0"/>
        <w:autoSpaceDN w:val="0"/>
        <w:adjustRightInd w:val="0"/>
        <w:spacing w:after="0" w:line="240" w:lineRule="auto"/>
        <w:rPr>
          <w:rFonts w:eastAsiaTheme="minorHAnsi"/>
          <w:sz w:val="22"/>
          <w:szCs w:val="22"/>
        </w:rPr>
      </w:pPr>
    </w:p>
    <w:p w:rsidR="007958C4" w:rsidRDefault="007958C4" w:rsidP="007958C4">
      <w:pPr>
        <w:spacing w:after="0" w:line="240" w:lineRule="auto"/>
      </w:pPr>
      <w:r>
        <w:t>(Enter item 11 for each species if INCGWET ≥ 0)</w:t>
      </w:r>
    </w:p>
    <w:p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rsidR="007958C4" w:rsidRDefault="007958C4" w:rsidP="007958C4">
      <w:pPr>
        <w:autoSpaceDE w:val="0"/>
        <w:autoSpaceDN w:val="0"/>
        <w:adjustRightInd w:val="0"/>
        <w:spacing w:after="0" w:line="240" w:lineRule="auto"/>
        <w:rPr>
          <w:rFonts w:eastAsiaTheme="minorHAnsi"/>
          <w:sz w:val="22"/>
          <w:szCs w:val="22"/>
        </w:rPr>
      </w:pPr>
    </w:p>
    <w:p w:rsidR="007958C4" w:rsidRDefault="007958C4" w:rsidP="007958C4">
      <w:pPr>
        <w:autoSpaceDE w:val="0"/>
        <w:autoSpaceDN w:val="0"/>
        <w:adjustRightInd w:val="0"/>
        <w:spacing w:after="0" w:line="240" w:lineRule="auto"/>
        <w:rPr>
          <w:rFonts w:eastAsiaTheme="minorHAnsi"/>
          <w:sz w:val="22"/>
          <w:szCs w:val="22"/>
        </w:rPr>
      </w:pPr>
    </w:p>
    <w:p w:rsidR="005E2C24" w:rsidRDefault="00CA1A48" w:rsidP="005E2C24">
      <w:pPr>
        <w:pStyle w:val="Heading2"/>
      </w:pPr>
      <w:bookmarkStart w:id="7" w:name="_Toc321942238"/>
      <w:r>
        <w:t>HSS</w:t>
      </w:r>
      <w:r w:rsidR="005E2C24">
        <w:t xml:space="preserve"> Package</w:t>
      </w:r>
      <w:bookmarkEnd w:id="7"/>
    </w:p>
    <w:p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rsidR="008204C4" w:rsidRDefault="008204C4" w:rsidP="008204C4">
      <w:pPr>
        <w:autoSpaceDE w:val="0"/>
        <w:autoSpaceDN w:val="0"/>
        <w:adjustRightInd w:val="0"/>
        <w:spacing w:after="0" w:line="240" w:lineRule="auto"/>
        <w:rPr>
          <w:b/>
          <w:bCs/>
        </w:rPr>
      </w:pPr>
    </w:p>
    <w:p w:rsidR="008204C4" w:rsidRDefault="008204C4" w:rsidP="008204C4">
      <w:pPr>
        <w:autoSpaceDE w:val="0"/>
        <w:autoSpaceDN w:val="0"/>
        <w:adjustRightInd w:val="0"/>
        <w:spacing w:after="0" w:line="240" w:lineRule="auto"/>
        <w:rPr>
          <w:b/>
          <w:bCs/>
        </w:rPr>
      </w:pPr>
      <w:r>
        <w:rPr>
          <w:b/>
          <w:bCs/>
        </w:rPr>
        <w:t>For each simulation</w:t>
      </w:r>
    </w:p>
    <w:p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rsidR="002654A3" w:rsidRDefault="002654A3" w:rsidP="005E2C24">
      <w:pPr>
        <w:spacing w:after="0" w:line="240" w:lineRule="auto"/>
      </w:pPr>
    </w:p>
    <w:p w:rsidR="00FC1490" w:rsidRDefault="00FC1490" w:rsidP="00FC1490">
      <w:pPr>
        <w:autoSpaceDE w:val="0"/>
        <w:autoSpaceDN w:val="0"/>
        <w:adjustRightInd w:val="0"/>
        <w:spacing w:after="0" w:line="240" w:lineRule="auto"/>
        <w:rPr>
          <w:b/>
          <w:bCs/>
        </w:rPr>
      </w:pPr>
      <w:r>
        <w:rPr>
          <w:b/>
          <w:bCs/>
        </w:rPr>
        <w:t>Explanation of Parameters Used by the HSS Package</w:t>
      </w:r>
    </w:p>
    <w:p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rsidR="00FC1490" w:rsidRDefault="00FC1490" w:rsidP="00FC1490">
      <w:pPr>
        <w:autoSpaceDE w:val="0"/>
        <w:autoSpaceDN w:val="0"/>
        <w:adjustRightInd w:val="0"/>
        <w:spacing w:after="0" w:line="240" w:lineRule="auto"/>
      </w:pPr>
      <w:r>
        <w:lastRenderedPageBreak/>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If [RunOption] is set to any other value or simply omitted, an input file defining the LNAPL source must have been generated from a previous execution of the HSSM code outside MT3DMS.</w:t>
      </w:r>
    </w:p>
    <w:p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rsidR="00FC1490" w:rsidRDefault="00FC1490" w:rsidP="00FC1490">
      <w:pPr>
        <w:autoSpaceDE w:val="0"/>
        <w:autoSpaceDN w:val="0"/>
        <w:adjustRightInd w:val="0"/>
        <w:spacing w:after="0" w:line="240" w:lineRule="auto"/>
      </w:pPr>
      <w:r>
        <w:t>kSource – is the layer index of the initial model cell where a HSSM-LNAPL source is located.</w:t>
      </w:r>
    </w:p>
    <w:p w:rsidR="00FC1490" w:rsidRDefault="00FC1490" w:rsidP="00FC1490">
      <w:pPr>
        <w:autoSpaceDE w:val="0"/>
        <w:autoSpaceDN w:val="0"/>
        <w:adjustRightInd w:val="0"/>
        <w:spacing w:after="0" w:line="240" w:lineRule="auto"/>
      </w:pPr>
      <w:r>
        <w:t>iSource – is the row index of the initial model cell where a HSSM-LNAPL source is located.</w:t>
      </w:r>
    </w:p>
    <w:p w:rsidR="00FC1490" w:rsidRDefault="00FC1490" w:rsidP="00FC1490">
      <w:pPr>
        <w:autoSpaceDE w:val="0"/>
        <w:autoSpaceDN w:val="0"/>
        <w:adjustRightInd w:val="0"/>
        <w:spacing w:after="0" w:line="240" w:lineRule="auto"/>
      </w:pPr>
      <w:r>
        <w:t>jSource – is the column index of the initial model cell where a HSSM-LNAPL source is located.</w:t>
      </w:r>
    </w:p>
    <w:p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rsidR="00FC1490" w:rsidRDefault="00FC1490" w:rsidP="00FC1490">
      <w:pPr>
        <w:autoSpaceDE w:val="0"/>
        <w:autoSpaceDN w:val="0"/>
        <w:adjustRightInd w:val="0"/>
        <w:spacing w:after="0" w:line="240" w:lineRule="auto"/>
      </w:pPr>
      <w:r>
        <w:lastRenderedPageBreak/>
        <w:t>iHSSComp – is species index of the LNAPL source in a multicomponent MT3DMS simulation. For example, if iSSComp = 2, the LNAPL source is intended for species no. 2 included in the current simulation.</w:t>
      </w:r>
    </w:p>
    <w:p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rsidR="006C3F4D" w:rsidRDefault="006C3F4D" w:rsidP="00FC1490">
      <w:pPr>
        <w:autoSpaceDE w:val="0"/>
        <w:autoSpaceDN w:val="0"/>
        <w:adjustRightInd w:val="0"/>
        <w:spacing w:after="0" w:line="240" w:lineRule="auto"/>
      </w:pPr>
    </w:p>
    <w:p w:rsidR="00486932" w:rsidRDefault="00486932" w:rsidP="0075198B">
      <w:pPr>
        <w:pStyle w:val="Heading1"/>
        <w:numPr>
          <w:ilvl w:val="0"/>
          <w:numId w:val="9"/>
        </w:numPr>
        <w:ind w:left="540" w:hanging="540"/>
        <w:rPr>
          <w:rFonts w:cs="Times New Roman"/>
        </w:rPr>
      </w:pPr>
      <w:bookmarkStart w:id="8" w:name="_Toc321942239"/>
      <w:r>
        <w:rPr>
          <w:rFonts w:cs="Times New Roman"/>
        </w:rPr>
        <w:t>Output</w:t>
      </w:r>
      <w:bookmarkEnd w:id="8"/>
    </w:p>
    <w:p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rsidR="004B03E9" w:rsidRDefault="004B03E9" w:rsidP="00413203">
      <w:pPr>
        <w:autoSpaceDE w:val="0"/>
        <w:autoSpaceDN w:val="0"/>
        <w:adjustRightInd w:val="0"/>
        <w:spacing w:after="0" w:line="240" w:lineRule="auto"/>
        <w:jc w:val="both"/>
      </w:pPr>
    </w:p>
    <w:p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rsidR="007A0F22" w:rsidRDefault="009A00BD" w:rsidP="007A0F22">
      <w:pPr>
        <w:pStyle w:val="Heading2"/>
      </w:pPr>
      <w:bookmarkStart w:id="9" w:name="_Toc321942240"/>
      <w:r>
        <w:t>Output Files</w:t>
      </w:r>
      <w:bookmarkEnd w:id="9"/>
    </w:p>
    <w:p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rsidR="00205761" w:rsidRDefault="00205761" w:rsidP="00413203">
      <w:pPr>
        <w:autoSpaceDE w:val="0"/>
        <w:autoSpaceDN w:val="0"/>
        <w:adjustRightInd w:val="0"/>
        <w:spacing w:after="0" w:line="240" w:lineRule="auto"/>
        <w:jc w:val="both"/>
      </w:pPr>
    </w:p>
    <w:p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rsidR="00AD5955" w:rsidRDefault="00AD5955" w:rsidP="00413203">
      <w:pPr>
        <w:autoSpaceDE w:val="0"/>
        <w:autoSpaceDN w:val="0"/>
        <w:adjustRightInd w:val="0"/>
        <w:spacing w:after="0" w:line="240" w:lineRule="auto"/>
        <w:jc w:val="both"/>
      </w:pPr>
    </w:p>
    <w:p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rsidR="00AD5955" w:rsidRDefault="00AD5955" w:rsidP="00413203">
      <w:pPr>
        <w:autoSpaceDE w:val="0"/>
        <w:autoSpaceDN w:val="0"/>
        <w:adjustRightInd w:val="0"/>
        <w:spacing w:after="0" w:line="240" w:lineRule="auto"/>
        <w:jc w:val="both"/>
      </w:pPr>
    </w:p>
    <w:p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rsidR="00205761" w:rsidRDefault="00205761" w:rsidP="00413203">
      <w:pPr>
        <w:autoSpaceDE w:val="0"/>
        <w:autoSpaceDN w:val="0"/>
        <w:adjustRightInd w:val="0"/>
        <w:spacing w:after="0" w:line="240" w:lineRule="auto"/>
        <w:jc w:val="both"/>
      </w:pPr>
    </w:p>
    <w:p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rsidR="005174B6" w:rsidRDefault="005174B6" w:rsidP="00413203">
      <w:pPr>
        <w:autoSpaceDE w:val="0"/>
        <w:autoSpaceDN w:val="0"/>
        <w:adjustRightInd w:val="0"/>
        <w:spacing w:after="0" w:line="240" w:lineRule="auto"/>
        <w:jc w:val="both"/>
      </w:pPr>
    </w:p>
    <w:p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rsidR="00984F58" w:rsidRDefault="00984F58" w:rsidP="00413203">
      <w:pPr>
        <w:autoSpaceDE w:val="0"/>
        <w:autoSpaceDN w:val="0"/>
        <w:adjustRightInd w:val="0"/>
        <w:spacing w:after="0" w:line="240" w:lineRule="auto"/>
        <w:jc w:val="both"/>
      </w:pPr>
    </w:p>
    <w:p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rsidR="005174B6" w:rsidRDefault="005174B6" w:rsidP="00413203">
      <w:pPr>
        <w:autoSpaceDE w:val="0"/>
        <w:autoSpaceDN w:val="0"/>
        <w:adjustRightInd w:val="0"/>
        <w:spacing w:after="0" w:line="240" w:lineRule="auto"/>
        <w:jc w:val="both"/>
      </w:pPr>
    </w:p>
    <w:p w:rsidR="008B725A" w:rsidRPr="005E6979" w:rsidRDefault="008B725A" w:rsidP="00413203">
      <w:pPr>
        <w:spacing w:after="0" w:line="240" w:lineRule="auto"/>
        <w:jc w:val="both"/>
        <w:rPr>
          <w:u w:val="single"/>
        </w:rPr>
      </w:pPr>
      <w:r w:rsidRPr="005E6979">
        <w:rPr>
          <w:u w:val="single"/>
        </w:rPr>
        <w:t>C2DRY.UCN</w:t>
      </w:r>
    </w:p>
    <w:p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rsidR="007422F6" w:rsidRDefault="007422F6" w:rsidP="00413203">
      <w:pPr>
        <w:spacing w:after="0" w:line="240" w:lineRule="auto"/>
        <w:jc w:val="both"/>
      </w:pPr>
    </w:p>
    <w:p w:rsidR="004748AA" w:rsidRDefault="004748AA" w:rsidP="00413203">
      <w:pPr>
        <w:autoSpaceDE w:val="0"/>
        <w:autoSpaceDN w:val="0"/>
        <w:adjustRightInd w:val="0"/>
        <w:spacing w:after="0" w:line="240" w:lineRule="auto"/>
        <w:jc w:val="both"/>
      </w:pPr>
      <w:r>
        <w:t>For each transport step saved:</w:t>
      </w:r>
    </w:p>
    <w:p w:rsidR="00803134" w:rsidRDefault="00803134" w:rsidP="00413203">
      <w:pPr>
        <w:autoSpaceDE w:val="0"/>
        <w:autoSpaceDN w:val="0"/>
        <w:adjustRightInd w:val="0"/>
        <w:spacing w:after="0" w:line="240" w:lineRule="auto"/>
        <w:jc w:val="both"/>
      </w:pPr>
      <w:r>
        <w:t>For each component simulated:</w:t>
      </w:r>
    </w:p>
    <w:p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rsidR="004748AA" w:rsidRDefault="004748AA" w:rsidP="00413203">
      <w:pPr>
        <w:autoSpaceDE w:val="0"/>
        <w:autoSpaceDN w:val="0"/>
        <w:adjustRightInd w:val="0"/>
        <w:spacing w:after="0" w:line="240" w:lineRule="auto"/>
        <w:ind w:left="720" w:firstLine="720"/>
        <w:jc w:val="both"/>
      </w:pPr>
      <w:r>
        <w:t>Record 1: NTRANS,KSTP,KPER,TIME2,TEXT,NCOL,NROW,ILAY</w:t>
      </w:r>
    </w:p>
    <w:p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rsidR="004748AA" w:rsidRDefault="004748AA" w:rsidP="00413203">
      <w:pPr>
        <w:autoSpaceDE w:val="0"/>
        <w:autoSpaceDN w:val="0"/>
        <w:adjustRightInd w:val="0"/>
        <w:spacing w:after="0" w:line="240" w:lineRule="auto"/>
        <w:jc w:val="both"/>
      </w:pPr>
      <w:r>
        <w:t>where</w:t>
      </w:r>
      <w:r w:rsidR="00C61E48">
        <w:t>,</w:t>
      </w:r>
    </w:p>
    <w:p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rsidR="004748AA" w:rsidRDefault="004748AA" w:rsidP="00413203">
      <w:pPr>
        <w:autoSpaceDE w:val="0"/>
        <w:autoSpaceDN w:val="0"/>
        <w:adjustRightInd w:val="0"/>
        <w:spacing w:after="0" w:line="240" w:lineRule="auto"/>
        <w:jc w:val="both"/>
      </w:pPr>
      <w:r>
        <w:t>NCOL is the total number of columns;</w:t>
      </w:r>
    </w:p>
    <w:p w:rsidR="004748AA" w:rsidRDefault="004748AA" w:rsidP="00413203">
      <w:pPr>
        <w:autoSpaceDE w:val="0"/>
        <w:autoSpaceDN w:val="0"/>
        <w:adjustRightInd w:val="0"/>
        <w:spacing w:after="0" w:line="240" w:lineRule="auto"/>
        <w:jc w:val="both"/>
      </w:pPr>
      <w:r>
        <w:t>NROW is the total number of rows;</w:t>
      </w:r>
    </w:p>
    <w:p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rsidR="008B725A" w:rsidRDefault="008B725A" w:rsidP="00413203">
      <w:pPr>
        <w:autoSpaceDE w:val="0"/>
        <w:autoSpaceDN w:val="0"/>
        <w:adjustRightInd w:val="0"/>
        <w:spacing w:after="0" w:line="240" w:lineRule="auto"/>
        <w:jc w:val="both"/>
      </w:pPr>
    </w:p>
    <w:p w:rsidR="009A00BD" w:rsidRDefault="009A00BD" w:rsidP="009A00BD">
      <w:pPr>
        <w:pStyle w:val="Heading2"/>
      </w:pPr>
      <w:bookmarkStart w:id="10" w:name="_Toc321942241"/>
      <w:r>
        <w:t>Budget Terms</w:t>
      </w:r>
      <w:bookmarkEnd w:id="10"/>
    </w:p>
    <w:p w:rsidR="007A0F22" w:rsidRPr="0090356E" w:rsidRDefault="0090356E" w:rsidP="007A0F22">
      <w:pPr>
        <w:spacing w:after="0" w:line="240" w:lineRule="auto"/>
        <w:rPr>
          <w:u w:val="single"/>
        </w:rPr>
      </w:pPr>
      <w:r>
        <w:rPr>
          <w:u w:val="single"/>
        </w:rPr>
        <w:t>CTS</w:t>
      </w:r>
      <w:r w:rsidRPr="0090356E">
        <w:rPr>
          <w:u w:val="single"/>
        </w:rPr>
        <w:t xml:space="preserve"> Mass Balance</w:t>
      </w:r>
    </w:p>
    <w:p w:rsidR="00D21F97" w:rsidRDefault="00D21F97" w:rsidP="007A0F22">
      <w:pPr>
        <w:spacing w:after="0" w:line="240" w:lineRule="auto"/>
      </w:pPr>
    </w:p>
    <w:p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w:t>
      </w:r>
      <w:r w:rsidR="0090356E">
        <w:lastRenderedPageBreak/>
        <w:t>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rsidR="0090356E" w:rsidRDefault="0090356E" w:rsidP="00413203">
      <w:pPr>
        <w:spacing w:after="0" w:line="240" w:lineRule="auto"/>
        <w:jc w:val="both"/>
      </w:pPr>
    </w:p>
    <w:p w:rsidR="005B3EAD" w:rsidRPr="005B3EAD" w:rsidRDefault="005B3EAD" w:rsidP="007A0F22">
      <w:pPr>
        <w:spacing w:after="0" w:line="240" w:lineRule="auto"/>
        <w:rPr>
          <w:u w:val="single"/>
        </w:rPr>
      </w:pPr>
      <w:r w:rsidRPr="005B3EAD">
        <w:rPr>
          <w:u w:val="single"/>
        </w:rPr>
        <w:t>Mass Balance Summary</w:t>
      </w:r>
    </w:p>
    <w:p w:rsidR="0090356E" w:rsidRDefault="0090356E" w:rsidP="007A0F22">
      <w:pPr>
        <w:spacing w:after="0" w:line="240" w:lineRule="auto"/>
      </w:pPr>
    </w:p>
    <w:p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rsidR="002F6B14" w:rsidRDefault="002F6B14" w:rsidP="00413203">
      <w:pPr>
        <w:spacing w:after="0" w:line="240" w:lineRule="auto"/>
        <w:jc w:val="both"/>
      </w:pPr>
      <w:bookmarkStart w:id="11" w:name="_GoBack"/>
      <w:bookmarkEnd w:id="11"/>
    </w:p>
    <w:sectPr w:rsidR="002F6B14" w:rsidSect="00CE5E60">
      <w:footerReference w:type="firs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67F" w:rsidRDefault="0055267F" w:rsidP="00BA48E4">
      <w:pPr>
        <w:spacing w:after="0" w:line="240" w:lineRule="auto"/>
      </w:pPr>
      <w:r>
        <w:separator/>
      </w:r>
    </w:p>
  </w:endnote>
  <w:endnote w:type="continuationSeparator" w:id="0">
    <w:p w:rsidR="0055267F" w:rsidRDefault="0055267F"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rsidR="00F81E49" w:rsidRDefault="00F81E49">
        <w:pPr>
          <w:pStyle w:val="Footer"/>
          <w:jc w:val="center"/>
        </w:pPr>
        <w:r>
          <w:fldChar w:fldCharType="begin"/>
        </w:r>
        <w:r>
          <w:instrText xml:space="preserve"> PAGE   \* MERGEFORMAT </w:instrText>
        </w:r>
        <w:r>
          <w:fldChar w:fldCharType="separate"/>
        </w:r>
        <w:r w:rsidR="00A55D18">
          <w:rPr>
            <w:noProof/>
          </w:rPr>
          <w:t>1</w:t>
        </w:r>
        <w:r>
          <w:rPr>
            <w:noProof/>
          </w:rPr>
          <w:fldChar w:fldCharType="end"/>
        </w:r>
      </w:p>
    </w:sdtContent>
  </w:sdt>
  <w:p w:rsidR="00F81E49" w:rsidRDefault="00F81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67F" w:rsidRDefault="0055267F" w:rsidP="00BA48E4">
      <w:pPr>
        <w:spacing w:after="0" w:line="240" w:lineRule="auto"/>
      </w:pPr>
      <w:r>
        <w:separator/>
      </w:r>
    </w:p>
  </w:footnote>
  <w:footnote w:type="continuationSeparator" w:id="0">
    <w:p w:rsidR="0055267F" w:rsidRDefault="0055267F"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AAC2584"/>
    <w:multiLevelType w:val="hybridMultilevel"/>
    <w:tmpl w:val="23F4A6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4">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21"/>
  </w:num>
  <w:num w:numId="4">
    <w:abstractNumId w:val="35"/>
  </w:num>
  <w:num w:numId="5">
    <w:abstractNumId w:val="26"/>
  </w:num>
  <w:num w:numId="6">
    <w:abstractNumId w:val="9"/>
  </w:num>
  <w:num w:numId="7">
    <w:abstractNumId w:val="32"/>
  </w:num>
  <w:num w:numId="8">
    <w:abstractNumId w:val="3"/>
  </w:num>
  <w:num w:numId="9">
    <w:abstractNumId w:val="1"/>
  </w:num>
  <w:num w:numId="10">
    <w:abstractNumId w:val="22"/>
  </w:num>
  <w:num w:numId="11">
    <w:abstractNumId w:val="8"/>
  </w:num>
  <w:num w:numId="12">
    <w:abstractNumId w:val="19"/>
  </w:num>
  <w:num w:numId="13">
    <w:abstractNumId w:val="18"/>
  </w:num>
  <w:num w:numId="14">
    <w:abstractNumId w:val="12"/>
  </w:num>
  <w:num w:numId="15">
    <w:abstractNumId w:val="0"/>
  </w:num>
  <w:num w:numId="16">
    <w:abstractNumId w:val="24"/>
  </w:num>
  <w:num w:numId="17">
    <w:abstractNumId w:val="36"/>
  </w:num>
  <w:num w:numId="18">
    <w:abstractNumId w:val="33"/>
  </w:num>
  <w:num w:numId="19">
    <w:abstractNumId w:val="29"/>
  </w:num>
  <w:num w:numId="20">
    <w:abstractNumId w:val="6"/>
  </w:num>
  <w:num w:numId="21">
    <w:abstractNumId w:val="13"/>
  </w:num>
  <w:num w:numId="22">
    <w:abstractNumId w:val="5"/>
  </w:num>
  <w:num w:numId="23">
    <w:abstractNumId w:val="14"/>
  </w:num>
  <w:num w:numId="24">
    <w:abstractNumId w:val="28"/>
  </w:num>
  <w:num w:numId="25">
    <w:abstractNumId w:val="17"/>
  </w:num>
  <w:num w:numId="26">
    <w:abstractNumId w:val="25"/>
  </w:num>
  <w:num w:numId="27">
    <w:abstractNumId w:val="16"/>
  </w:num>
  <w:num w:numId="28">
    <w:abstractNumId w:val="38"/>
  </w:num>
  <w:num w:numId="29">
    <w:abstractNumId w:val="10"/>
  </w:num>
  <w:num w:numId="30">
    <w:abstractNumId w:val="23"/>
  </w:num>
  <w:num w:numId="31">
    <w:abstractNumId w:val="2"/>
  </w:num>
  <w:num w:numId="32">
    <w:abstractNumId w:val="37"/>
  </w:num>
  <w:num w:numId="33">
    <w:abstractNumId w:val="39"/>
  </w:num>
  <w:num w:numId="34">
    <w:abstractNumId w:val="31"/>
  </w:num>
  <w:num w:numId="35">
    <w:abstractNumId w:val="34"/>
  </w:num>
  <w:num w:numId="36">
    <w:abstractNumId w:val="27"/>
  </w:num>
  <w:num w:numId="37">
    <w:abstractNumId w:val="20"/>
  </w:num>
  <w:num w:numId="38">
    <w:abstractNumId w:val="30"/>
  </w:num>
  <w:num w:numId="39">
    <w:abstractNumId w:val="11"/>
  </w:num>
  <w:num w:numId="40">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7CC3"/>
    <w:rsid w:val="00012A23"/>
    <w:rsid w:val="00012B00"/>
    <w:rsid w:val="000172A2"/>
    <w:rsid w:val="00021AEA"/>
    <w:rsid w:val="0002558E"/>
    <w:rsid w:val="00027C06"/>
    <w:rsid w:val="00030453"/>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9D"/>
    <w:rsid w:val="0016100F"/>
    <w:rsid w:val="00162B38"/>
    <w:rsid w:val="00163B8B"/>
    <w:rsid w:val="001644D4"/>
    <w:rsid w:val="0016720C"/>
    <w:rsid w:val="0016755A"/>
    <w:rsid w:val="00171DF3"/>
    <w:rsid w:val="00173FD8"/>
    <w:rsid w:val="00174BC0"/>
    <w:rsid w:val="0017640C"/>
    <w:rsid w:val="0018413C"/>
    <w:rsid w:val="00185644"/>
    <w:rsid w:val="0018618F"/>
    <w:rsid w:val="00192EDE"/>
    <w:rsid w:val="001957E5"/>
    <w:rsid w:val="001A01D2"/>
    <w:rsid w:val="001A1422"/>
    <w:rsid w:val="001A1E71"/>
    <w:rsid w:val="001A1ED9"/>
    <w:rsid w:val="001A2CE6"/>
    <w:rsid w:val="001A58D5"/>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3C83"/>
    <w:rsid w:val="00713DF7"/>
    <w:rsid w:val="0071431E"/>
    <w:rsid w:val="007179D0"/>
    <w:rsid w:val="00723184"/>
    <w:rsid w:val="0072323B"/>
    <w:rsid w:val="00724443"/>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5E39"/>
    <w:rsid w:val="00A2690B"/>
    <w:rsid w:val="00A26EA3"/>
    <w:rsid w:val="00A2787A"/>
    <w:rsid w:val="00A33115"/>
    <w:rsid w:val="00A349D5"/>
    <w:rsid w:val="00A3595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6BFD"/>
    <w:rsid w:val="00BB7ACC"/>
    <w:rsid w:val="00BC4AD8"/>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522A"/>
    <w:rsid w:val="00C06AFB"/>
    <w:rsid w:val="00C11D3E"/>
    <w:rsid w:val="00C11FEC"/>
    <w:rsid w:val="00C13544"/>
    <w:rsid w:val="00C140C2"/>
    <w:rsid w:val="00C15E53"/>
    <w:rsid w:val="00C20147"/>
    <w:rsid w:val="00C201E8"/>
    <w:rsid w:val="00C2579D"/>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uiPriority w:val="59"/>
    <w:rsid w:val="00DE1C8A"/>
    <w:pPr>
      <w:spacing w:after="120" w:line="36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72AEE-F96D-4843-9B60-624B2EE79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13112</Words>
  <Characters>74743</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2</cp:revision>
  <cp:lastPrinted>2012-10-10T19:14:00Z</cp:lastPrinted>
  <dcterms:created xsi:type="dcterms:W3CDTF">2014-05-27T19:04:00Z</dcterms:created>
  <dcterms:modified xsi:type="dcterms:W3CDTF">2014-05-27T19:04:00Z</dcterms:modified>
</cp:coreProperties>
</file>