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6A10E906"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1.0.0</w:t>
      </w:r>
    </w:p>
    <w:p w14:paraId="365AE4B9" w14:textId="77777777" w:rsidR="00F67271" w:rsidRDefault="00503C0F" w:rsidP="00D35F7C">
      <w:pPr>
        <w:pStyle w:val="Heading1"/>
      </w:pPr>
      <w:bookmarkStart w:id="0" w:name="_Toc321942231"/>
      <w:r>
        <w:t>Input</w:t>
      </w:r>
      <w:bookmarkEnd w:id="0"/>
    </w:p>
    <w:p w14:paraId="58054C98" w14:textId="680FFDC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w:t>
      </w:r>
      <w:r w:rsidR="0062097C">
        <w:t xml:space="preserve">the </w:t>
      </w:r>
      <w:r w:rsidR="003D0634">
        <w:t xml:space="preserve">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D539C79" w:rsidR="006939C8" w:rsidRPr="006939C8" w:rsidRDefault="006939C8" w:rsidP="00413203">
      <w:pPr>
        <w:spacing w:after="0" w:line="240" w:lineRule="auto"/>
        <w:jc w:val="both"/>
      </w:pPr>
      <w:r w:rsidRPr="006939C8">
        <w:rPr>
          <w:b/>
          <w:bCs/>
          <w:i/>
          <w:iCs/>
        </w:rPr>
        <w:lastRenderedPageBreak/>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AC44F84"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 program</w:t>
      </w:r>
      <w:r w:rsidRPr="006939C8">
        <w:t>. To use the reserved unit number for a particular file, simply set Nunit associated</w:t>
      </w:r>
      <w:r w:rsidR="004A65A1">
        <w:t xml:space="preserve"> </w:t>
      </w:r>
      <w:r w:rsidRPr="006939C8">
        <w:t>with that file to 0. If 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those files </w:t>
      </w:r>
      <w:r w:rsidRPr="006939C8">
        <w:lastRenderedPageBreak/>
        <w:t>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trPr>
        <w:tc>
          <w:tcPr>
            <w:tcW w:w="5312" w:type="dxa"/>
            <w:noWrap/>
            <w:hideMark/>
          </w:tcPr>
          <w:p w14:paraId="7E255559" w14:textId="25E1E9D7" w:rsidR="001D6521" w:rsidRPr="001D6521" w:rsidRDefault="001D6521" w:rsidP="00BE212F">
            <w:pPr>
              <w:spacing w:after="0" w:line="240" w:lineRule="auto"/>
              <w:jc w:val="center"/>
            </w:pPr>
            <w:r w:rsidRPr="001D6521">
              <w:t>MT3DMS Input/Output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4A4968D4" w:rsidR="001D6521" w:rsidRPr="001D6521" w:rsidRDefault="001D6521" w:rsidP="00BE212F">
            <w:pPr>
              <w:spacing w:after="0" w:line="240" w:lineRule="auto"/>
              <w:jc w:val="center"/>
            </w:pPr>
            <w:r>
              <w:t>Name File*</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65D79BC8" w:rsidR="001D6521" w:rsidRPr="001D6521" w:rsidRDefault="001D6521" w:rsidP="00BE212F">
            <w:pPr>
              <w:spacing w:after="0" w:line="240" w:lineRule="auto"/>
              <w:jc w:val="center"/>
            </w:pPr>
            <w:r w:rsidRPr="001D6521">
              <w:t>Basic Transport*</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1F01C642" w:rsidR="001D6521" w:rsidRPr="001D6521" w:rsidRDefault="001D6521" w:rsidP="00BE212F">
            <w:pPr>
              <w:spacing w:after="0" w:line="240" w:lineRule="auto"/>
              <w:jc w:val="center"/>
            </w:pPr>
            <w:r w:rsidRPr="001D6521">
              <w:t>Flow-Transport Link*</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5CDE8467" w:rsidR="00BE32F7" w:rsidRPr="001D6521" w:rsidRDefault="00BE32F7" w:rsidP="006213F4">
            <w:pPr>
              <w:spacing w:after="0" w:line="240" w:lineRule="auto"/>
              <w:jc w:val="center"/>
            </w:pPr>
            <w:r>
              <w:t>6</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21CD68B" w:rsidR="00471928" w:rsidRPr="001D6521" w:rsidRDefault="00471928" w:rsidP="00BE212F">
            <w:pPr>
              <w:spacing w:after="0" w:line="240" w:lineRule="auto"/>
              <w:jc w:val="center"/>
            </w:pPr>
            <w:r w:rsidRPr="001D6521">
              <w:t>Output Listing File*</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lastRenderedPageBreak/>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File(sorbed/immobile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00A5B92" w:rsidR="00201E6C" w:rsidRPr="00201E6C" w:rsidRDefault="006213F4" w:rsidP="00201E6C">
      <w:pPr>
        <w:spacing w:after="0" w:line="240" w:lineRule="auto"/>
        <w:jc w:val="both"/>
      </w:pPr>
      <w:r>
        <w:t xml:space="preserve">* </w:t>
      </w:r>
      <w:r w:rsidR="009F50CA">
        <w:t>Note – these files are always required for every simulation</w:t>
      </w:r>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lastRenderedPageBreak/>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w:t>
      </w:r>
      <w:r>
        <w:rPr>
          <w:rFonts w:eastAsiaTheme="minorHAnsi"/>
          <w:sz w:val="22"/>
          <w:szCs w:val="22"/>
        </w:rPr>
        <w:lastRenderedPageBreak/>
        <w:t>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lastRenderedPageBreak/>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212BD530"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r w:rsidR="001D3688">
        <w:rPr>
          <w:rFonts w:eastAsiaTheme="minorHAnsi"/>
          <w:sz w:val="22"/>
          <w:szCs w:val="22"/>
        </w:rPr>
        <w:t>, 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lastRenderedPageBreak/>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1728822" w14:textId="4F7DE3F6" w:rsidR="001D3688" w:rsidRPr="00BE212F" w:rsidRDefault="001D3688" w:rsidP="001D3688">
      <w:pPr>
        <w:numPr>
          <w:ilvl w:val="0"/>
          <w:numId w:val="1"/>
        </w:numPr>
        <w:autoSpaceDE w:val="0"/>
        <w:autoSpaceDN w:val="0"/>
        <w:adjustRightInd w:val="0"/>
        <w:spacing w:after="0" w:line="240" w:lineRule="auto"/>
        <w:ind w:left="2160" w:hanging="270"/>
        <w:rPr>
          <w:sz w:val="22"/>
          <w:szCs w:val="22"/>
        </w:rPr>
      </w:pPr>
      <w:r w:rsidRPr="00BE212F">
        <w:rPr>
          <w:sz w:val="22"/>
          <w:szCs w:val="22"/>
        </w:rPr>
        <w:t>IATS is the option to specify whether adaptive-time-stepping was invoked in the flow model. This option is only available with MF2K-SSPA. This option is not available with any other version of MODFLOW.</w:t>
      </w:r>
    </w:p>
    <w:p w14:paraId="51DD874C" w14:textId="77777777" w:rsidR="001D3688" w:rsidRPr="00BE212F" w:rsidRDefault="001D3688" w:rsidP="00BE212F">
      <w:pPr>
        <w:pStyle w:val="ListParagraph"/>
        <w:numPr>
          <w:ilvl w:val="3"/>
          <w:numId w:val="1"/>
        </w:numPr>
        <w:autoSpaceDE w:val="0"/>
        <w:autoSpaceDN w:val="0"/>
        <w:adjustRightInd w:val="0"/>
        <w:spacing w:after="0" w:line="240" w:lineRule="auto"/>
        <w:rPr>
          <w:sz w:val="22"/>
          <w:szCs w:val="22"/>
        </w:rPr>
      </w:pPr>
      <w:r w:rsidRPr="00BE212F">
        <w:rPr>
          <w:sz w:val="22"/>
          <w:szCs w:val="22"/>
        </w:rPr>
        <w:t xml:space="preserve">Set IATS = 0, if default MODFLOW time-stepping was used in the flow model; </w:t>
      </w:r>
    </w:p>
    <w:p w14:paraId="36131B38" w14:textId="43C40FA1" w:rsidR="001D3688" w:rsidRDefault="001D3688" w:rsidP="00BE212F">
      <w:pPr>
        <w:numPr>
          <w:ilvl w:val="3"/>
          <w:numId w:val="1"/>
        </w:numPr>
        <w:autoSpaceDE w:val="0"/>
        <w:autoSpaceDN w:val="0"/>
        <w:adjustRightInd w:val="0"/>
        <w:spacing w:after="0" w:line="240" w:lineRule="auto"/>
        <w:rPr>
          <w:sz w:val="22"/>
          <w:szCs w:val="22"/>
        </w:rPr>
      </w:pPr>
      <w:r w:rsidRPr="00BE212F">
        <w:rPr>
          <w:sz w:val="22"/>
          <w:szCs w:val="22"/>
        </w:rPr>
        <w:t>Set IATS = 1, if the adaptive-time-stepping option of MF2K-SSPA was invoked by the flow model. With this option, a TSO filename that provides time-stepping information must be specified in the NAM file.</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w:t>
      </w:r>
      <w:r>
        <w:rPr>
          <w:rFonts w:eastAsiaTheme="minorHAnsi"/>
          <w:sz w:val="22"/>
          <w:szCs w:val="22"/>
        </w:rPr>
        <w:lastRenderedPageBreak/>
        <w:t>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IFMTDP is a flag indicating whether the model-calculated, distance-weighted dispersion coefficient should be printed and also serves as a </w:t>
      </w:r>
      <w:r w:rsidRPr="00163B8B">
        <w:rPr>
          <w:sz w:val="22"/>
          <w:szCs w:val="22"/>
        </w:rPr>
        <w:lastRenderedPageBreak/>
        <w:t>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w:t>
      </w:r>
      <w:r w:rsidRPr="004B6625">
        <w:rPr>
          <w:sz w:val="22"/>
          <w:szCs w:val="22"/>
        </w:rPr>
        <w:lastRenderedPageBreak/>
        <w:t>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470B3655"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w:t>
      </w:r>
      <w:r w:rsidRPr="00242748">
        <w:rPr>
          <w:sz w:val="22"/>
          <w:szCs w:val="22"/>
        </w:rPr>
        <w:lastRenderedPageBreak/>
        <w:t>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lastRenderedPageBreak/>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lastRenderedPageBreak/>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r w:rsidRPr="00D75A39">
        <w:rPr>
          <w:rFonts w:eastAsiaTheme="minorHAnsi"/>
          <w:bCs/>
        </w:rPr>
        <w:lastRenderedPageBreak/>
        <w:t>MultiDiffusion</w:t>
      </w:r>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component-dependent diffusion. The user needs to specify one 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r>
        <w:t>HSS Package</w:t>
      </w:r>
      <w:bookmarkEnd w:id="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r w:rsidRPr="00301726">
        <w:rPr>
          <w:rFonts w:eastAsiaTheme="minorHAnsi"/>
          <w:sz w:val="22"/>
          <w:szCs w:val="22"/>
        </w:rPr>
        <w:t>ShapeOption</w:t>
      </w:r>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r w:rsidRPr="00301726">
        <w:rPr>
          <w:sz w:val="22"/>
          <w:szCs w:val="22"/>
        </w:rPr>
        <w:t xml:space="preserve">ShapeOption]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ShapeOption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If ShapeOption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w:t>
      </w:r>
      <w:r>
        <w:lastRenderedPageBreak/>
        <w:t xml:space="preserve">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 xml:space="preserve">is the conversion factor for converting the unit of time used in HSSM to that used in MT3D-USGS. For example, if the 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r>
        <w:t xml:space="preserve">SourceName is a string of 1 to 12 nonblank characters used to identify the HSSM-LNAPL source specified at location ‘kSource,’ </w:t>
      </w:r>
      <w:r>
        <w:lastRenderedPageBreak/>
        <w:t>‘iSource,’ ‘jSource.’ The identifier need not be unique; however, 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t xml:space="preserve">This input is backward compatible with MT3DMS. Note that the input instructions provided with MT3DMS have the two variables – SourceName and iHSSComp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r>
        <w:rPr>
          <w:sz w:val="22"/>
          <w:szCs w:val="22"/>
        </w:rPr>
        <w:t>S</w:t>
      </w:r>
      <w:r w:rsidRPr="00E86913">
        <w:rPr>
          <w:sz w:val="22"/>
          <w:szCs w:val="22"/>
        </w:rPr>
        <w:t>ourcemassflux</w:t>
      </w:r>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lastRenderedPageBreak/>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If zero or a negative value is assigned to radius_lnapl</w:t>
      </w:r>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(kSource, jSource,</w:t>
      </w:r>
      <w:r w:rsidR="00BF20E1">
        <w:rPr>
          <w:rFonts w:eastAsiaTheme="minorHAnsi"/>
          <w:sz w:val="22"/>
          <w:szCs w:val="22"/>
        </w:rPr>
        <w:t xml:space="preserve"> </w:t>
      </w:r>
      <w:r w:rsidR="00BF20E1" w:rsidRPr="00BF20E1">
        <w:rPr>
          <w:rFonts w:eastAsiaTheme="minorHAnsi"/>
          <w:sz w:val="22"/>
          <w:szCs w:val="22"/>
        </w:rPr>
        <w:t>iSource) defined in the HSS input file.</w:t>
      </w:r>
      <w:r w:rsidR="00715481">
        <w:rPr>
          <w:rFonts w:eastAsiaTheme="minorHAnsi"/>
          <w:sz w:val="22"/>
          <w:szCs w:val="22"/>
        </w:rPr>
        <w:t xml:space="preserve"> This input is required but ignored when</w:t>
      </w:r>
      <w:r w:rsidR="00715481">
        <w:t xml:space="preserve"> ShapeOption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S</w:t>
      </w:r>
      <w:r w:rsidRPr="00E86913">
        <w:rPr>
          <w:sz w:val="22"/>
          <w:szCs w:val="22"/>
        </w:rPr>
        <w:t>ourcemassflux</w:t>
      </w:r>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 and a solution to the transport problem </w:t>
      </w:r>
      <w:r w:rsidR="00D734C0">
        <w:t xml:space="preserve">via and within the lake </w:t>
      </w:r>
      <w:r w:rsidR="0058276F">
        <w:t xml:space="preserve">is desired. If </w:t>
      </w:r>
      <w:r w:rsidR="00D734C0">
        <w:t xml:space="preserve">lakes </w:t>
      </w:r>
      <w:r w:rsidR="0058276F">
        <w:t xml:space="preserve">simulated using the </w:t>
      </w:r>
      <w:r w:rsidR="00D734C0">
        <w:t xml:space="preserve">LAK </w:t>
      </w:r>
      <w:r w:rsidR="0058276F">
        <w:t>package of MODFLOW are only used 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5653005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lastRenderedPageBreak/>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sorbed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lastRenderedPageBreak/>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If IREACTION=2, kinetic reaction is simulated between multiple EAs and EDs.</w:t>
      </w:r>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8" o:title=""/>
          </v:shape>
          <o:OLEObject Type="Embed" ProgID="Equation.3" ShapeID="_x0000_i1025" DrawAspect="Content" ObjectID="_1551504108"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77777777" w:rsidR="001D37D3" w:rsidRPr="00BE212F" w:rsidRDefault="001D37D3" w:rsidP="001D37D3">
      <w:pPr>
        <w:spacing w:after="0" w:line="240" w:lineRule="auto"/>
      </w:pPr>
      <w:r w:rsidRPr="00BE212F">
        <w:rPr>
          <w:rFonts w:eastAsiaTheme="minorHAnsi"/>
          <w:sz w:val="22"/>
          <w:szCs w:val="22"/>
        </w:rPr>
        <w:t>(Enter 3b for each 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75pt;height:18.75pt" o:ole="">
            <v:imagedata r:id="rId10" o:title=""/>
          </v:shape>
          <o:OLEObject Type="Embed" ProgID="Equation.3" ShapeID="_x0000_i1026" DrawAspect="Content" ObjectID="_1551504109"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77777777" w:rsidR="001D37D3" w:rsidRPr="0024105D" w:rsidRDefault="001D37D3" w:rsidP="001D37D3">
      <w:pPr>
        <w:spacing w:after="0" w:line="240" w:lineRule="auto"/>
      </w:pPr>
      <w:r w:rsidRPr="0024105D">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r w:rsidRPr="00BE212F">
        <w:rPr>
          <w:i/>
          <w:sz w:val="22"/>
          <w:szCs w:val="22"/>
        </w:rPr>
        <w:t>u</w:t>
      </w:r>
      <w:r w:rsidRPr="00BE212F">
        <w:rPr>
          <w:i/>
          <w:sz w:val="22"/>
          <w:szCs w:val="22"/>
          <w:vertAlign w:val="subscript"/>
        </w:rPr>
        <w:t>max</w:t>
      </w:r>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w:t>
      </w:r>
      <w:r w:rsidRPr="00F32D2E">
        <w:rPr>
          <w:rFonts w:ascii="TimesNewRomanPSMT" w:eastAsiaTheme="minorHAnsi" w:hAnsi="TimesNewRomanPSMT" w:cs="TimesNewRomanPSMT"/>
        </w:rPr>
        <w:lastRenderedPageBreak/>
        <w:t>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6.5pt;height:18.75pt" o:ole="">
            <v:imagedata r:id="rId12" o:title=""/>
          </v:shape>
          <o:OLEObject Type="Embed" ProgID="Equation.3" ShapeID="_x0000_i1027" DrawAspect="Content" ObjectID="_1551504110"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7777777" w:rsidR="001D37D3" w:rsidRPr="00BE212F" w:rsidRDefault="001D37D3" w:rsidP="001D37D3">
      <w:pPr>
        <w:spacing w:after="0" w:line="240" w:lineRule="auto"/>
      </w:pPr>
      <w:r w:rsidRPr="00BE212F">
        <w:rPr>
          <w:rFonts w:eastAsiaTheme="minorHAnsi"/>
          <w:sz w:val="22"/>
          <w:szCs w:val="22"/>
        </w:rPr>
        <w:t>(Enter 8 if IREACT = 3, one line for each species)</w:t>
      </w:r>
    </w:p>
    <w:p w14:paraId="20F8A3B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 xml:space="preserve">YLD(NSPEC-1)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are simulated. </w:t>
      </w:r>
    </w:p>
    <w:p w14:paraId="539115EB" w14:textId="77777777" w:rsidR="001D37D3" w:rsidRPr="0024105D" w:rsidRDefault="001D37D3" w:rsidP="001D37D3">
      <w:pPr>
        <w:spacing w:after="0" w:line="240" w:lineRule="auto"/>
      </w:pPr>
    </w:p>
    <w:p w14:paraId="0002C552" w14:textId="77777777" w:rsidR="001D37D3" w:rsidRPr="00BE212F" w:rsidRDefault="001D37D3" w:rsidP="001D37D3">
      <w:pPr>
        <w:spacing w:after="0" w:line="240" w:lineRule="auto"/>
      </w:pPr>
      <w:r w:rsidRPr="00BE212F">
        <w:rPr>
          <w:rFonts w:eastAsiaTheme="minorHAnsi"/>
          <w:sz w:val="22"/>
          <w:szCs w:val="22"/>
        </w:rPr>
        <w:t>(Enter 9a if IREACTION=1; or if IREACT=90 or 91)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stoiciometric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t>rec_FileName</w:t>
      </w:r>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r w:rsidRPr="00BE212F">
        <w:rPr>
          <w:sz w:val="22"/>
          <w:szCs w:val="22"/>
        </w:rPr>
        <w:lastRenderedPageBreak/>
        <w:t>rec_FileName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r w:rsidRPr="00BE212F">
        <w:rPr>
          <w:sz w:val="22"/>
          <w:szCs w:val="22"/>
          <w:u w:val="single"/>
        </w:rPr>
        <w:t>rec_FileName</w:t>
      </w:r>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lastRenderedPageBreak/>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8" w:name="_Toc384370850"/>
      <w:bookmarkStart w:id="9" w:name="_Toc395246446"/>
      <w:r>
        <w:t>New input requirements</w:t>
      </w:r>
      <w:bookmarkStart w:id="10" w:name="_GoBack"/>
      <w:bookmarkEnd w:id="8"/>
      <w:bookmarkEnd w:id="9"/>
      <w:bookmarkEnd w:id="10"/>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t>Half-saturation constants</w:t>
      </w:r>
    </w:p>
    <w:p w14:paraId="73B63A39" w14:textId="77777777" w:rsidR="00724635" w:rsidRDefault="00724635" w:rsidP="00BE212F">
      <w:pPr>
        <w:pStyle w:val="BodyText"/>
        <w:spacing w:line="240" w:lineRule="auto"/>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w:t>
      </w:r>
      <w:r w:rsidRPr="00724635">
        <w:lastRenderedPageBreak/>
        <w:t>columns that the user must fill in when simulating multiple EA and ED reactions.  Finally, Figure 10 shows a non-square, non-symetric matrix with nED rows and nED + nEA colums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1" w:name="_Toc384370916"/>
      <w:bookmarkStart w:id="12" w:name="_Toc395246495"/>
      <w:r w:rsidRPr="001F10CC">
        <w:t xml:space="preserve">Table </w:t>
      </w:r>
      <w:r>
        <w:t>4</w:t>
      </w:r>
      <w:r w:rsidRPr="001F10CC">
        <w:t xml:space="preserve"> –</w:t>
      </w:r>
      <w:r>
        <w:t xml:space="preserve"> </w:t>
      </w:r>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p>
    <w:bookmarkEnd w:id="11"/>
    <w:bookmarkEnd w:id="12"/>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3" w:name="_Toc384370917"/>
      <w:bookmarkStart w:id="14" w:name="_Toc395246496"/>
    </w:p>
    <w:bookmarkEnd w:id="13"/>
    <w:bookmarkEnd w:id="14"/>
    <w:p w14:paraId="28A61C59" w14:textId="77777777" w:rsidR="00724635" w:rsidRDefault="00724635" w:rsidP="00BE212F">
      <w:pPr>
        <w:pStyle w:val="BodyText"/>
        <w:spacing w:line="240" w:lineRule="auto"/>
      </w:pPr>
      <w:r w:rsidRPr="00724635">
        <w:lastRenderedPageBreak/>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6B7AD294"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package in MODFLOW are activated and a solution to the surface water network transport problem is desired.</w:t>
      </w:r>
      <w:r w:rsidR="003C0A50">
        <w:t xml:space="preserve"> </w:t>
      </w:r>
      <w:r w:rsidR="00080DCC">
        <w:t>If stream</w:t>
      </w:r>
      <w:r w:rsidR="0058276F">
        <w:t xml:space="preserve">s </w:t>
      </w:r>
      <w:r w:rsidR="00080DCC">
        <w:t>simulated using the SFR2 package</w:t>
      </w:r>
      <w:r w:rsidR="0058276F">
        <w:t xml:space="preserve"> of</w:t>
      </w:r>
      <w:r w:rsidR="00080DCC">
        <w:t xml:space="preserve"> MODFLOW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xMD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lastRenderedPageBreak/>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5329FA90" w:rsidR="006D2BC1" w:rsidRDefault="006D2BC1" w:rsidP="006D2BC1">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16880AF" w14:textId="3D2470E7" w:rsidR="006D2BC1" w:rsidRPr="001D37D3" w:rsidRDefault="006D2BC1" w:rsidP="006670B4">
      <w:pPr>
        <w:autoSpaceDE w:val="0"/>
        <w:autoSpaceDN w:val="0"/>
        <w:adjustRightInd w:val="0"/>
        <w:spacing w:after="0" w:line="240" w:lineRule="auto"/>
        <w:ind w:left="2610" w:hanging="450"/>
      </w:pPr>
      <w:r>
        <w:t xml:space="preserve">= 4,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t>
      </w:r>
      <w:r w:rsidRPr="00EB5C18">
        <w:rPr>
          <w:rFonts w:ascii="TimesNewRomanPSMT" w:eastAsiaTheme="minorHAnsi" w:hAnsi="TimesNewRomanPSMT" w:cs="TimesNewRomanPSMT"/>
        </w:rPr>
        <w:lastRenderedPageBreak/>
        <w:t xml:space="preserve">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410FBD10"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if </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is used in the flow simulation</w:t>
      </w:r>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6C1047C4" w:rsidR="0025259E" w:rsidRDefault="00425483" w:rsidP="0025259E">
      <w:pPr>
        <w:spacing w:after="0" w:line="240" w:lineRule="auto"/>
      </w:pPr>
      <w:r>
        <w:t xml:space="preserve">(Enter </w:t>
      </w:r>
      <w:r w:rsidR="008842F8">
        <w:t xml:space="preserve">item </w:t>
      </w:r>
      <w:r>
        <w:t xml:space="preserve">5 if </w:t>
      </w:r>
      <w:r w:rsidR="009203A7">
        <w:rPr>
          <w:rFonts w:eastAsiaTheme="minorHAnsi"/>
          <w:sz w:val="22"/>
          <w:szCs w:val="22"/>
        </w:rPr>
        <w:t>evapotranspiration (EVT) package is used in the flow simulation</w:t>
      </w:r>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lastRenderedPageBreak/>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–applied directly as recharge by virtue of 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6E371F09" w:rsidR="009203A7" w:rsidRDefault="009203A7" w:rsidP="009203A7">
      <w:pPr>
        <w:spacing w:after="0" w:line="240" w:lineRule="auto"/>
      </w:pPr>
      <w:r>
        <w:t xml:space="preserve">(Enter item </w:t>
      </w:r>
      <w:r w:rsidR="003B6651">
        <w:t>10</w:t>
      </w:r>
      <w:r>
        <w:t xml:space="preserve"> for each species if INCEVT ≥ 0)</w:t>
      </w:r>
    </w:p>
    <w:p w14:paraId="1C16EA20" w14:textId="1A2422C3"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lastRenderedPageBreak/>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4" o:title=""/>
          </v:shape>
          <o:OLEObject Type="Embed" ProgID="Equation.3" ShapeID="_x0000_i1028" DrawAspect="Content" ObjectID="_1551504111"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sidRPr="00F84680">
        <w:rPr>
          <w:rFonts w:eastAsiaTheme="minorHAnsi"/>
          <w:sz w:val="22"/>
          <w:szCs w:val="22"/>
        </w:rPr>
        <w:t>MaxConcObs, MaxFluxObs, MaxFluxCells</w:t>
      </w:r>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MaxConcObs</w:t>
      </w:r>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MaxFluxObs</w:t>
      </w:r>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r w:rsidRPr="00F84680">
        <w:rPr>
          <w:rFonts w:eastAsiaTheme="minorHAnsi"/>
          <w:sz w:val="22"/>
          <w:szCs w:val="22"/>
        </w:rPr>
        <w:t>MaxFluxCells</w:t>
      </w:r>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inConcObs</w:t>
      </w:r>
      <w:r w:rsidRPr="008D4712">
        <w:rPr>
          <w:rFonts w:eastAsiaTheme="minorHAnsi"/>
          <w:sz w:val="22"/>
          <w:szCs w:val="22"/>
        </w:rPr>
        <w:t>,</w:t>
      </w:r>
      <w:r>
        <w:rPr>
          <w:rFonts w:eastAsiaTheme="minorHAnsi"/>
          <w:sz w:val="22"/>
          <w:szCs w:val="22"/>
        </w:rPr>
        <w:t xml:space="preserve"> inFluxObs, inSaveObs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 xml:space="preserve">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w:t>
      </w:r>
      <w:r w:rsidRPr="00374A9F">
        <w:rPr>
          <w:rFonts w:eastAsiaTheme="minorHAnsi"/>
          <w:sz w:val="22"/>
          <w:szCs w:val="22"/>
        </w:rPr>
        <w:lastRenderedPageBreak/>
        <w:t>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inConcObs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inFluxObs </w:t>
      </w:r>
      <w:r w:rsidRPr="00374A9F">
        <w:rPr>
          <w:rFonts w:eastAsiaTheme="minorHAnsi"/>
          <w:sz w:val="22"/>
          <w:szCs w:val="22"/>
        </w:rPr>
        <w:t>is an integer flag indicating whether the calculated mass fluxes at the massflux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inSaveObs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[inConcObs]</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 xml:space="preserve">[inFluxObs]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mass fluxes at userdefined</w:t>
            </w:r>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 xml:space="preserve">[inSaveObs]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r w:rsidR="00123E29">
        <w:rPr>
          <w:rFonts w:eastAsiaTheme="minorHAnsi"/>
          <w:sz w:val="22"/>
          <w:szCs w:val="22"/>
        </w:rPr>
        <w:t>inConcObs</w:t>
      </w:r>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Pr="00123E29">
        <w:rPr>
          <w:rFonts w:eastAsiaTheme="minorHAnsi"/>
          <w:sz w:val="22"/>
          <w:szCs w:val="22"/>
        </w:rPr>
        <w:t>nConcObs, CScale, iOutCobs, iConcLOG, iConcINTP</w:t>
      </w:r>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nConcObs</w:t>
      </w:r>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CScale</w:t>
      </w:r>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iOutCobs</w:t>
      </w:r>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r>
        <w:rPr>
          <w:rFonts w:eastAsiaTheme="minorHAnsi"/>
          <w:sz w:val="22"/>
          <w:szCs w:val="22"/>
        </w:rPr>
        <w:t xml:space="preserve">iOutCobs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iOutCobs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w:t>
      </w:r>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w:t>
      </w:r>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4-5 inConcObs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iComp, TimeObs, Roff, Coff,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w:t>
      </w:r>
      <w:r>
        <w:rPr>
          <w:rFonts w:eastAsiaTheme="minorHAnsi"/>
          <w:sz w:val="22"/>
          <w:szCs w:val="22"/>
        </w:rPr>
        <w:t xml:space="preserve">mp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TimeObs </w:t>
      </w:r>
      <w:r w:rsidRPr="003B3B7D">
        <w:rPr>
          <w:rFonts w:eastAsiaTheme="minorHAnsi"/>
          <w:sz w:val="22"/>
          <w:szCs w:val="22"/>
        </w:rPr>
        <w:t>is the time since the beginning of simulation to the time of the current observation. [TimeObs] should be included in the BTN input file as part of the input array [TIMPRS], i.e., the time to save simulation results. Otherwise, the calculated concentration is obtained from a time specified in [TIMPRS] or the end of a stress period that is closest to [TimeObs]. Note that if [TimeObs] is specified as a negative integer, the calculated concentration is saved whenever the number of transport steps is an even multiple of |TimeObs|.</w:t>
      </w:r>
    </w:p>
    <w:p w14:paraId="71AB2B57" w14:textId="63F5A5C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Roff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505C55">
        <w:t xml:space="preserve">Figure </w:t>
      </w:r>
      <w:r w:rsidR="00505C55">
        <w:rPr>
          <w:noProof/>
        </w:rPr>
        <w:t>1</w:t>
      </w:r>
      <w:r w:rsidR="00505C55">
        <w:rPr>
          <w:rFonts w:eastAsiaTheme="minorHAnsi"/>
          <w:sz w:val="22"/>
          <w:szCs w:val="22"/>
        </w:rPr>
        <w:fldChar w:fldCharType="end"/>
      </w:r>
      <w:r w:rsidRPr="003B3B7D">
        <w:rPr>
          <w:rFonts w:eastAsiaTheme="minorHAnsi"/>
          <w:sz w:val="22"/>
          <w:szCs w:val="22"/>
        </w:rPr>
        <w:t>)</w:t>
      </w:r>
    </w:p>
    <w:p w14:paraId="1E22E5CD" w14:textId="569BF5CD"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Coff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505C55">
        <w:t xml:space="preserve">Figure </w:t>
      </w:r>
      <w:r w:rsidR="00505C55">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[iComp].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30797A7B" w:rsidR="002777E1" w:rsidRPr="002C725D" w:rsidRDefault="002777E1" w:rsidP="00CF4CF7">
                            <w:pPr>
                              <w:pStyle w:val="Caption"/>
                              <w:rPr>
                                <w:rFonts w:eastAsiaTheme="minorHAnsi"/>
                                <w:noProof/>
                              </w:rPr>
                            </w:pPr>
                            <w:bookmarkStart w:id="15" w:name="_Ref476317952"/>
                            <w:r>
                              <w:t xml:space="preserve">Figure </w:t>
                            </w:r>
                            <w:fldSimple w:instr=" SEQ Figure \* ARABIC ">
                              <w:r>
                                <w:rPr>
                                  <w:noProof/>
                                </w:rPr>
                                <w:t>1</w:t>
                              </w:r>
                            </w:fldSimple>
                            <w:bookmarkEnd w:id="15"/>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30797A7B" w:rsidR="002777E1" w:rsidRPr="002C725D" w:rsidRDefault="002777E1" w:rsidP="00CF4CF7">
                      <w:pPr>
                        <w:pStyle w:val="Caption"/>
                        <w:rPr>
                          <w:rFonts w:eastAsiaTheme="minorHAnsi"/>
                          <w:noProof/>
                        </w:rPr>
                      </w:pPr>
                      <w:bookmarkStart w:id="16" w:name="_Ref476317952"/>
                      <w:r>
                        <w:t xml:space="preserve">Figure </w:t>
                      </w:r>
                      <w:fldSimple w:instr=" SEQ Figure \* ARABIC ">
                        <w:r>
                          <w:rPr>
                            <w:noProof/>
                          </w:rPr>
                          <w:t>1</w:t>
                        </w:r>
                      </w:fldSimple>
                      <w:bookmarkEnd w:id="16"/>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Pr="00CF4CF7">
        <w:rPr>
          <w:rFonts w:eastAsiaTheme="minorHAnsi"/>
          <w:sz w:val="22"/>
          <w:szCs w:val="22"/>
        </w:rPr>
        <w:t xml:space="preserve">mLayer(1), prLayer(1), mLayer(2), prLayer(2), …, mLayer(|Layer|),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CF4CF7">
        <w:rPr>
          <w:rFonts w:eastAsiaTheme="minorHAnsi"/>
          <w:sz w:val="22"/>
          <w:szCs w:val="22"/>
        </w:rPr>
        <w:t>prLayer(|Layer|)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mLayer(i)</w:t>
      </w:r>
      <w:r w:rsidRPr="00CF4CF7">
        <w:t xml:space="preserve"> </w:t>
      </w:r>
      <w:r w:rsidRPr="00CF4CF7">
        <w:rPr>
          <w:rFonts w:eastAsiaTheme="minorHAnsi"/>
          <w:sz w:val="22"/>
          <w:szCs w:val="22"/>
        </w:rPr>
        <w:t>is the ith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pr</w:t>
      </w:r>
      <w:r w:rsidRPr="003B3B7D">
        <w:rPr>
          <w:rFonts w:eastAsiaTheme="minorHAnsi"/>
          <w:sz w:val="22"/>
          <w:szCs w:val="22"/>
        </w:rPr>
        <w:t>Layer</w:t>
      </w:r>
      <w:r>
        <w:rPr>
          <w:rFonts w:eastAsiaTheme="minorHAnsi"/>
          <w:sz w:val="22"/>
          <w:szCs w:val="22"/>
        </w:rPr>
        <w:t>(i)</w:t>
      </w:r>
      <w:r w:rsidRPr="00CF4CF7">
        <w:t xml:space="preserve"> </w:t>
      </w:r>
      <w:r w:rsidRPr="00CF4CF7">
        <w:rPr>
          <w:rFonts w:eastAsiaTheme="minorHAnsi"/>
          <w:sz w:val="22"/>
          <w:szCs w:val="22"/>
        </w:rPr>
        <w:t xml:space="preserve">is the proportion of the simulated solute concentration in layer mLayer(i) that is used to calculate a simulated multilayer concentration. The sum of all prLayer(i)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6-9 if inFluxObs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CF4CF7">
        <w:rPr>
          <w:rFonts w:eastAsiaTheme="minorHAnsi"/>
          <w:sz w:val="22"/>
          <w:szCs w:val="22"/>
        </w:rPr>
        <w:t>nFluxGroup, FScale, iOutFlux</w:t>
      </w:r>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nFluxGroup</w:t>
      </w:r>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FScale</w:t>
      </w:r>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iOutFlux</w:t>
      </w:r>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(Enter item 7-9 nFluxGroup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482CDF">
        <w:rPr>
          <w:rFonts w:eastAsiaTheme="minorHAnsi"/>
          <w:sz w:val="22"/>
          <w:szCs w:val="22"/>
        </w:rPr>
        <w:t>nFluxTimeObs, nCells, iSSType</w:t>
      </w:r>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nFluxTimeObs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nCells</w:t>
      </w:r>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iSSType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[iSSType]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issType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(Enter item 8 nFluxTimeObs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FOBSNAM, iComp, FluxTimeObs, weight_fobs, FluxObs</w:t>
      </w:r>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r w:rsidRPr="00AA00A6">
        <w:rPr>
          <w:rFonts w:eastAsiaTheme="minorHAnsi"/>
          <w:sz w:val="22"/>
          <w:szCs w:val="22"/>
        </w:rPr>
        <w:t>FluxTimeObs</w:t>
      </w:r>
      <w:r w:rsidRPr="00482CDF">
        <w:t xml:space="preserve"> </w:t>
      </w:r>
      <w:r w:rsidRPr="00AA00A6">
        <w:t xml:space="preserve">is the time since the beginning of simulation to the time of the current mass flux observation. [FluxTimeObs]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[FluxTimeObs]. Note that if [FluxTimeObs] is specified as a negative integer, the calculated mass flux is saved whenever the number of transport steps is an even multiple of |FluxTimeObs|</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w:t>
      </w:r>
      <w:r w:rsidR="00AA00A6">
        <w:rPr>
          <w:rFonts w:eastAsiaTheme="minorHAnsi"/>
          <w:sz w:val="22"/>
          <w:szCs w:val="22"/>
        </w:rPr>
        <w:t>eight</w:t>
      </w:r>
      <w:r>
        <w:rPr>
          <w:rFonts w:eastAsiaTheme="minorHAnsi"/>
          <w:sz w:val="22"/>
          <w:szCs w:val="22"/>
        </w:rPr>
        <w:t xml:space="preserve">_fobs </w:t>
      </w:r>
      <w:r w:rsidRPr="0005266D">
        <w:rPr>
          <w:rFonts w:eastAsiaTheme="minorHAnsi"/>
          <w:sz w:val="22"/>
          <w:szCs w:val="22"/>
        </w:rPr>
        <w:t>is the user-specified weighting factor for computing the residual error at the current mass-flux object, i.e., residual error = (calculated-observed)*weight. If [weight_fobs] is assigned a negative value, the observed mass flux at the target massflux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FluxObs</w:t>
      </w:r>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[iComp]. The mass flux observation is negative when the mass is leaving the groundwater system, and positive when the mass is entering the groundwater system. This input item is required regardless of whether the preceding input item [weight_fobs]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(Enter item 9 nCells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r w:rsidRPr="00AA00A6">
        <w:rPr>
          <w:rFonts w:eastAsiaTheme="minorHAnsi"/>
          <w:sz w:val="22"/>
          <w:szCs w:val="22"/>
        </w:rPr>
        <w:t>kcell, icell, jcell,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kcell</w:t>
      </w:r>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icell</w:t>
      </w:r>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 xml:space="preserve">jcell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(jcell, icell, kcell).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[inConcObs]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 xml:space="preserve">group of model cells containing external sinks/sources such as wells, rivers, drains, recharge, and general-head boundaries. This text file is generated only if the mass flux observation flag [inFluxObs]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[cobsnam, TimeObs, CCal] for concentration observations where cobsnam is the name of the concentration observation as a string of 12 characters , and TimeObs and CCal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[fobsnam, TimeFluxObs, FluxCal] for mass-flux observations where fobsnam is the name of the mass-flux observation as a string of 12 characters , and TimeFluxObs and FluxCal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[inSaveObs]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1EC37D5"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t xml:space="preserve">(Enter item 7 for each species if </w:t>
      </w:r>
      <w:r w:rsidR="003D64DE">
        <w:t>IN</w:t>
      </w:r>
      <w:r w:rsidR="003D64DE" w:rsidRPr="00D43F16">
        <w:rPr>
          <w:rFonts w:eastAsiaTheme="minorHAnsi"/>
          <w:sz w:val="22"/>
          <w:szCs w:val="22"/>
        </w:rPr>
        <w:t>CUZINF</w:t>
      </w:r>
      <w:r w:rsidR="003D64DE">
        <w:t xml:space="preserve"> </w:t>
      </w:r>
      <w:r>
        <w:t>≥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lastRenderedPageBreak/>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BE212F">
      <w:pPr>
        <w:pStyle w:val="Heading1"/>
        <w:rPr>
          <w:rFonts w:cs="Times New Roman"/>
        </w:rPr>
      </w:pPr>
      <w:bookmarkStart w:id="17" w:name="_Toc321942239"/>
      <w:r>
        <w:rPr>
          <w:rFonts w:cs="Times New Roman"/>
        </w:rPr>
        <w:lastRenderedPageBreak/>
        <w:t>Output</w:t>
      </w:r>
      <w:bookmarkEnd w:id="17"/>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18" w:name="_Toc321942240"/>
      <w:r>
        <w:t>Output Files</w:t>
      </w:r>
      <w:bookmarkEnd w:id="18"/>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19" w:name="_Toc321942241"/>
      <w:r>
        <w:t>Budget Terms</w:t>
      </w:r>
      <w:bookmarkEnd w:id="19"/>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157FCD7A" w14:textId="77777777" w:rsidR="00724635" w:rsidRDefault="00724635" w:rsidP="00BE212F">
      <w:pPr>
        <w:spacing w:after="0" w:line="240" w:lineRule="auto"/>
      </w:pPr>
    </w:p>
    <w:sectPr w:rsidR="00724635" w:rsidSect="00CE5E60">
      <w:footerReference w:type="firs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FA145" w14:textId="77777777" w:rsidR="00942C6D" w:rsidRDefault="00942C6D" w:rsidP="00BA48E4">
      <w:pPr>
        <w:spacing w:after="0" w:line="240" w:lineRule="auto"/>
      </w:pPr>
      <w:r>
        <w:separator/>
      </w:r>
    </w:p>
  </w:endnote>
  <w:endnote w:type="continuationSeparator" w:id="0">
    <w:p w14:paraId="48CA34E7" w14:textId="77777777" w:rsidR="00942C6D" w:rsidRDefault="00942C6D"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FBF27F5" w:rsidR="002777E1" w:rsidRDefault="002777E1">
        <w:pPr>
          <w:pStyle w:val="Footer"/>
          <w:jc w:val="center"/>
        </w:pPr>
        <w:r>
          <w:fldChar w:fldCharType="begin"/>
        </w:r>
        <w:r>
          <w:instrText xml:space="preserve"> PAGE   \* MERGEFORMAT </w:instrText>
        </w:r>
        <w:r>
          <w:fldChar w:fldCharType="separate"/>
        </w:r>
        <w:r w:rsidR="006C6959">
          <w:rPr>
            <w:noProof/>
          </w:rPr>
          <w:t>1</w:t>
        </w:r>
        <w:r>
          <w:rPr>
            <w:noProof/>
          </w:rPr>
          <w:fldChar w:fldCharType="end"/>
        </w:r>
      </w:p>
    </w:sdtContent>
  </w:sdt>
  <w:p w14:paraId="7316B116" w14:textId="77777777" w:rsidR="002777E1" w:rsidRDefault="00277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7667D" w14:textId="77777777" w:rsidR="00942C6D" w:rsidRDefault="00942C6D" w:rsidP="00BA48E4">
      <w:pPr>
        <w:spacing w:after="0" w:line="240" w:lineRule="auto"/>
      </w:pPr>
      <w:r>
        <w:separator/>
      </w:r>
    </w:p>
  </w:footnote>
  <w:footnote w:type="continuationSeparator" w:id="0">
    <w:p w14:paraId="19CEFB15" w14:textId="77777777" w:rsidR="00942C6D" w:rsidRDefault="00942C6D"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197"/>
    <w:rsid w:val="000872DB"/>
    <w:rsid w:val="00087C94"/>
    <w:rsid w:val="00087FCA"/>
    <w:rsid w:val="00091CBA"/>
    <w:rsid w:val="0009209A"/>
    <w:rsid w:val="000940E3"/>
    <w:rsid w:val="00095807"/>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3351"/>
    <w:rsid w:val="00203739"/>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19AC"/>
    <w:rsid w:val="003F53F1"/>
    <w:rsid w:val="003F66EA"/>
    <w:rsid w:val="00401338"/>
    <w:rsid w:val="0040506F"/>
    <w:rsid w:val="0040777B"/>
    <w:rsid w:val="0041308C"/>
    <w:rsid w:val="00413203"/>
    <w:rsid w:val="00417B9E"/>
    <w:rsid w:val="0042081D"/>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0B4"/>
    <w:rsid w:val="00667B41"/>
    <w:rsid w:val="00670DAD"/>
    <w:rsid w:val="00671A48"/>
    <w:rsid w:val="00673616"/>
    <w:rsid w:val="0067534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59"/>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91F"/>
    <w:rsid w:val="00CE20AD"/>
    <w:rsid w:val="00CE5E60"/>
    <w:rsid w:val="00CE71BB"/>
    <w:rsid w:val="00CF12AC"/>
    <w:rsid w:val="00CF21B8"/>
    <w:rsid w:val="00CF38F9"/>
    <w:rsid w:val="00CF4CF7"/>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5EC8"/>
    <w:rsid w:val="00E266CE"/>
    <w:rsid w:val="00E26AE2"/>
    <w:rsid w:val="00E3201E"/>
    <w:rsid w:val="00E35F0B"/>
    <w:rsid w:val="00E36452"/>
    <w:rsid w:val="00E36E03"/>
    <w:rsid w:val="00E4580B"/>
    <w:rsid w:val="00E47A98"/>
    <w:rsid w:val="00E5384F"/>
    <w:rsid w:val="00E54E83"/>
    <w:rsid w:val="00E56B4A"/>
    <w:rsid w:val="00E63211"/>
    <w:rsid w:val="00E63215"/>
    <w:rsid w:val="00E6461E"/>
    <w:rsid w:val="00E6582E"/>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A0291-84E6-45DB-921B-CC95DE2F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24893</TotalTime>
  <Pages>55</Pages>
  <Words>16894</Words>
  <Characters>96297</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160</cp:revision>
  <cp:lastPrinted>2016-09-13T22:13:00Z</cp:lastPrinted>
  <dcterms:created xsi:type="dcterms:W3CDTF">2014-05-27T19:04:00Z</dcterms:created>
  <dcterms:modified xsi:type="dcterms:W3CDTF">2017-03-20T15:35:00Z</dcterms:modified>
</cp:coreProperties>
</file>