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3E670" w14:textId="34AD4C5C" w:rsidR="00EC26E9" w:rsidRDefault="006D45E7" w:rsidP="007F245D">
      <w:pPr>
        <w:pStyle w:val="Heading1"/>
        <w:jc w:val="both"/>
        <w:rPr>
          <w:lang w:val="en-US"/>
        </w:rPr>
      </w:pPr>
      <w:r>
        <w:rPr>
          <w:lang w:val="en-US"/>
        </w:rPr>
        <w:t>Predictors for OSA compliance</w:t>
      </w:r>
    </w:p>
    <w:p w14:paraId="77574600" w14:textId="2BF46016" w:rsidR="006D45E7" w:rsidRDefault="006D45E7" w:rsidP="007F245D">
      <w:pPr>
        <w:pStyle w:val="Heading2"/>
        <w:jc w:val="both"/>
        <w:rPr>
          <w:lang w:val="en-US"/>
        </w:rPr>
      </w:pPr>
      <w:r>
        <w:rPr>
          <w:lang w:val="en-US"/>
        </w:rPr>
        <w:t>Predictors that has a positive effect on the OSA compliance</w:t>
      </w:r>
    </w:p>
    <w:p w14:paraId="04A7715B" w14:textId="77777777" w:rsidR="00C6583C" w:rsidRDefault="00B33582" w:rsidP="00C6583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OSA severity (</w:t>
      </w:r>
      <w:r w:rsidR="006D45E7">
        <w:rPr>
          <w:lang w:val="en-US"/>
        </w:rPr>
        <w:t>AHI</w:t>
      </w:r>
      <w:r w:rsidR="009D2588">
        <w:rPr>
          <w:lang w:val="en-US"/>
        </w:rPr>
        <w:t xml:space="preserve"> before CPAP</w:t>
      </w:r>
      <w:r>
        <w:rPr>
          <w:lang w:val="en-US"/>
        </w:rPr>
        <w:t>, Epworth score, SEMSA…)</w:t>
      </w:r>
    </w:p>
    <w:p w14:paraId="766D1B55" w14:textId="46157B64" w:rsidR="00B33582" w:rsidRPr="00C6583C" w:rsidRDefault="009D2588" w:rsidP="00C6583C">
      <w:pPr>
        <w:pStyle w:val="ListParagraph"/>
        <w:jc w:val="both"/>
        <w:rPr>
          <w:rStyle w:val="Emphasis"/>
          <w:b w:val="0"/>
          <w:i w:val="0"/>
          <w:iCs w:val="0"/>
          <w:sz w:val="24"/>
          <w:lang w:val="en-US"/>
        </w:rPr>
      </w:pPr>
      <w:r w:rsidRPr="00C6583C">
        <w:rPr>
          <w:rStyle w:val="Emphasis"/>
        </w:rPr>
        <w:t xml:space="preserve">Higher the OSA severity </w:t>
      </w:r>
      <w:r w:rsidR="007F245D" w:rsidRPr="00C6583C">
        <w:rPr>
          <w:rStyle w:val="Emphasis"/>
        </w:rPr>
        <w:t xml:space="preserve">higher the compliance level since the patient experiences </w:t>
      </w:r>
      <w:r w:rsidR="005B2CC3">
        <w:rPr>
          <w:rStyle w:val="Emphasis"/>
        </w:rPr>
        <w:t xml:space="preserve">the </w:t>
      </w:r>
      <w:r w:rsidR="007F245D" w:rsidRPr="00C6583C">
        <w:rPr>
          <w:rStyle w:val="Emphasis"/>
        </w:rPr>
        <w:t>immediate positive effect of the therapy</w:t>
      </w:r>
    </w:p>
    <w:p w14:paraId="756A1166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W. K. Wohlgemuth, D. A. Chirinos, S. Domingo, and D. M. Wallace, “Attempters, adherers, and non-adherers: Latent profile analysis of CPAP use with correlates,” Sleep Med., vol. 16, no. 3, pp. 336–342, Mar. 2015.</w:t>
      </w:r>
    </w:p>
    <w:p w14:paraId="012A7B35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“Long-term adherence to continuous positive airway pressure therapy in non-sleepy sleep apnea patients,” Sleep Med., vol. 17, pp. 1–6, 2016.</w:t>
      </w:r>
    </w:p>
    <w:p w14:paraId="55C54B30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F. Baratta et al., “Long-term prediction of adherence to continuous positive air pressure therapy for the treatment of moderate/severe obstructive sleep apnea syndrome,” Sleep Med., vol. 43, pp. 66–70, 2018.</w:t>
      </w:r>
    </w:p>
    <w:p w14:paraId="0CE24D5A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M. Riachy, S. Najem, M. Iskandar, J. Choucair, I. Ibrahim, and G. Juvelikian, “Factors predicting CPAP adherence in obstructive sleep apnea syndrome,” Sleep Breath., vol. 21, no. 2, pp. 295–302, 2017.</w:t>
      </w:r>
    </w:p>
    <w:p w14:paraId="4F70B2C8" w14:textId="7DD5BE66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I. J. Meurling, A. Scott, M. O’Mahony, and J. J. Gilmartin, “CPAP Compliance in Obstructive Sleep Apnoea,” Ir. J. Med. Sci., vol. 184, no. 0123456789, pp. S504--S504, 2015.</w:t>
      </w:r>
    </w:p>
    <w:p w14:paraId="19DF053B" w14:textId="73F5F012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W. K. Wohlgemuth, D. A. Chirinos, S. Domingo, and D. M. Wallace, “Attempters, adherers, and non-adherers: Latent profile analysis of CPAP use with correlates,” Sleep Med., vol. 16, no. 3, pp. 336–342, Mar. 2015.</w:t>
      </w:r>
    </w:p>
    <w:p w14:paraId="24CE1A9E" w14:textId="3D07CBBD" w:rsidR="006D45E7" w:rsidRDefault="006D45E7" w:rsidP="007F245D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Insomnia severity /Nocturia</w:t>
      </w:r>
    </w:p>
    <w:p w14:paraId="068EEB37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W. K. Wohlgemuth, D. A. Chirinos, S. Domingo, and D. M. Wallace, “Attempters, adherers, and non-adherers: Latent profile analysis of CPAP use with correlates,” Sleep Med., vol. 16, no. 3, pp. 336–342, Mar. 2015.</w:t>
      </w:r>
    </w:p>
    <w:p w14:paraId="6F1FEC65" w14:textId="412B7595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 xml:space="preserve">[1] S. Bailly et al., “Obstructive sleep apnea: A cluster analysis at </w:t>
      </w:r>
      <w:r w:rsidR="005B2CC3">
        <w:rPr>
          <w:rFonts w:ascii="Segoe UI" w:hAnsi="Segoe UI" w:cs="Segoe UI"/>
          <w:color w:val="000000"/>
          <w:sz w:val="20"/>
          <w:szCs w:val="20"/>
        </w:rPr>
        <w:t xml:space="preserve">the </w:t>
      </w:r>
      <w:r w:rsidRPr="006D45E7">
        <w:rPr>
          <w:rFonts w:ascii="Segoe UI" w:hAnsi="Segoe UI" w:cs="Segoe UI"/>
          <w:color w:val="000000"/>
          <w:sz w:val="20"/>
          <w:szCs w:val="20"/>
        </w:rPr>
        <w:t>time of diagnosis,” PLoS One, vol. 11, no. 6, pp. 1–12, 2016.</w:t>
      </w:r>
    </w:p>
    <w:p w14:paraId="2A636556" w14:textId="4055533A" w:rsidR="006D45E7" w:rsidRDefault="006D45E7" w:rsidP="007F245D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Involvement of the patient’s partner</w:t>
      </w:r>
    </w:p>
    <w:p w14:paraId="2466A087" w14:textId="3B4AAF31" w:rsidR="007F245D" w:rsidRPr="00C6583C" w:rsidRDefault="007F245D" w:rsidP="007F245D">
      <w:pPr>
        <w:pStyle w:val="ListParagraph"/>
        <w:jc w:val="both"/>
        <w:rPr>
          <w:rStyle w:val="Emphasis"/>
        </w:rPr>
      </w:pPr>
      <w:r w:rsidRPr="00C6583C">
        <w:rPr>
          <w:rStyle w:val="Emphasis"/>
        </w:rPr>
        <w:t xml:space="preserve">If the patient’s partner is </w:t>
      </w:r>
      <w:r w:rsidR="006A7A2E" w:rsidRPr="00C6583C">
        <w:rPr>
          <w:rStyle w:val="Emphasis"/>
        </w:rPr>
        <w:t xml:space="preserve">involved in the therapy, the patient would have better compliance. Include the partner’s partner in the installation phase is also very </w:t>
      </w:r>
      <w:r w:rsidR="00C6583C" w:rsidRPr="00C6583C">
        <w:rPr>
          <w:rStyle w:val="Emphasis"/>
        </w:rPr>
        <w:t>positive</w:t>
      </w:r>
    </w:p>
    <w:p w14:paraId="4160E58E" w14:textId="3FD40ED1" w:rsid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L. Ye, M. T. Antonelli, D. G. Willis, K. Kayser, A. Malhotra, and S. R. Patel, “Couples’ experiences with continuous positive airway pressure treatment: a dyadic perspective,” Sleep Heal., vol. 3, no. 5, pp. 362–367, 2017.</w:t>
      </w:r>
    </w:p>
    <w:p w14:paraId="1942C18E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I. J. Meurling, A. Scott, M. O’Mahony, and J. J. Gilmartin, “CPAP Compliance in Obstructive Sleep Apnoea,” Ir. J. Med. Sci., vol. 184, no. 0123456789, pp. S504--S504, 2015.</w:t>
      </w:r>
    </w:p>
    <w:p w14:paraId="454934E1" w14:textId="3B2FD161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F. S. Luyster et al., “A Couples-Oriented Intervention for Positive Airway Pressure Therapy Adherence: A Pilot Study of Obstructive Sleep Apnea Patients and Their Partners,” Behav. Sleep</w:t>
      </w:r>
      <w:r w:rsidR="005B2CC3">
        <w:rPr>
          <w:rFonts w:ascii="Segoe UI" w:hAnsi="Segoe UI" w:cs="Segoe UI"/>
          <w:color w:val="000000"/>
          <w:sz w:val="20"/>
          <w:szCs w:val="20"/>
        </w:rPr>
        <w:t>,</w:t>
      </w:r>
      <w:r w:rsidRPr="006D45E7">
        <w:rPr>
          <w:rFonts w:ascii="Segoe UI" w:hAnsi="Segoe UI" w:cs="Segoe UI"/>
          <w:color w:val="000000"/>
          <w:sz w:val="20"/>
          <w:szCs w:val="20"/>
        </w:rPr>
        <w:t xml:space="preserve"> Med., vol. 17, no. 5, pp. 561–572, 2019.</w:t>
      </w:r>
    </w:p>
    <w:p w14:paraId="26835313" w14:textId="23F65048" w:rsidR="006D45E7" w:rsidRDefault="006D45E7" w:rsidP="007F245D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BMI</w:t>
      </w:r>
    </w:p>
    <w:p w14:paraId="2B9E1FCE" w14:textId="77777777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“Long-term adherence to continuous positive airway pressure therapy in non-sleepy sleep apnea patients,” Sleep Med., vol. 17, pp. 1–6, 2016.</w:t>
      </w:r>
    </w:p>
    <w:p w14:paraId="3B72AE30" w14:textId="5EED1774" w:rsidR="006D45E7" w:rsidRPr="00787E2E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S. W. Cho et al., “Effect of lifestyle modification using a smartphone application on obesity with obstructive sleep apnea: A short-term, randomized controlled study,” Clin. Exp. Otorhinolaryngol., vol. 11, no. 3, pp. 192–198, 2018.</w:t>
      </w:r>
    </w:p>
    <w:p w14:paraId="48A9A49E" w14:textId="689778D0" w:rsidR="00787E2E" w:rsidRDefault="00787E2E" w:rsidP="00787E2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</w:p>
    <w:p w14:paraId="1602A054" w14:textId="77777777" w:rsidR="00787E2E" w:rsidRPr="00787E2E" w:rsidRDefault="00787E2E" w:rsidP="00787E2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</w:p>
    <w:p w14:paraId="1B55368F" w14:textId="7DFD6B8A" w:rsidR="006D45E7" w:rsidRDefault="006D45E7" w:rsidP="007F245D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>Hypertension/</w:t>
      </w:r>
      <w:r w:rsidRPr="006D45E7">
        <w:rPr>
          <w:lang w:val="en-US"/>
        </w:rPr>
        <w:t>Systolic Blood Pressure</w:t>
      </w:r>
      <w:r>
        <w:rPr>
          <w:lang w:val="en-US"/>
        </w:rPr>
        <w:t>/</w:t>
      </w:r>
      <w:r w:rsidRPr="006D45E7">
        <w:rPr>
          <w:lang w:val="en-US"/>
        </w:rPr>
        <w:t>Diastolic Blood Pressure</w:t>
      </w:r>
    </w:p>
    <w:p w14:paraId="7E1387C9" w14:textId="5A2CA243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“Long-term adherence to continuous positive airway pressure therapy in non-sleepy sleep apnea patients,” Sleep Med., vol. 17, pp. 1–6, 2016.</w:t>
      </w:r>
    </w:p>
    <w:p w14:paraId="1EADBB06" w14:textId="4A8DE281" w:rsidR="006D45E7" w:rsidRDefault="006D45E7" w:rsidP="007F245D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D45E7">
        <w:rPr>
          <w:lang w:val="en-US"/>
        </w:rPr>
        <w:t>CPAP procurement (buying or renting)</w:t>
      </w:r>
    </w:p>
    <w:p w14:paraId="40374CD3" w14:textId="16366669" w:rsidR="008D1D40" w:rsidRPr="00C6583C" w:rsidRDefault="008D1D40" w:rsidP="008D1D40">
      <w:pPr>
        <w:pStyle w:val="ListParagraph"/>
        <w:jc w:val="both"/>
        <w:rPr>
          <w:rStyle w:val="Emphasis"/>
        </w:rPr>
      </w:pPr>
      <w:r w:rsidRPr="00C6583C">
        <w:rPr>
          <w:rStyle w:val="Emphasis"/>
        </w:rPr>
        <w:t xml:space="preserve">When the patient </w:t>
      </w:r>
      <w:r w:rsidR="00C6583C" w:rsidRPr="00C6583C">
        <w:rPr>
          <w:rStyle w:val="Emphasis"/>
        </w:rPr>
        <w:t>buys</w:t>
      </w:r>
      <w:r w:rsidRPr="00C6583C">
        <w:rPr>
          <w:rStyle w:val="Emphasis"/>
        </w:rPr>
        <w:t xml:space="preserve"> </w:t>
      </w:r>
      <w:r w:rsidR="00332393" w:rsidRPr="00C6583C">
        <w:rPr>
          <w:rStyle w:val="Emphasis"/>
        </w:rPr>
        <w:t>his CPAP device, there is a better compliance</w:t>
      </w:r>
    </w:p>
    <w:p w14:paraId="7B232B5D" w14:textId="678F8895" w:rsidR="006D45E7" w:rsidRPr="006D45E7" w:rsidRDefault="006D45E7" w:rsidP="007F245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M. Riachy, S. Najem, M. Iskandar, J. Choucair, I. Ibrahim, and G. Juvelikian, “Factors predicting CPAP adherence in obstructive sleep apnea syndrome,” Sleep Breath., vol. 21, no. 2, pp. 295–302, 2017.</w:t>
      </w:r>
    </w:p>
    <w:p w14:paraId="2C1E6FBD" w14:textId="0877A3FC" w:rsidR="006D45E7" w:rsidRDefault="006D45E7" w:rsidP="007F245D">
      <w:pPr>
        <w:pStyle w:val="ListParagraph"/>
        <w:numPr>
          <w:ilvl w:val="0"/>
          <w:numId w:val="3"/>
        </w:numPr>
        <w:jc w:val="both"/>
      </w:pPr>
      <w:r w:rsidRPr="006D45E7">
        <w:t>Mask comfort</w:t>
      </w:r>
    </w:p>
    <w:p w14:paraId="11D37F5D" w14:textId="77777777" w:rsidR="006D45E7" w:rsidRPr="006D45E7" w:rsidRDefault="006D45E7" w:rsidP="007F245D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M. Riachy, S. Najem, M. Iskandar, J. Choucair, I. Ibrahim, and G. Juvelikian, “Factors predicting CPAP adherence in obstructive sleep apnea syndrome,” Sleep Breath., vol. 21, no. 2, pp. 295–302, 2017.</w:t>
      </w:r>
    </w:p>
    <w:p w14:paraId="2C40EC4B" w14:textId="77777777" w:rsidR="00226B39" w:rsidRDefault="00226B39" w:rsidP="00226B39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6D45E7">
        <w:rPr>
          <w:lang w:val="en-US"/>
        </w:rPr>
        <w:t>Previous cardiovascular event</w:t>
      </w:r>
    </w:p>
    <w:p w14:paraId="70DAA494" w14:textId="32D9A0D6" w:rsidR="006D45E7" w:rsidRPr="00226B39" w:rsidRDefault="00226B39" w:rsidP="00226B3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F. Baratta et al., “Long-term prediction of adherence to continuous positive air pressure therapy for the treatment of moderate/severe obstructive sleep apnea syndrome,” Sleep Med., vol. 43, pp. 66–70, 2018.</w:t>
      </w:r>
    </w:p>
    <w:p w14:paraId="0CFB4220" w14:textId="634F2F3A" w:rsidR="006D45E7" w:rsidRDefault="006D45E7" w:rsidP="007F245D">
      <w:pPr>
        <w:jc w:val="both"/>
        <w:rPr>
          <w:lang w:val="en-US"/>
        </w:rPr>
      </w:pPr>
    </w:p>
    <w:p w14:paraId="6FD3B0CA" w14:textId="684124F1" w:rsidR="006D45E7" w:rsidRDefault="006D45E7" w:rsidP="007F245D">
      <w:pPr>
        <w:pStyle w:val="Heading2"/>
        <w:jc w:val="both"/>
        <w:rPr>
          <w:lang w:val="en-US"/>
        </w:rPr>
      </w:pPr>
      <w:r>
        <w:rPr>
          <w:lang w:val="en-US"/>
        </w:rPr>
        <w:t>Predictors that has a negative effect on the OSA compliance</w:t>
      </w:r>
    </w:p>
    <w:p w14:paraId="26330EC3" w14:textId="400391B4" w:rsidR="006D45E7" w:rsidRDefault="006D45E7" w:rsidP="007F245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D45E7">
        <w:rPr>
          <w:lang w:val="en-US"/>
        </w:rPr>
        <w:t>Claustrophobia and anxiety</w:t>
      </w:r>
    </w:p>
    <w:p w14:paraId="63F96BC6" w14:textId="288FEAD0" w:rsidR="00C6583C" w:rsidRPr="00AB4D15" w:rsidRDefault="007A3CF7" w:rsidP="00C6583C">
      <w:pPr>
        <w:pStyle w:val="ListParagraph"/>
        <w:jc w:val="both"/>
        <w:rPr>
          <w:rStyle w:val="Emphasis"/>
        </w:rPr>
      </w:pPr>
      <w:r w:rsidRPr="00AB4D15">
        <w:rPr>
          <w:rStyle w:val="Emphasis"/>
        </w:rPr>
        <w:t xml:space="preserve">The mask increase </w:t>
      </w:r>
      <w:r w:rsidR="00AB4D15" w:rsidRPr="00AB4D15">
        <w:rPr>
          <w:rStyle w:val="Emphasis"/>
        </w:rPr>
        <w:t>claustrophobia among the patients</w:t>
      </w:r>
    </w:p>
    <w:p w14:paraId="3765EF96" w14:textId="77D10C32" w:rsidR="006D45E7" w:rsidRPr="006D45E7" w:rsidRDefault="006D45E7" w:rsidP="007F245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C. M. Bunney, P. E., Zink, A. N., Holm, A. A., Billington, C. J., &amp; Kotz, “Claustrophobic Tendencies and Continuous Positive Airway Pressure Therapy Non-adherence in Adults with Obstructive Sleep Apnea,” Physiol. Behav., vol. 176, no. 2, pp. 139–148, 2017.</w:t>
      </w:r>
    </w:p>
    <w:p w14:paraId="556FF0F1" w14:textId="34300708" w:rsidR="006D45E7" w:rsidRDefault="006D45E7" w:rsidP="007F245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D45E7">
        <w:rPr>
          <w:lang w:val="en-US"/>
        </w:rPr>
        <w:t>Smokers</w:t>
      </w:r>
    </w:p>
    <w:p w14:paraId="318A83BE" w14:textId="3095E52B" w:rsidR="00AB4D15" w:rsidRPr="00B93D10" w:rsidRDefault="00E17908" w:rsidP="00AB4D15">
      <w:pPr>
        <w:pStyle w:val="ListParagraph"/>
        <w:jc w:val="both"/>
        <w:rPr>
          <w:rStyle w:val="Emphasis"/>
        </w:rPr>
      </w:pPr>
      <w:r w:rsidRPr="00B93D10">
        <w:rPr>
          <w:rStyle w:val="Emphasis"/>
        </w:rPr>
        <w:t>Smokers</w:t>
      </w:r>
      <w:r w:rsidR="00AB4D15" w:rsidRPr="00B93D10">
        <w:rPr>
          <w:rStyle w:val="Emphasis"/>
        </w:rPr>
        <w:t xml:space="preserve"> tend to </w:t>
      </w:r>
      <w:r w:rsidRPr="00B93D10">
        <w:rPr>
          <w:rStyle w:val="Emphasis"/>
        </w:rPr>
        <w:t>use less the CPAP device</w:t>
      </w:r>
    </w:p>
    <w:p w14:paraId="56BC4AC3" w14:textId="0D9E8FD8" w:rsidR="006D45E7" w:rsidRPr="006D45E7" w:rsidRDefault="006D45E7" w:rsidP="007F245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F. Baratta et al., “Long-term prediction of adherence to continuous positive air pressure therapy for the treatment of moderate/severe obstructive sleep apnea syndrome,” Sleep Med., vol. 43, pp. 66–70, 2018.</w:t>
      </w:r>
    </w:p>
    <w:p w14:paraId="4ECE4D86" w14:textId="4C813F73" w:rsidR="006D45E7" w:rsidRDefault="006D45E7" w:rsidP="007F245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6D45E7">
        <w:rPr>
          <w:lang w:val="en-US"/>
        </w:rPr>
        <w:t>Weight reduction + Diet</w:t>
      </w:r>
    </w:p>
    <w:p w14:paraId="156C0F06" w14:textId="6E855EC7" w:rsidR="00B93D10" w:rsidRPr="00405E11" w:rsidRDefault="00B93D10" w:rsidP="00B93D10">
      <w:pPr>
        <w:pStyle w:val="ListParagraph"/>
        <w:jc w:val="both"/>
        <w:rPr>
          <w:rStyle w:val="Emphasis"/>
        </w:rPr>
      </w:pPr>
      <w:r w:rsidRPr="00405E11">
        <w:rPr>
          <w:rStyle w:val="Emphasis"/>
        </w:rPr>
        <w:t>When a patient loses weight and starts a diet program, he has a tendency to reduce CPAP compliance</w:t>
      </w:r>
    </w:p>
    <w:p w14:paraId="784DD47B" w14:textId="77777777" w:rsidR="006D45E7" w:rsidRPr="006D45E7" w:rsidRDefault="006D45E7" w:rsidP="007F245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M. Riachy, S. Najem, M. Iskandar, J. Choucair, I. Ibrahim, and G. Juvelikian, “Factors predicting CPAP adherence in obstructive sleep apnea syndrome,” Sleep Breath., vol. 21, no. 2, pp. 295–302, 2017.</w:t>
      </w:r>
    </w:p>
    <w:p w14:paraId="5CDD62ED" w14:textId="77777777" w:rsidR="006D45E7" w:rsidRPr="006D45E7" w:rsidRDefault="006D45E7" w:rsidP="007F245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sz w:val="19"/>
          <w:szCs w:val="19"/>
        </w:rPr>
      </w:pPr>
      <w:r w:rsidRPr="006D45E7">
        <w:rPr>
          <w:rFonts w:ascii="Segoe UI" w:hAnsi="Segoe UI" w:cs="Segoe UI"/>
          <w:color w:val="000000"/>
          <w:sz w:val="20"/>
          <w:szCs w:val="20"/>
        </w:rPr>
        <w:t>[1] S. W. Cho et al., “Effect of lifestyle modification using a smartphone application on obesity with obstructive sleep apnea: A short-term, randomized controlled study,” Clin. Exp. Otorhinolaryngol., vol. 11, no. 3, pp. 192–198, 2018.</w:t>
      </w:r>
    </w:p>
    <w:p w14:paraId="13AB4A46" w14:textId="77777777" w:rsidR="006D45E7" w:rsidRPr="006D45E7" w:rsidRDefault="006D45E7" w:rsidP="007F245D">
      <w:pPr>
        <w:ind w:left="360"/>
        <w:jc w:val="both"/>
        <w:rPr>
          <w:lang w:val="en-US"/>
        </w:rPr>
      </w:pPr>
    </w:p>
    <w:sectPr w:rsidR="006D45E7" w:rsidRPr="006D45E7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D70D5" w14:textId="77777777" w:rsidR="004F0E36" w:rsidRDefault="004F0E36" w:rsidP="008C334E">
      <w:pPr>
        <w:spacing w:after="0" w:line="240" w:lineRule="auto"/>
      </w:pPr>
      <w:r>
        <w:separator/>
      </w:r>
    </w:p>
  </w:endnote>
  <w:endnote w:type="continuationSeparator" w:id="0">
    <w:p w14:paraId="7EAF367F" w14:textId="77777777" w:rsidR="004F0E36" w:rsidRDefault="004F0E36" w:rsidP="008C3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ndeDaxOffice">
    <w:panose1 w:val="020B0500000000020000"/>
    <w:charset w:val="00"/>
    <w:family w:val="swiss"/>
    <w:pitch w:val="variable"/>
    <w:sig w:usb0="800000AF" w:usb1="5000206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883AA4" w14:textId="052443BF" w:rsidR="008C334E" w:rsidRDefault="008C334E">
    <w:pPr>
      <w:pStyle w:val="Footer"/>
      <w:rPr>
        <w:lang w:val="en-US"/>
      </w:rPr>
    </w:pPr>
    <w:r>
      <w:rPr>
        <w:lang w:val="en-US"/>
      </w:rPr>
      <w:t>Jensen Joymangul</w:t>
    </w:r>
  </w:p>
  <w:p w14:paraId="5B47A1EB" w14:textId="63251AFA" w:rsidR="00787E2E" w:rsidRPr="00787E2E" w:rsidRDefault="00787E2E">
    <w:pPr>
      <w:pStyle w:val="Footer"/>
      <w:rPr>
        <w:lang w:val="en-US"/>
      </w:rPr>
    </w:pPr>
    <w:r>
      <w:rPr>
        <w:lang w:val="en-US"/>
      </w:rPr>
      <w:t>Jensen-selwyn.joymangul@linde.com</w:t>
    </w:r>
  </w:p>
  <w:p w14:paraId="0E7AEAF8" w14:textId="77777777" w:rsidR="008C334E" w:rsidRDefault="008C3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79162" w14:textId="77777777" w:rsidR="004F0E36" w:rsidRDefault="004F0E36" w:rsidP="008C334E">
      <w:pPr>
        <w:spacing w:after="0" w:line="240" w:lineRule="auto"/>
      </w:pPr>
      <w:r>
        <w:separator/>
      </w:r>
    </w:p>
  </w:footnote>
  <w:footnote w:type="continuationSeparator" w:id="0">
    <w:p w14:paraId="5E2CE9C6" w14:textId="77777777" w:rsidR="004F0E36" w:rsidRDefault="004F0E36" w:rsidP="008C3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F69CE"/>
    <w:multiLevelType w:val="hybridMultilevel"/>
    <w:tmpl w:val="8CD43AFE"/>
    <w:lvl w:ilvl="0" w:tplc="B614A56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05C93"/>
    <w:multiLevelType w:val="hybridMultilevel"/>
    <w:tmpl w:val="6666F51A"/>
    <w:lvl w:ilvl="0" w:tplc="B614A56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65736"/>
    <w:multiLevelType w:val="hybridMultilevel"/>
    <w:tmpl w:val="D8ACC02C"/>
    <w:lvl w:ilvl="0" w:tplc="B614A56C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1MzOzNDc3MjI0tDBU0lEKTi0uzszPAykwqgUA57MwqiwAAAA="/>
  </w:docVars>
  <w:rsids>
    <w:rsidRoot w:val="006D45E7"/>
    <w:rsid w:val="00226B39"/>
    <w:rsid w:val="00332393"/>
    <w:rsid w:val="00405E11"/>
    <w:rsid w:val="004F0E36"/>
    <w:rsid w:val="005B2CC3"/>
    <w:rsid w:val="006A7A2E"/>
    <w:rsid w:val="006D45E7"/>
    <w:rsid w:val="00787E2E"/>
    <w:rsid w:val="007A3CF7"/>
    <w:rsid w:val="007F245D"/>
    <w:rsid w:val="008C334E"/>
    <w:rsid w:val="008D1D40"/>
    <w:rsid w:val="009D2588"/>
    <w:rsid w:val="00AB4D15"/>
    <w:rsid w:val="00B33582"/>
    <w:rsid w:val="00B93D10"/>
    <w:rsid w:val="00C6583C"/>
    <w:rsid w:val="00E17908"/>
    <w:rsid w:val="00EC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44AE"/>
  <w15:chartTrackingRefBased/>
  <w15:docId w15:val="{27545624-60E1-497C-8A6F-19F0AF30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5E7"/>
    <w:rPr>
      <w:rFonts w:ascii="LindeDaxOffice" w:hAnsi="LindeDaxOffic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E11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E11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5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5E11"/>
    <w:rPr>
      <w:rFonts w:ascii="LindeDaxOffice" w:eastAsiaTheme="majorEastAsia" w:hAnsi="LindeDaxOffice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5E11"/>
    <w:rPr>
      <w:rFonts w:ascii="LindeDaxOffice" w:eastAsiaTheme="majorEastAsia" w:hAnsi="LindeDaxOffice" w:cstheme="majorBidi"/>
      <w:color w:val="2F5496" w:themeColor="accent1" w:themeShade="BF"/>
      <w:sz w:val="28"/>
      <w:szCs w:val="26"/>
    </w:rPr>
  </w:style>
  <w:style w:type="character" w:styleId="Emphasis">
    <w:name w:val="Emphasis"/>
    <w:basedOn w:val="DefaultParagraphFont"/>
    <w:uiPriority w:val="20"/>
    <w:qFormat/>
    <w:rsid w:val="00C6583C"/>
    <w:rPr>
      <w:b/>
      <w:i/>
      <w:iCs/>
      <w:sz w:val="22"/>
    </w:rPr>
  </w:style>
  <w:style w:type="paragraph" w:styleId="Header">
    <w:name w:val="header"/>
    <w:basedOn w:val="Normal"/>
    <w:link w:val="HeaderChar"/>
    <w:uiPriority w:val="99"/>
    <w:unhideWhenUsed/>
    <w:rsid w:val="008C3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4E"/>
    <w:rPr>
      <w:rFonts w:ascii="LindeDaxOffice" w:hAnsi="LindeDaxOffice"/>
      <w:sz w:val="24"/>
    </w:rPr>
  </w:style>
  <w:style w:type="paragraph" w:styleId="Footer">
    <w:name w:val="footer"/>
    <w:basedOn w:val="Normal"/>
    <w:link w:val="FooterChar"/>
    <w:uiPriority w:val="99"/>
    <w:unhideWhenUsed/>
    <w:rsid w:val="008C3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4E"/>
    <w:rPr>
      <w:rFonts w:ascii="LindeDaxOffice" w:hAnsi="LindeDax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E80A625641247897AFF6575B9BD81" ma:contentTypeVersion="13" ma:contentTypeDescription="Create a new document." ma:contentTypeScope="" ma:versionID="02f62329ed2e7ebefa2251246d4654c0">
  <xsd:schema xmlns:xsd="http://www.w3.org/2001/XMLSchema" xmlns:xs="http://www.w3.org/2001/XMLSchema" xmlns:p="http://schemas.microsoft.com/office/2006/metadata/properties" xmlns:ns3="b6cdf9d6-21ab-43fd-96e8-96ca482bcd5b" xmlns:ns4="026edc7e-e728-4421-b962-e3a6191e4ebb" targetNamespace="http://schemas.microsoft.com/office/2006/metadata/properties" ma:root="true" ma:fieldsID="968e2a17188976b60f3848e27ac26139" ns3:_="" ns4:_="">
    <xsd:import namespace="b6cdf9d6-21ab-43fd-96e8-96ca482bcd5b"/>
    <xsd:import namespace="026edc7e-e728-4421-b962-e3a6191e4e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df9d6-21ab-43fd-96e8-96ca482bcd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edc7e-e728-4421-b962-e3a6191e4eb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CCF5FD-9C48-421D-B146-EA3EF7341A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6E2425-8498-4474-960D-22F695E08E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F9A97B-4960-44DE-B19C-F59288430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cdf9d6-21ab-43fd-96e8-96ca482bcd5b"/>
    <ds:schemaRef ds:uri="026edc7e-e728-4421-b962-e3a6191e4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 Selwyn JOYMANGUL</dc:creator>
  <cp:keywords/>
  <dc:description/>
  <cp:lastModifiedBy>Jensen Selwyn JOYMANGUL</cp:lastModifiedBy>
  <cp:revision>18</cp:revision>
  <dcterms:created xsi:type="dcterms:W3CDTF">2020-06-02T10:18:00Z</dcterms:created>
  <dcterms:modified xsi:type="dcterms:W3CDTF">2020-06-02T10:53:00Z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0x010100190E80A625641247897AFF6575B9BD81</vt:lpwstr>
  </property>
</Properties>
</file>