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23.png" ContentType="image/png"/>
  <Override PartName="/word/media/rId28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Evaluating Digital Biomarker Implementation in Personalized CPAP Therapy via a Role-Based Clinical Dashboard Architecture</w:t>
      </w:r>
    </w:p>
    <w:p>
      <w:pPr>
        <w:pStyle w:val="Author"/>
      </w:pPr>
    </w:p>
    <w:p>
      <w:pPr>
        <w:pStyle w:val="Author"/>
      </w:pPr>
    </w:p>
    <w:p>
      <w:pPr>
        <w:pStyle w:val="Author"/>
      </w:pPr>
    </w:p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Obstructive Sleep Apnea (OSA) affects 17–34% of middle-aged adults</w:t>
      </w:r>
      <w:r>
        <w:t xml:space="preserve"> </w:t>
      </w:r>
      <w:r>
        <w:t xml:space="preserve">and carries serious cardiovascular consequences. Continuous Positive</w:t>
      </w:r>
      <w:r>
        <w:t xml:space="preserve"> </w:t>
      </w:r>
      <w:r>
        <w:t xml:space="preserve">Airway Pressure (CPAP) remains the gold standard treatment, yet</w:t>
      </w:r>
      <w:r>
        <w:t xml:space="preserve"> </w:t>
      </w:r>
      <w:r>
        <w:t xml:space="preserve">46–83% of patients fail to achieve adequate adherence within the</w:t>
      </w:r>
      <w:r>
        <w:t xml:space="preserve"> </w:t>
      </w:r>
      <w:r>
        <w:t xml:space="preserve">first year </w:t>
      </w:r>
      <w:r>
        <w:t xml:space="preserve">. This paper presents</w:t>
      </w:r>
      <w:r>
        <w:t xml:space="preserve"> </w:t>
      </w:r>
      <w:r>
        <w:rPr>
          <w:i/>
          <w:iCs/>
        </w:rPr>
        <w:t xml:space="preserve">SleepCare</w:t>
      </w:r>
      <w:r>
        <w:t xml:space="preserve">,</w:t>
      </w:r>
      <w:r>
        <w:t xml:space="preserve"> </w:t>
      </w:r>
      <w:r>
        <w:t xml:space="preserve">a role-based clinical dashboard architecture developed in collaboration</w:t>
      </w:r>
      <w:r>
        <w:t xml:space="preserve"> </w:t>
      </w:r>
      <w:r>
        <w:t xml:space="preserve">with Linde Homecare France that integrates CPAP telemetry from six data</w:t>
      </w:r>
      <w:r>
        <w:t xml:space="preserve"> </w:t>
      </w:r>
      <w:r>
        <w:t xml:space="preserve">sources, digital biomarkers, intervention logs, and patient-reported</w:t>
      </w:r>
      <w:r>
        <w:t xml:space="preserve"> </w:t>
      </w:r>
      <w:r>
        <w:t xml:space="preserve">outcomes through a contract-first backend API. The system generates a</w:t>
      </w:r>
      <w:r>
        <w:t xml:space="preserve"> </w:t>
      </w:r>
      <w:r>
        <w:t xml:space="preserve">shared weekly patient state consumed by three distinct React/TypeScript</w:t>
      </w:r>
      <w:r>
        <w:t xml:space="preserve"> </w:t>
      </w:r>
      <w:r>
        <w:t xml:space="preserve">portals—physician, technician, and patient—enabling synchronized</w:t>
      </w:r>
      <w:r>
        <w:t xml:space="preserve"> </w:t>
      </w:r>
      <w:r>
        <w:t xml:space="preserve">views and AI-assisted triage without information asymmetry across roles.</w:t>
      </w:r>
      <w:r>
        <w:t xml:space="preserve"> </w:t>
      </w:r>
      <w:r>
        <w:t xml:space="preserve">We validate the framework against four research questions concerning</w:t>
      </w:r>
      <w:r>
        <w:t xml:space="preserve"> </w:t>
      </w:r>
      <w:r>
        <w:t xml:space="preserve">real-time data parity, predictive biomarker visualization, dynamic</w:t>
      </w:r>
      <w:r>
        <w:t xml:space="preserve"> </w:t>
      </w:r>
      <w:r>
        <w:t xml:space="preserve">clustering, and event-driven intervention workflows.</w:t>
      </w:r>
    </w:p>
    <w:p>
      <w:pPr>
        <w:pStyle w:val="FirstParagraph"/>
      </w:pPr>
      <w:r>
        <w:t xml:space="preserve">Obstructive sleep apnea, CPAP adherence, clinical dashboard, digital</w:t>
      </w:r>
      <w:r>
        <w:t xml:space="preserve"> </w:t>
      </w:r>
      <w:r>
        <w:t xml:space="preserve">biomarkers, telemonitoring, role-based interface, decision support.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Obstructive Sleep Apnea is a prevalent chronic disorder associated with</w:t>
      </w:r>
      <w:r>
        <w:t xml:space="preserve"> </w:t>
      </w:r>
      <w:r>
        <w:t xml:space="preserve">cardiovascular and neurocognitive morbidity, and Continuous Positive</w:t>
      </w:r>
      <w:r>
        <w:t xml:space="preserve"> </w:t>
      </w:r>
      <w:r>
        <w:t xml:space="preserve">Airway Pressure remains the standard treatment for moderate to severe</w:t>
      </w:r>
      <w:r>
        <w:t xml:space="preserve"> </w:t>
      </w:r>
      <w:r>
        <w:t xml:space="preserve">OSA when clinical criteria are met </w:t>
      </w:r>
      <w:r>
        <w:t xml:space="preserve">. Long-term</w:t>
      </w:r>
      <w:r>
        <w:t xml:space="preserve"> </w:t>
      </w:r>
      <w:r>
        <w:t xml:space="preserve">adherence remains a major challenge, with non-adherence frequently</w:t>
      </w:r>
      <w:r>
        <w:t xml:space="preserve"> </w:t>
      </w:r>
      <w:r>
        <w:t xml:space="preserve">linked to discomfort, low perceived benefit, fragmented follow-up, and</w:t>
      </w:r>
      <w:r>
        <w:t xml:space="preserve"> </w:t>
      </w:r>
      <w:r>
        <w:t xml:space="preserve">delayed intervention after problems emerge </w:t>
      </w:r>
      <w:r>
        <w:t xml:space="preserve">. Despite</w:t>
      </w:r>
      <w:r>
        <w:t xml:space="preserve"> </w:t>
      </w:r>
      <w:r>
        <w:t xml:space="preserve">advances in connected devices, many homecare workflows still depend on</w:t>
      </w:r>
      <w:r>
        <w:t xml:space="preserve"> </w:t>
      </w:r>
      <w:r>
        <w:t xml:space="preserve">retrospective compliance thresholds, often centered on four hours per</w:t>
      </w:r>
      <w:r>
        <w:t xml:space="preserve"> </w:t>
      </w:r>
      <w:r>
        <w:t xml:space="preserve">night, which can delay identification of deteriorating</w:t>
      </w:r>
      <w:r>
        <w:t xml:space="preserve"> </w:t>
      </w:r>
      <w:r>
        <w:t xml:space="preserve">patterns </w:t>
      </w:r>
      <w:r>
        <w:t xml:space="preserve">.</w:t>
      </w:r>
    </w:p>
    <w:p>
      <w:pPr>
        <w:pStyle w:val="BodyText"/>
      </w:pPr>
      <w:r>
        <w:t xml:space="preserve">The SleepCare architecture addresses these gaps by unifying CPAP</w:t>
      </w:r>
      <w:r>
        <w:t xml:space="preserve"> </w:t>
      </w:r>
      <w:r>
        <w:t xml:space="preserve">telemetry, wearable biomarkers, survey responses, and clinical actions</w:t>
      </w:r>
      <w:r>
        <w:t xml:space="preserve"> </w:t>
      </w:r>
      <w:r>
        <w:t xml:space="preserve">into a shared weekly patient representation exposed through a REST API.</w:t>
      </w:r>
      <w:r>
        <w:t xml:space="preserve"> </w:t>
      </w:r>
      <w:r>
        <w:t xml:space="preserve">Drawing on evidence that clinical dashboards improve care processes when</w:t>
      </w:r>
      <w:r>
        <w:t xml:space="preserve"> </w:t>
      </w:r>
      <w:r>
        <w:t xml:space="preserve">designed for immediate clinician access </w:t>
      </w:r>
      <w:r>
        <w:t xml:space="preserve">, the system</w:t>
      </w:r>
      <w:r>
        <w:t xml:space="preserve"> </w:t>
      </w:r>
      <w:r>
        <w:t xml:space="preserve">targets four specific goals:</w:t>
      </w:r>
    </w:p>
    <w:p>
      <w:pPr>
        <w:numPr>
          <w:ilvl w:val="0"/>
          <w:numId w:val="1001"/>
        </w:numPr>
      </w:pPr>
      <w:r>
        <w:t xml:space="preserve">Eliminate information asymmetry between physicians, technicians,</w:t>
      </w:r>
      <w:r>
        <w:t xml:space="preserve"> </w:t>
      </w:r>
      <w:r>
        <w:t xml:space="preserve">and patients.</w:t>
      </w:r>
    </w:p>
    <w:p>
      <w:pPr>
        <w:numPr>
          <w:ilvl w:val="0"/>
          <w:numId w:val="1001"/>
        </w:numPr>
      </w:pPr>
      <w:r>
        <w:t xml:space="preserve">Support AI-assisted prioritization without bypassing clinical</w:t>
      </w:r>
      <w:r>
        <w:t xml:space="preserve"> </w:t>
      </w:r>
      <w:r>
        <w:t xml:space="preserve">judgment.</w:t>
      </w:r>
    </w:p>
    <w:p>
      <w:pPr>
        <w:numPr>
          <w:ilvl w:val="0"/>
          <w:numId w:val="1001"/>
        </w:numPr>
      </w:pPr>
      <w:r>
        <w:t xml:space="preserve">Operationalize personalized follow-up through explicit workflow</w:t>
      </w:r>
      <w:r>
        <w:t xml:space="preserve"> </w:t>
      </w:r>
      <w:r>
        <w:t xml:space="preserve">design.</w:t>
      </w:r>
    </w:p>
    <w:p>
      <w:pPr>
        <w:numPr>
          <w:ilvl w:val="0"/>
          <w:numId w:val="1001"/>
        </w:numPr>
      </w:pPr>
      <w:r>
        <w:t xml:space="preserve">Enable scalable integration of future medical IoT</w:t>
      </w:r>
      <w:r>
        <w:t xml:space="preserve"> </w:t>
      </w:r>
      <w:r>
        <w:t xml:space="preserve">devices </w:t>
      </w:r>
      <w:r>
        <w:t xml:space="preserve">.</w:t>
      </w:r>
    </w:p>
    <w:bookmarkEnd w:id="9"/>
    <w:bookmarkStart w:id="10" w:name="related-work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Recent adherence literature shows that successful CPAP management</w:t>
      </w:r>
      <w:r>
        <w:t xml:space="preserve"> </w:t>
      </w:r>
      <w:r>
        <w:t xml:space="preserve">requires not only the device but also structured support that addresses</w:t>
      </w:r>
      <w:r>
        <w:t xml:space="preserve"> </w:t>
      </w:r>
      <w:r>
        <w:t xml:space="preserve">technical failures, behavioral barriers, and symptom evolution over</w:t>
      </w:r>
      <w:r>
        <w:t xml:space="preserve"> </w:t>
      </w:r>
      <w:r>
        <w:t xml:space="preserve">time </w:t>
      </w:r>
      <w:r>
        <w:t xml:space="preserve">. Telemonitoring interventions</w:t>
      </w:r>
      <w:r>
        <w:t xml:space="preserve"> </w:t>
      </w:r>
      <w:r>
        <w:t xml:space="preserve">combining early follow-up and behavioral support consistently improve</w:t>
      </w:r>
      <w:r>
        <w:t xml:space="preserve"> </w:t>
      </w:r>
      <w:r>
        <w:t xml:space="preserve">nightly usage compared with standard care </w:t>
      </w:r>
      <w:r>
        <w:t xml:space="preserve">. At the</w:t>
      </w:r>
      <w:r>
        <w:t xml:space="preserve"> </w:t>
      </w:r>
      <w:r>
        <w:t xml:space="preserve">same time, dashboard research demonstrates that clinician-facing tools</w:t>
      </w:r>
      <w:r>
        <w:t xml:space="preserve"> </w:t>
      </w:r>
      <w:r>
        <w:t xml:space="preserve">are most effective when they reduce cognitive load, present</w:t>
      </w:r>
      <w:r>
        <w:t xml:space="preserve"> </w:t>
      </w:r>
      <w:r>
        <w:t xml:space="preserve">role-relevant information, and align with existing</w:t>
      </w:r>
      <w:r>
        <w:t xml:space="preserve"> </w:t>
      </w:r>
      <w:r>
        <w:t xml:space="preserve">workflows </w:t>
      </w:r>
      <w:r>
        <w:t xml:space="preserve">.</w:t>
      </w:r>
    </w:p>
    <w:p>
      <w:pPr>
        <w:pStyle w:val="BodyText"/>
      </w:pPr>
      <w:r>
        <w:t xml:space="preserve">More recent work by Kakaei Siahkal and colleagues provides a close</w:t>
      </w:r>
      <w:r>
        <w:t xml:space="preserve"> </w:t>
      </w:r>
      <w:r>
        <w:t xml:space="preserve">foundation for the present system. The BHI 2024 paper on integrated</w:t>
      </w:r>
      <w:r>
        <w:t xml:space="preserve"> </w:t>
      </w:r>
      <w:r>
        <w:t xml:space="preserve">feedback systems illustrates how CPAP data and structured intervention</w:t>
      </w:r>
      <w:r>
        <w:t xml:space="preserve"> </w:t>
      </w:r>
      <w:r>
        <w:t xml:space="preserve">logic can jointly improve adherence </w:t>
      </w:r>
      <w:r>
        <w:t xml:space="preserve">. The</w:t>
      </w:r>
      <w:r>
        <w:t xml:space="preserve"> </w:t>
      </w:r>
      <w:r>
        <w:t xml:space="preserve">SKIMA 2025 and CBMS 2025 manuscripts extend this line toward digital</w:t>
      </w:r>
      <w:r>
        <w:t xml:space="preserve"> </w:t>
      </w:r>
      <w:r>
        <w:t xml:space="preserve">biomarkers, clustering, and adaptive OSA care pathways, supplying a</w:t>
      </w:r>
      <w:r>
        <w:t xml:space="preserve"> </w:t>
      </w:r>
      <w:r>
        <w:t xml:space="preserve">research basis for personalized monitoring and multi-source feature</w:t>
      </w:r>
      <w:r>
        <w:t xml:space="preserve"> </w:t>
      </w:r>
      <w:r>
        <w:t xml:space="preserve">integration </w:t>
      </w:r>
      <w:r>
        <w:t xml:space="preserve">. These contributions,</w:t>
      </w:r>
      <w:r>
        <w:t xml:space="preserve"> </w:t>
      </w:r>
      <w:r>
        <w:t xml:space="preserve">however, focus on modeling and clinical outcomes; the present paper</w:t>
      </w:r>
      <w:r>
        <w:t xml:space="preserve"> </w:t>
      </w:r>
      <w:r>
        <w:t xml:space="preserve">supplies the software architecture that operationalizes them</w:t>
      </w:r>
      <w:r>
        <w:t xml:space="preserve"> </w:t>
      </w:r>
      <w:r>
        <w:t xml:space="preserve">end-to-end under real homecare constraints.</w:t>
      </w:r>
    </w:p>
    <w:bookmarkEnd w:id="10"/>
    <w:bookmarkStart w:id="11" w:name="research-problems-and-objectives"/>
    <w:p>
      <w:pPr>
        <w:pStyle w:val="Heading1"/>
      </w:pPr>
      <w:r>
        <w:t xml:space="preserve">Research Problems and Objectives</w:t>
      </w:r>
    </w:p>
    <w:p>
      <w:pPr>
        <w:pStyle w:val="FirstParagraph"/>
      </w:pPr>
      <w:r>
        <w:t xml:space="preserve">The core problem is architectural fragmentation: clinically relevant</w:t>
      </w:r>
      <w:r>
        <w:t xml:space="preserve"> </w:t>
      </w:r>
      <w:r>
        <w:t xml:space="preserve">information is scattered across CPAP exports, spreadsheets, survey</w:t>
      </w:r>
      <w:r>
        <w:t xml:space="preserve"> </w:t>
      </w:r>
      <w:r>
        <w:t xml:space="preserve">systems, and vendor platforms, forcing each stakeholder to reconstruct</w:t>
      </w:r>
      <w:r>
        <w:t xml:space="preserve"> </w:t>
      </w:r>
      <w:r>
        <w:t xml:space="preserve">a partial patient picture </w:t>
      </w:r>
      <w:r>
        <w:t xml:space="preserve">. This fragmentation</w:t>
      </w:r>
      <w:r>
        <w:t xml:space="preserve"> </w:t>
      </w:r>
      <w:r>
        <w:t xml:space="preserve">creates operational latency in identifying and responding to risk,</w:t>
      </w:r>
      <w:r>
        <w:t xml:space="preserve"> </w:t>
      </w:r>
      <w:r>
        <w:t xml:space="preserve">inconsistent interpretation of adherence and biomarker trends, and</w:t>
      </w:r>
      <w:r>
        <w:t xml:space="preserve"> </w:t>
      </w:r>
      <w:r>
        <w:t xml:space="preserve">missed opportunities for early intervention.</w:t>
      </w:r>
    </w:p>
    <w:p>
      <w:pPr>
        <w:pStyle w:val="BodyText"/>
      </w:pPr>
      <w:r>
        <w:t xml:space="preserve">To address these issues, the work pursues five objectives: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Obj1:</w:t>
      </w:r>
      <w:r>
        <w:t xml:space="preserve"> </w:t>
      </w:r>
      <w:r>
        <w:t xml:space="preserve">Design a contract-first backend that ingests</w:t>
      </w:r>
      <w:r>
        <w:t xml:space="preserve"> </w:t>
      </w:r>
      <w:r>
        <w:t xml:space="preserve">heterogeneous data without discarding source fidelity.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Obj2:</w:t>
      </w:r>
      <w:r>
        <w:t xml:space="preserve"> </w:t>
      </w:r>
      <w:r>
        <w:t xml:space="preserve">Construct a weekly patient-state representation</w:t>
      </w:r>
      <w:r>
        <w:t xml:space="preserve"> </w:t>
      </w:r>
      <w:r>
        <w:t xml:space="preserve">suitable for both dashboard display and AI-assisted</w:t>
      </w:r>
      <w:r>
        <w:t xml:space="preserve"> </w:t>
      </w:r>
      <w:r>
        <w:t xml:space="preserve">triage 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Obj3:</w:t>
      </w:r>
      <w:r>
        <w:t xml:space="preserve"> </w:t>
      </w:r>
      <w:r>
        <w:t xml:space="preserve">Build role-specific interfaces that preserve a</w:t>
      </w:r>
      <w:r>
        <w:t xml:space="preserve"> </w:t>
      </w:r>
      <w:r>
        <w:t xml:space="preserve">single source of truth while tailoring views and actions to</w:t>
      </w:r>
      <w:r>
        <w:t xml:space="preserve"> </w:t>
      </w:r>
      <w:r>
        <w:t xml:space="preserve">physicians, technicians, and patients 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Obj4:</w:t>
      </w:r>
      <w:r>
        <w:t xml:space="preserve"> </w:t>
      </w:r>
      <w:r>
        <w:t xml:space="preserve">Implement a Human-in-the-Loop triage framework</w:t>
      </w:r>
      <w:r>
        <w:t xml:space="preserve"> </w:t>
      </w:r>
      <w:r>
        <w:t xml:space="preserve">in which algorithmic prioritization supports, rather than</w:t>
      </w:r>
      <w:r>
        <w:t xml:space="preserve"> </w:t>
      </w:r>
      <w:r>
        <w:t xml:space="preserve">replaces, clinical decisions 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Obj5:</w:t>
      </w:r>
      <w:r>
        <w:t xml:space="preserve"> </w:t>
      </w:r>
      <w:r>
        <w:t xml:space="preserve">Encode intervention tracking as part of the</w:t>
      </w:r>
      <w:r>
        <w:t xml:space="preserve"> </w:t>
      </w:r>
      <w:r>
        <w:t xml:space="preserve">architecture, enabling systematic evaluation of follow-up</w:t>
      </w:r>
      <w:r>
        <w:t xml:space="preserve"> </w:t>
      </w:r>
      <w:r>
        <w:t xml:space="preserve">outcomes relative to physiological and behavioral</w:t>
      </w:r>
      <w:r>
        <w:t xml:space="preserve"> </w:t>
      </w:r>
      <w:r>
        <w:t xml:space="preserve">trends </w:t>
      </w:r>
      <w:r>
        <w:t xml:space="preserve">.</w:t>
      </w:r>
    </w:p>
    <w:bookmarkEnd w:id="11"/>
    <w:bookmarkStart w:id="22" w:name="system-architecture-and-methodology"/>
    <w:p>
      <w:pPr>
        <w:pStyle w:val="Heading1"/>
      </w:pPr>
      <w:r>
        <w:t xml:space="preserve">System Architecture and Methodology</w:t>
      </w:r>
    </w:p>
    <w:bookmarkStart w:id="16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SleepCare is a full-stack telemonitoring architecture ingesting</w:t>
      </w:r>
      <w:r>
        <w:t xml:space="preserve"> </w:t>
      </w:r>
      <w:r>
        <w:t xml:space="preserve">heterogeneous therapy and biomarker data into structured storage, then</w:t>
      </w:r>
      <w:r>
        <w:t xml:space="preserve"> </w:t>
      </w:r>
      <w:r>
        <w:t xml:space="preserve">aggregating them into a weekly patient representation exposed via REST</w:t>
      </w:r>
      <w:r>
        <w:t xml:space="preserve"> </w:t>
      </w:r>
      <w:r>
        <w:t xml:space="preserve">API to three role-specific portals and an AI-assisted risk layer. The</w:t>
      </w:r>
      <w:r>
        <w:t xml:space="preserve"> </w:t>
      </w:r>
      <w:r>
        <w:t xml:space="preserve">architecture reflects a collaboration with Linde Homecare France, in</w:t>
      </w:r>
      <w:r>
        <w:t xml:space="preserve"> </w:t>
      </w:r>
      <w:r>
        <w:t xml:space="preserve">which the same underlying patient state underlies physician review,</w:t>
      </w:r>
      <w:r>
        <w:t xml:space="preserve"> </w:t>
      </w:r>
      <w:r>
        <w:t xml:space="preserve">technician dispatch, and patient engagement, despite differing interface</w:t>
      </w:r>
      <w:r>
        <w:t xml:space="preserve"> </w:t>
      </w:r>
      <w:r>
        <w:t xml:space="preserve">layouts and workflows </w:t>
      </w:r>
      <w:r>
        <w:t xml:space="preserve">. The backend is implemented</w:t>
      </w:r>
      <w:r>
        <w:t xml:space="preserve"> </w:t>
      </w:r>
      <w:r>
        <w:t xml:space="preserve">using Python FastAPI and PostgreSQL, deployed on cloud infrastructure.</w:t>
      </w:r>
      <w:r>
        <w:t xml:space="preserve"> </w:t>
      </w:r>
      <w:r>
        <w:t xml:space="preserve">Fig. </w:t>
      </w:r>
      <w:hyperlink w:anchor="fig:usecas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illustrates the system-level interactions across</w:t>
      </w:r>
      <w:r>
        <w:t xml:space="preserve"> </w:t>
      </w:r>
      <w:r>
        <w:t xml:space="preserve">all actors and use cases.</w:t>
      </w:r>
    </w:p>
    <w:bookmarkStart w:id="15" w:name="fig:usecase"/>
    <w:p>
      <w:pPr>
        <w:pStyle w:val="CaptionedFigure"/>
      </w:pPr>
      <w:r>
        <w:drawing>
          <wp:inline>
            <wp:extent cx="5334000" cy="207524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_usecas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5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SleepCare Dashboard System — Use Case Diagram showing</w:t>
      </w:r>
      <w:r>
        <w:t xml:space="preserve"> </w:t>
      </w:r>
      <w:r>
        <w:t xml:space="preserve">interactions between Physician, Technician, Patient, and the AI Risk</w:t>
      </w:r>
      <w:r>
        <w:t xml:space="preserve"> </w:t>
      </w:r>
      <w:r>
        <w:t xml:space="preserve">Model across all system features.</w:t>
      </w:r>
    </w:p>
    <w:bookmarkEnd w:id="15"/>
    <w:bookmarkEnd w:id="16"/>
    <w:bookmarkStart w:id="17" w:name="contract-first-database-design"/>
    <w:p>
      <w:pPr>
        <w:pStyle w:val="Heading2"/>
      </w:pPr>
      <w:r>
        <w:t xml:space="preserve">Contract-First Database Design</w:t>
      </w:r>
    </w:p>
    <w:p>
      <w:pPr>
        <w:pStyle w:val="FirstParagraph"/>
      </w:pPr>
      <w:r>
        <w:t xml:space="preserve">Prior to any implementation, all 16 database table schemas were defined</w:t>
      </w:r>
      <w:r>
        <w:t xml:space="preserve"> </w:t>
      </w:r>
      <w:r>
        <w:t xml:space="preserve">and validated against real source files provided by Linde Homecare</w:t>
      </w:r>
      <w:r>
        <w:t xml:space="preserve"> </w:t>
      </w:r>
      <w:r>
        <w:t xml:space="preserve">France, including device export CSVs and clinical monitoring</w:t>
      </w:r>
      <w:r>
        <w:t xml:space="preserve"> </w:t>
      </w:r>
      <w:r>
        <w:t xml:space="preserve">spreadsheets. Fields with no confirmed data source were removed. Fields</w:t>
      </w:r>
      <w:r>
        <w:t xml:space="preserve"> </w:t>
      </w:r>
      <w:r>
        <w:t xml:space="preserve">present in raw device output but of uncertain clinical relevance were</w:t>
      </w:r>
      <w:r>
        <w:t xml:space="preserve"> </w:t>
      </w:r>
      <w:r>
        <w:t xml:space="preserve">preserved in a dedicated raw payload column rather than discarded,</w:t>
      </w:r>
      <w:r>
        <w:t xml:space="preserve"> </w:t>
      </w:r>
      <w:r>
        <w:t xml:space="preserve">ensuring no data is permanently lost before its utility is</w:t>
      </w:r>
      <w:r>
        <w:t xml:space="preserve"> </w:t>
      </w:r>
      <w:r>
        <w:t xml:space="preserve">confirmed </w:t>
      </w:r>
      <w:r>
        <w:t xml:space="preserve">. This contract-first approach minimized</w:t>
      </w:r>
      <w:r>
        <w:t xml:space="preserve"> </w:t>
      </w:r>
      <w:r>
        <w:t xml:space="preserve">structural modifications after implementation and allowed the API</w:t>
      </w:r>
      <w:r>
        <w:t xml:space="preserve"> </w:t>
      </w:r>
      <w:r>
        <w:t xml:space="preserve">contract to be delivered to the frontend developer before backend</w:t>
      </w:r>
      <w:r>
        <w:t xml:space="preserve"> </w:t>
      </w:r>
      <w:r>
        <w:t xml:space="preserve">implementation was complete.</w:t>
      </w:r>
    </w:p>
    <w:bookmarkEnd w:id="17"/>
    <w:bookmarkStart w:id="19" w:name="multi-source-data-layer"/>
    <w:p>
      <w:pPr>
        <w:pStyle w:val="Heading2"/>
      </w:pPr>
      <w:r>
        <w:t xml:space="preserve">Multi-Source Data Layer</w:t>
      </w:r>
    </w:p>
    <w:p>
      <w:pPr>
        <w:pStyle w:val="FirstParagraph"/>
      </w:pPr>
      <w:r>
        <w:t xml:space="preserve">A core challenge of CPAP telemonitoring is that clinically relevant data</w:t>
      </w:r>
      <w:r>
        <w:t xml:space="preserve"> </w:t>
      </w:r>
      <w:r>
        <w:t xml:space="preserve">originates from multiple heterogeneous sources with different formats,</w:t>
      </w:r>
      <w:r>
        <w:t xml:space="preserve"> </w:t>
      </w:r>
      <w:r>
        <w:t xml:space="preserve">collection frequencies, and levels of reliability. The platform</w:t>
      </w:r>
      <w:r>
        <w:t xml:space="preserve"> </w:t>
      </w:r>
      <w:r>
        <w:t xml:space="preserve">integrates data from six distinct origins, mapped to nine database</w:t>
      </w:r>
      <w:r>
        <w:t xml:space="preserve"> </w:t>
      </w:r>
      <w:r>
        <w:t xml:space="preserve">tables as shown in Table </w:t>
      </w:r>
      <w:hyperlink w:anchor="tab:sources">
        <w:r>
          <w:rPr>
            <w:rStyle w:val="Hyperlink"/>
          </w:rPr>
          <w:t xml:space="preserve">1</w:t>
        </w:r>
      </w:hyperlink>
      <w:r>
        <w:t xml:space="preserve">.</w:t>
      </w:r>
    </w:p>
    <w:bookmarkStart w:id="18" w:name="tab:sources"/>
    <w:p>
      <w:pPr>
        <w:pStyle w:val="TableCaption"/>
      </w:pPr>
      <w:r>
        <w:t xml:space="preserve">Data Sources and Corresponding Database Tables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ata Sources and Corresponding Database Tabl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LMD / Linde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db_cpap, db_interventions, db_surveys_monitoring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therapy and operational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db_withings_watch, db_withings_bpm_core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Wearable and cardiovascular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Hexoskin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db_hexoskin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Physiological and sleep biomarkers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Somno-Art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db_somnoart, db_somnoart_raw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analysis data and raw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db_masimo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Pulse-oximetry measurements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db_surveys_medical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Patient-reported outcomes and clinical scales</w:t>
            </w:r>
          </w:p>
        </w:tc>
      </w:tr>
    </w:tbl>
    <w:bookmarkEnd w:id="18"/>
    <w:p>
      <w:pPr>
        <w:pStyle w:val="BodyText"/>
      </w:pPr>
      <w:r>
        <w:t xml:space="preserve">To manage variability in data completeness, a two-table pattern is</w:t>
      </w:r>
      <w:r>
        <w:t xml:space="preserve"> </w:t>
      </w:r>
      <w:r>
        <w:t xml:space="preserve">applied where appropriate: a primary table stores validated and</w:t>
      </w:r>
      <w:r>
        <w:t xml:space="preserve"> </w:t>
      </w:r>
      <w:r>
        <w:t xml:space="preserve">normalized fields, while a companion raw table preserves the full</w:t>
      </w:r>
      <w:r>
        <w:t xml:space="preserve"> </w:t>
      </w:r>
      <w:r>
        <w:t xml:space="preserve">parsed payload as a JSONB column.</w:t>
      </w:r>
    </w:p>
    <w:bookmarkEnd w:id="19"/>
    <w:bookmarkStart w:id="20" w:name="weekly-aggregation-pipeline"/>
    <w:p>
      <w:pPr>
        <w:pStyle w:val="Heading2"/>
      </w:pPr>
      <w:r>
        <w:t xml:space="preserve">Weekly Aggregation Pipeline</w:t>
      </w:r>
    </w:p>
    <w:p>
      <w:pPr>
        <w:pStyle w:val="FirstParagraph"/>
      </w:pPr>
      <w:r>
        <w:t xml:space="preserve">To bridge raw device data and the AI risk-scoring layer, a nightly</w:t>
      </w:r>
      <w:r>
        <w:t xml:space="preserve"> </w:t>
      </w:r>
      <w:r>
        <w:t xml:space="preserve">aggregation job is designed to process all available source tables and</w:t>
      </w:r>
      <w:r>
        <w:t xml:space="preserve"> </w:t>
      </w:r>
      <w:r>
        <w:t xml:space="preserve">produce one row per patient per week in</w:t>
      </w:r>
      <w:r>
        <w:t xml:space="preserve"> </w:t>
      </w:r>
      <w:r>
        <w:rPr>
          <w:rStyle w:val="VerbatimChar"/>
        </w:rPr>
        <w:t xml:space="preserve">db_patient_week</w:t>
      </w:r>
      <w:r>
        <w:t xml:space="preserve">. For</w:t>
      </w:r>
      <w:r>
        <w:t xml:space="preserve"> </w:t>
      </w:r>
      <w:r>
        <w:t xml:space="preserve">each 7-day window, the pipeline computes weekly summaries including</w:t>
      </w:r>
      <w:r>
        <w:t xml:space="preserve"> </w:t>
      </w:r>
      <w:r>
        <w:t xml:space="preserve">average and minimum CPAP usage, nights below the 4-hour adherence</w:t>
      </w:r>
      <w:r>
        <w:t xml:space="preserve"> </w:t>
      </w:r>
      <w:r>
        <w:t xml:space="preserve">threshold, AHI trend, HRV, SpO</w:t>
      </w:r>
      <w:r>
        <w:rPr>
          <w:vertAlign w:val="subscript"/>
        </w:rPr>
        <w:t xml:space="preserve">2</w:t>
      </w:r>
      <w:r>
        <w:t xml:space="preserve">, sleep efficiency, and</w:t>
      </w:r>
      <w:r>
        <w:t xml:space="preserve"> </w:t>
      </w:r>
      <w:r>
        <w:t xml:space="preserve">survey completion status. Week-over-week deltas are computed to capture</w:t>
      </w:r>
      <w:r>
        <w:t xml:space="preserve"> </w:t>
      </w:r>
      <w:r>
        <w:t xml:space="preserve">deterioration trends. Missingness is represented explicitly rather than</w:t>
      </w:r>
      <w:r>
        <w:t xml:space="preserve"> </w:t>
      </w:r>
      <w:r>
        <w:t xml:space="preserve">imputed, as absent data carries clinical</w:t>
      </w:r>
      <w:r>
        <w:t xml:space="preserve"> </w:t>
      </w:r>
      <w:r>
        <w:t xml:space="preserve">significance </w:t>
      </w:r>
      <w:r>
        <w:t xml:space="preserve">. The resulting weekly row serves as</w:t>
      </w:r>
      <w:r>
        <w:t xml:space="preserve"> </w:t>
      </w:r>
      <w:r>
        <w:t xml:space="preserve">the unified input to the AI risk-scoring framework described</w:t>
      </w:r>
      <w:r>
        <w:t xml:space="preserve"> </w:t>
      </w:r>
      <w:r>
        <w:t xml:space="preserve">in </w:t>
      </w:r>
      <w:r>
        <w:t xml:space="preserve">.</w:t>
      </w:r>
    </w:p>
    <w:bookmarkEnd w:id="20"/>
    <w:bookmarkStart w:id="21" w:name="rest-api-and-separation-of-concerns"/>
    <w:p>
      <w:pPr>
        <w:pStyle w:val="Heading2"/>
      </w:pPr>
      <w:r>
        <w:t xml:space="preserve">REST API and Separation of Concerns</w:t>
      </w:r>
    </w:p>
    <w:p>
      <w:pPr>
        <w:pStyle w:val="FirstParagraph"/>
      </w:pPr>
      <w:r>
        <w:t xml:space="preserve">The backend exposes domain-specific endpoints organized under nine</w:t>
      </w:r>
      <w:r>
        <w:t xml:space="preserve"> </w:t>
      </w:r>
      <w:r>
        <w:t xml:space="preserve">router groups: patients, CPAP sessions, biomarkers, surveys,</w:t>
      </w:r>
      <w:r>
        <w:t xml:space="preserve"> </w:t>
      </w:r>
      <w:r>
        <w:t xml:space="preserve">interventions, weekly state, devices, dashboard aggregations, and</w:t>
      </w:r>
      <w:r>
        <w:t xml:space="preserve"> </w:t>
      </w:r>
      <w:r>
        <w:t xml:space="preserve">auxiliary utilities. The API contract was defined and delivered to the</w:t>
      </w:r>
      <w:r>
        <w:t xml:space="preserve"> </w:t>
      </w:r>
      <w:r>
        <w:t xml:space="preserve">frontend developer prior to backend implementation, enabling parallel</w:t>
      </w:r>
      <w:r>
        <w:t xml:space="preserve"> </w:t>
      </w:r>
      <w:r>
        <w:t xml:space="preserve">development streams. The architecture enforces a strict separation of</w:t>
      </w:r>
      <w:r>
        <w:t xml:space="preserve"> </w:t>
      </w:r>
      <w:r>
        <w:t xml:space="preserve">concerns: the ingestion layer writes raw data to persistence; the</w:t>
      </w:r>
      <w:r>
        <w:t xml:space="preserve"> </w:t>
      </w:r>
      <w:r>
        <w:t xml:space="preserve">aggregation pipeline reads raw tables and writes weekly state; the AI</w:t>
      </w:r>
      <w:r>
        <w:t xml:space="preserve"> </w:t>
      </w:r>
      <w:r>
        <w:t xml:space="preserve">layer reads features and writes risk outputs back; and the frontend</w:t>
      </w:r>
      <w:r>
        <w:t xml:space="preserve"> </w:t>
      </w:r>
      <w:r>
        <w:t xml:space="preserve">consumes data solely through the API, never directly accessing</w:t>
      </w:r>
      <w:r>
        <w:t xml:space="preserve"> </w:t>
      </w:r>
      <w:r>
        <w:t xml:space="preserve">lower-level tables or raw payloads. This separation preserves parity</w:t>
      </w:r>
      <w:r>
        <w:t xml:space="preserve"> </w:t>
      </w:r>
      <w:r>
        <w:t xml:space="preserve">across role-specific interfaces and supports</w:t>
      </w:r>
      <w:r>
        <w:t xml:space="preserve"> </w:t>
      </w:r>
      <w:r>
        <w:t xml:space="preserve">auditability </w:t>
      </w:r>
      <w:r>
        <w:t xml:space="preserve">.</w:t>
      </w:r>
    </w:p>
    <w:bookmarkEnd w:id="21"/>
    <w:bookmarkEnd w:id="22"/>
    <w:bookmarkStart w:id="38" w:name="role-based-clinical-dashboard-design"/>
    <w:p>
      <w:pPr>
        <w:pStyle w:val="Heading1"/>
      </w:pPr>
      <w:r>
        <w:t xml:space="preserve">Role-Based Clinical Dashboard Design</w:t>
      </w:r>
    </w:p>
    <w:bookmarkStart w:id="27" w:name="physician-portal"/>
    <w:p>
      <w:pPr>
        <w:pStyle w:val="Heading2"/>
      </w:pPr>
      <w:r>
        <w:t xml:space="preserve">Physician Portal</w:t>
      </w:r>
    </w:p>
    <w:p>
      <w:pPr>
        <w:pStyle w:val="FirstParagraph"/>
      </w:pPr>
      <w:r>
        <w:t xml:space="preserve">The physician interface is implemented as an exception-based dashboard</w:t>
      </w:r>
      <w:r>
        <w:t xml:space="preserve"> </w:t>
      </w:r>
      <w:r>
        <w:t xml:space="preserve">that minimizes cognitive load by surfacing only patients who require</w:t>
      </w:r>
      <w:r>
        <w:t xml:space="preserve"> </w:t>
      </w:r>
      <w:r>
        <w:t xml:space="preserve">clinical attention </w:t>
      </w:r>
      <w:r>
        <w:t xml:space="preserve">. Instead of exposing all</w:t>
      </w:r>
      <w:r>
        <w:t xml:space="preserve"> </w:t>
      </w:r>
      <w:r>
        <w:t xml:space="preserve">telemetry detail, it highlights patients for whom AI-based escalation</w:t>
      </w:r>
      <w:r>
        <w:t xml:space="preserve"> </w:t>
      </w:r>
      <w:r>
        <w:t xml:space="preserve">thresholds are triggered (Risk 8+ or complex AHI alerts), interventions</w:t>
      </w:r>
      <w:r>
        <w:t xml:space="preserve"> </w:t>
      </w:r>
      <w:r>
        <w:t xml:space="preserve">attempted over recent weeks, and summary trends in CPAP usage,</w:t>
      </w:r>
      <w:r>
        <w:t xml:space="preserve"> </w:t>
      </w:r>
      <w:r>
        <w:t xml:space="preserve">AHI-related indices, and relevant biomarker</w:t>
      </w:r>
      <w:r>
        <w:t xml:space="preserve"> </w:t>
      </w:r>
      <w:r>
        <w:t xml:space="preserve">availability </w:t>
      </w:r>
      <w:r>
        <w:t xml:space="preserve">. The escalation workflow, shown in</w:t>
      </w:r>
      <w:r>
        <w:t xml:space="preserve"> </w:t>
      </w:r>
      <w:r>
        <w:t xml:space="preserve">Fig. </w:t>
      </w:r>
      <w:hyperlink w:anchor="fig:physician">
        <w:r>
          <w:rPr>
            <w:rStyle w:val="Hyperlink"/>
          </w:rPr>
          <w:t xml:space="preserve">2</w:t>
        </w:r>
      </w:hyperlink>
      <w:r>
        <w:t xml:space="preserve">, illustrates how the physician navigates from</w:t>
      </w:r>
      <w:r>
        <w:t xml:space="preserve"> </w:t>
      </w:r>
      <w:r>
        <w:t xml:space="preserve">the exception inbox through deep-dive context review to therapy</w:t>
      </w:r>
      <w:r>
        <w:t xml:space="preserve"> </w:t>
      </w:r>
      <w:r>
        <w:t xml:space="preserve">authorization.</w:t>
      </w:r>
    </w:p>
    <w:bookmarkStart w:id="26" w:name="fig:physician"/>
    <w:p>
      <w:pPr>
        <w:pStyle w:val="CaptionedFigure"/>
      </w:pPr>
      <w:r>
        <w:drawing>
          <wp:inline>
            <wp:extent cx="5334000" cy="377298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_physicia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Physician Escalation Workflow — Sequence diagram showing</w:t>
      </w:r>
      <w:r>
        <w:t xml:space="preserve"> </w:t>
      </w:r>
      <w:r>
        <w:t xml:space="preserve">the flow from opening the exception-based inbox, reviewing clinical</w:t>
      </w:r>
      <w:r>
        <w:t xml:space="preserve"> </w:t>
      </w:r>
      <w:r>
        <w:t xml:space="preserve">context, verifying exhausted interventions, to authorizing alternative</w:t>
      </w:r>
      <w:r>
        <w:t xml:space="preserve"> </w:t>
      </w:r>
      <w:r>
        <w:t xml:space="preserve">therapy (MAD/HNS) via digital seal.</w:t>
      </w:r>
    </w:p>
    <w:bookmarkEnd w:id="26"/>
    <w:bookmarkEnd w:id="27"/>
    <w:bookmarkStart w:id="32" w:name="technician-portal"/>
    <w:p>
      <w:pPr>
        <w:pStyle w:val="Heading2"/>
      </w:pPr>
      <w:r>
        <w:t xml:space="preserve">Technician Portal</w:t>
      </w:r>
    </w:p>
    <w:p>
      <w:pPr>
        <w:pStyle w:val="FirstParagraph"/>
      </w:pPr>
      <w:r>
        <w:t xml:space="preserve">The technician interface focuses on operational follow-up,</w:t>
      </w:r>
      <w:r>
        <w:t xml:space="preserve"> </w:t>
      </w:r>
      <w:r>
        <w:t xml:space="preserve">troubleshooting, and workflow prioritization. It reflects the practical</w:t>
      </w:r>
      <w:r>
        <w:t xml:space="preserve"> </w:t>
      </w:r>
      <w:r>
        <w:t xml:space="preserve">reality that many adherence barriers arise from mask discomfort,</w:t>
      </w:r>
      <w:r>
        <w:t xml:space="preserve"> </w:t>
      </w:r>
      <w:r>
        <w:t xml:space="preserve">equipment issues, and uncompleted follow-up rather than isolated</w:t>
      </w:r>
      <w:r>
        <w:t xml:space="preserve"> </w:t>
      </w:r>
      <w:r>
        <w:t xml:space="preserve">clinical events </w:t>
      </w:r>
      <w:r>
        <w:t xml:space="preserve">. The portal supports a priority queue</w:t>
      </w:r>
      <w:r>
        <w:t xml:space="preserve"> </w:t>
      </w:r>
      <w:r>
        <w:t xml:space="preserve">ordered by risk profile (Risk 3–6) and recent deterioration signals,</w:t>
      </w:r>
      <w:r>
        <w:t xml:space="preserve"> </w:t>
      </w:r>
      <w:r>
        <w:t xml:space="preserve">Visit Prep Cards detailing specific mechanical failures, a Device</w:t>
      </w:r>
      <w:r>
        <w:t xml:space="preserve"> </w:t>
      </w:r>
      <w:r>
        <w:t xml:space="preserve">Logistics Tracker linking patients to device serial numbers and</w:t>
      </w:r>
      <w:r>
        <w:t xml:space="preserve"> </w:t>
      </w:r>
      <w:r>
        <w:t xml:space="preserve">replacement schedules, and an internal 8-type intervention taxonomy that</w:t>
      </w:r>
      <w:r>
        <w:t xml:space="preserve"> </w:t>
      </w:r>
      <w:r>
        <w:t xml:space="preserve">structures technician actions </w:t>
      </w:r>
      <w:r>
        <w:t xml:space="preserve">. The technician</w:t>
      </w:r>
      <w:r>
        <w:t xml:space="preserve"> </w:t>
      </w:r>
      <w:r>
        <w:t xml:space="preserve">dispatch workflow is shown in Fig. </w:t>
      </w:r>
      <w:hyperlink w:anchor="fig:technician">
        <w:r>
          <w:rPr>
            <w:rStyle w:val="Hyperlink"/>
          </w:rPr>
          <w:t xml:space="preserve">3</w:t>
        </w:r>
      </w:hyperlink>
      <w:r>
        <w:t xml:space="preserve">.</w:t>
      </w:r>
    </w:p>
    <w:bookmarkStart w:id="31" w:name="fig:technician"/>
    <w:p>
      <w:pPr>
        <w:pStyle w:val="CaptionedFigure"/>
      </w:pPr>
      <w:r>
        <w:drawing>
          <wp:inline>
            <wp:extent cx="5334000" cy="447076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_technicia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0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Technician Dispatch Workflow — Sequence diagram showing</w:t>
      </w:r>
      <w:r>
        <w:t xml:space="preserve"> </w:t>
      </w:r>
      <w:r>
        <w:t xml:space="preserve">the flow from opening the unified priority queue, reviewing the Visit</w:t>
      </w:r>
      <w:r>
        <w:t xml:space="preserve"> </w:t>
      </w:r>
      <w:r>
        <w:t xml:space="preserve">Prep Card, performing a remote call or home visit, logging an 8-type</w:t>
      </w:r>
      <w:r>
        <w:t xml:space="preserve"> </w:t>
      </w:r>
      <w:r>
        <w:t xml:space="preserve">intervention, and triggering AI risk score recalculation.</w:t>
      </w:r>
    </w:p>
    <w:bookmarkEnd w:id="31"/>
    <w:bookmarkEnd w:id="32"/>
    <w:bookmarkStart w:id="37" w:name="patient-portal"/>
    <w:p>
      <w:pPr>
        <w:pStyle w:val="Heading2"/>
      </w:pPr>
      <w:r>
        <w:t xml:space="preserve">Patient Portal</w:t>
      </w:r>
    </w:p>
    <w:p>
      <w:pPr>
        <w:pStyle w:val="FirstParagraph"/>
      </w:pPr>
      <w:r>
        <w:t xml:space="preserve">The patient interface emphasizes simplicity, low-friction reporting, and</w:t>
      </w:r>
      <w:r>
        <w:t xml:space="preserve"> </w:t>
      </w:r>
      <w:r>
        <w:t xml:space="preserve">guided next steps. It supports visual progress cards showing usage and</w:t>
      </w:r>
      <w:r>
        <w:t xml:space="preserve"> </w:t>
      </w:r>
      <w:r>
        <w:t xml:space="preserve">symptom trends, milestone-guided surveys, and a Next Step Card that</w:t>
      </w:r>
      <w:r>
        <w:t xml:space="preserve"> </w:t>
      </w:r>
      <w:r>
        <w:t xml:space="preserve">recommends concrete actions such as mask fitting adjustment or device</w:t>
      </w:r>
      <w:r>
        <w:t xml:space="preserve"> </w:t>
      </w:r>
      <w:r>
        <w:t xml:space="preserve">check </w:t>
      </w:r>
      <w:r>
        <w:t xml:space="preserve">. Self-reported signals feed immediately back</w:t>
      </w:r>
      <w:r>
        <w:t xml:space="preserve"> </w:t>
      </w:r>
      <w:r>
        <w:t xml:space="preserve">into the backend via a dual-routing mechanism that simultaneously routes</w:t>
      </w:r>
      <w:r>
        <w:t xml:space="preserve"> </w:t>
      </w:r>
      <w:r>
        <w:t xml:space="preserve">issues to the technician queue and triggers AI risk</w:t>
      </w:r>
      <w:r>
        <w:t xml:space="preserve"> </w:t>
      </w:r>
      <w:r>
        <w:t xml:space="preserve">recalculation </w:t>
      </w:r>
      <w:r>
        <w:t xml:space="preserve">. The patient self-report workflow is</w:t>
      </w:r>
      <w:r>
        <w:t xml:space="preserve"> </w:t>
      </w:r>
      <w:r>
        <w:t xml:space="preserve">illustrated in Fig. </w:t>
      </w:r>
      <w:hyperlink w:anchor="fig:patient">
        <w:r>
          <w:rPr>
            <w:rStyle w:val="Hyperlink"/>
          </w:rPr>
          <w:t xml:space="preserve">4</w:t>
        </w:r>
      </w:hyperlink>
      <w:r>
        <w:t xml:space="preserve">.</w:t>
      </w:r>
    </w:p>
    <w:bookmarkStart w:id="36" w:name="fig:patient"/>
    <w:p>
      <w:pPr>
        <w:pStyle w:val="CaptionedFigure"/>
      </w:pPr>
      <w:r>
        <w:drawing>
          <wp:inline>
            <wp:extent cx="5334000" cy="421373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_patien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 Self-Report Workflow — Sequence diagram showing</w:t>
      </w:r>
      <w:r>
        <w:t xml:space="preserve"> </w:t>
      </w:r>
      <w:r>
        <w:t xml:space="preserve">dual-routing of a support ticket to the technician queue and the AI</w:t>
      </w:r>
      <w:r>
        <w:t xml:space="preserve"> </w:t>
      </w:r>
      <w:r>
        <w:t xml:space="preserve">risk framework, proactive mechanical flag detection, contextual video</w:t>
      </w:r>
      <w:r>
        <w:t xml:space="preserve"> </w:t>
      </w:r>
      <w:r>
        <w:t xml:space="preserve">recommendations, and milestone survey scheduling.</w:t>
      </w:r>
    </w:p>
    <w:bookmarkEnd w:id="36"/>
    <w:bookmarkEnd w:id="37"/>
    <w:bookmarkEnd w:id="38"/>
    <w:bookmarkStart w:id="43" w:name="Xdd84f2a82bcb5dfdab8e5dbd331edec0a7d5cfa"/>
    <w:p>
      <w:pPr>
        <w:pStyle w:val="Heading1"/>
      </w:pPr>
      <w:r>
        <w:t xml:space="preserve">AI-Assisted Triage, Profiles, and Intervention Taxonomy</w:t>
      </w:r>
    </w:p>
    <w:bookmarkStart w:id="40" w:name="X894771420399a5ff5b70389332f4fb3bd24aaa6"/>
    <w:p>
      <w:pPr>
        <w:pStyle w:val="Heading2"/>
      </w:pPr>
      <w:r>
        <w:t xml:space="preserve">Weekly Composite Risk Score and Patient Profiles</w:t>
      </w:r>
    </w:p>
    <w:p>
      <w:pPr>
        <w:pStyle w:val="FirstParagraph"/>
      </w:pPr>
      <w:r>
        <w:t xml:space="preserve">At the heart of the system is an AI-assisted triage layer that reads the</w:t>
      </w:r>
      <w:r>
        <w:t xml:space="preserve"> </w:t>
      </w:r>
      <w:r>
        <w:t xml:space="preserve">weekly patient state and writes a Weekly Composite Risk Score (0–8+)</w:t>
      </w:r>
      <w:r>
        <w:t xml:space="preserve"> </w:t>
      </w:r>
      <w:r>
        <w:t xml:space="preserve">and associated patient profile </w:t>
      </w:r>
      <w:r>
        <w:t xml:space="preserve">. The framework</w:t>
      </w:r>
      <w:r>
        <w:t xml:space="preserve"> </w:t>
      </w:r>
      <w:r>
        <w:t xml:space="preserve">refines the traditional three usage-based adherence categories</w:t>
      </w:r>
      <w:r>
        <w:t xml:space="preserve"> </w:t>
      </w:r>
      <w:r>
        <w:t xml:space="preserve">(Adherent, Attempted, Non-Adherent) into six highly specific profiles</w:t>
      </w:r>
      <w:r>
        <w:t xml:space="preserve"> </w:t>
      </w:r>
      <w:r>
        <w:t xml:space="preserve">using advanced clustering of CPAP monitoring data, digital biomarkers,</w:t>
      </w:r>
      <w:r>
        <w:t xml:space="preserve"> </w:t>
      </w:r>
      <w:r>
        <w:t xml:space="preserve">and patient feedback </w:t>
      </w:r>
      <w:r>
        <w:t xml:space="preserve">. This</w:t>
      </w:r>
      <w:r>
        <w:t xml:space="preserve"> </w:t>
      </w:r>
      <w:r>
        <w:t xml:space="preserve">refinement enables the system to move away from generic follow-ups and</w:t>
      </w:r>
      <w:r>
        <w:t xml:space="preserve"> </w:t>
      </w:r>
      <w:r>
        <w:t xml:space="preserve">dynamically trigger the exact right level of intervention tailored to</w:t>
      </w:r>
      <w:r>
        <w:t xml:space="preserve"> </w:t>
      </w:r>
      <w:r>
        <w:t xml:space="preserve">the patient’s real-time physical and behavioral needs. The six profiles</w:t>
      </w:r>
      <w:r>
        <w:t xml:space="preserve"> </w:t>
      </w:r>
      <w:r>
        <w:t xml:space="preserve">are described in Table </w:t>
      </w:r>
      <w:hyperlink w:anchor="tab:profiles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39" w:name="tab:profiles"/>
    <w:p>
      <w:pPr>
        <w:pStyle w:val="TableCaption"/>
      </w:pPr>
      <w:r>
        <w:t xml:space="preserve">Six Patient Risk Profiles and Corresponding Actions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x Patient Risk Profiles and Corresponding Action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Adherent – Low Risk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4h/night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metrics. Low-intensity monitoring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Adherent – High Risk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4h/night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Physiological deterioration or behavioral frustration detected. Proactive therapy optimization.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Attempters – High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2–4h/night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early stage. Urgent targeted interventions to prevent dropout.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Attempters – Low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2–4h/night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Struggling but stable. Motivational and educational nudges to transition to full adherence.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Non-Adherent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2h/night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dropout risk. Immediate high-effort interventions or physician alert.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telemetry, surveys, or biomarker data. Data-collection and outreach priority.</w:t>
            </w:r>
          </w:p>
        </w:tc>
      </w:tr>
    </w:tbl>
    <w:bookmarkEnd w:id="39"/>
    <w:bookmarkEnd w:id="40"/>
    <w:bookmarkStart w:id="42" w:name="X5b69a2e115157760146fd59bd58b228f05d577c"/>
    <w:p>
      <w:pPr>
        <w:pStyle w:val="Heading2"/>
      </w:pPr>
      <w:r>
        <w:t xml:space="preserve">8-Type Intervention Taxonomy and Effort Levels</w:t>
      </w:r>
    </w:p>
    <w:p>
      <w:pPr>
        <w:pStyle w:val="FirstParagraph"/>
      </w:pPr>
      <w:r>
        <w:t xml:space="preserve">To structure follow-up actions and enable systematic analysis,</w:t>
      </w:r>
      <w:r>
        <w:t xml:space="preserve"> </w:t>
      </w:r>
      <w:r>
        <w:t xml:space="preserve">technicians operate within an 8-type intervention catalogue delivered</w:t>
      </w:r>
      <w:r>
        <w:t xml:space="preserve"> </w:t>
      </w:r>
      <w:r>
        <w:t xml:space="preserve">via three communication channels (Visit, Call, SMS) and formally</w:t>
      </w:r>
      <w:r>
        <w:t xml:space="preserve"> </w:t>
      </w:r>
      <w:r>
        <w:t xml:space="preserve">classified into five operational effort</w:t>
      </w:r>
      <w:r>
        <w:t xml:space="preserve"> </w:t>
      </w:r>
      <w:r>
        <w:t xml:space="preserve">levels </w:t>
      </w:r>
      <w:r>
        <w:t xml:space="preserve">. Efficacy is tracked via a</w:t>
      </w:r>
      <w:r>
        <w:t xml:space="preserve"> </w:t>
      </w:r>
      <w:r>
        <w:t xml:space="preserve">7-day symmetric window comparing metrics before and after each</w:t>
      </w:r>
      <w:r>
        <w:t xml:space="preserve"> </w:t>
      </w:r>
      <w:r>
        <w:t xml:space="preserve">intervention is logged </w:t>
      </w:r>
      <w:r>
        <w:t xml:space="preserve">. Table </w:t>
      </w:r>
      <w:hyperlink w:anchor="tab:taxonomy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presents the complete taxonomy.</w:t>
      </w:r>
    </w:p>
    <w:bookmarkStart w:id="41" w:name="tab:taxonomy"/>
    <w:p>
      <w:pPr>
        <w:pStyle w:val="TableCaption"/>
      </w:pPr>
      <w:r>
        <w:t xml:space="preserve">8-Type Intervention Taxonomy with Delivery Channels and Effort Levels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8-Type Intervention Taxonomy with Delivery Channels and Effort Level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 &amp; Codes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/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notification: push (LISA app), email, or SMS. Codes: O1 (compliance), O2 (leakage).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Motivational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/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Low-effort nudges for mid-range risk and plateauing usage.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Personalized phone/video call for compliance or leakage. Codes: O3 (compliance), O4 (leakage).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Supportive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patient contact to address emotional barriers and frustration.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 at Linde center or home. Troubleshoot masks, devices. Codes: O6, O7, O8.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Structured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 /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impact of prior actions within 7-day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Physician collaboration for severe AHI. Code: O5 (APPEL IAH AIRGENIOUS).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equipment dispatch. Codes: ET, EX (hardware replacement).</w:t>
            </w:r>
          </w:p>
        </w:tc>
      </w:tr>
    </w:tbl>
    <w:bookmarkEnd w:id="41"/>
    <w:bookmarkEnd w:id="42"/>
    <w:bookmarkEnd w:id="43"/>
    <w:bookmarkStart w:id="44" w:name="X7a93b2b13b8f24c6e5fb5841a7e657d0d11682a"/>
    <w:p>
      <w:pPr>
        <w:pStyle w:val="Heading1"/>
      </w:pPr>
      <w:r>
        <w:t xml:space="preserve">Validation Strategy and Expected Contributions</w:t>
      </w:r>
    </w:p>
    <w:p>
      <w:pPr>
        <w:pStyle w:val="FirstParagraph"/>
      </w:pPr>
      <w:r>
        <w:t xml:space="preserve">Because the present work is centered on architecture and workflow</w:t>
      </w:r>
      <w:r>
        <w:t xml:space="preserve"> </w:t>
      </w:r>
      <w:r>
        <w:t xml:space="preserve">design, validation is framed primarily at the system level rather than</w:t>
      </w:r>
      <w:r>
        <w:t xml:space="preserve"> </w:t>
      </w:r>
      <w:r>
        <w:t xml:space="preserve">as a completed clinical-outcomes trial. Three validation dimensions are</w:t>
      </w:r>
      <w:r>
        <w:t xml:space="preserve"> </w:t>
      </w:r>
      <w:r>
        <w:t xml:space="preserve">pursued:</w:t>
      </w:r>
      <w:r>
        <w:t xml:space="preserve"> </w:t>
      </w:r>
      <w:r>
        <w:rPr>
          <w:i/>
          <w:iCs/>
        </w:rPr>
        <w:t xml:space="preserve">Structural Validation</w:t>
      </w:r>
      <w:r>
        <w:t xml:space="preserve"> </w:t>
      </w:r>
      <w:r>
        <w:t xml:space="preserve">assesses whether the</w:t>
      </w:r>
      <w:r>
        <w:t xml:space="preserve"> </w:t>
      </w:r>
      <w:r>
        <w:t xml:space="preserve">contract-first backend and aggregation pipeline maintain consistent</w:t>
      </w:r>
      <w:r>
        <w:t xml:space="preserve"> </w:t>
      </w:r>
      <w:r>
        <w:t xml:space="preserve">state across all three role-specific</w:t>
      </w:r>
      <w:r>
        <w:t xml:space="preserve"> </w:t>
      </w:r>
      <w:r>
        <w:t xml:space="preserve">frontends </w:t>
      </w:r>
      <w:r>
        <w:t xml:space="preserve">;</w:t>
      </w:r>
      <w:r>
        <w:t xml:space="preserve"> </w:t>
      </w:r>
      <w:r>
        <w:rPr>
          <w:i/>
          <w:iCs/>
        </w:rPr>
        <w:t xml:space="preserve">Operational Validation</w:t>
      </w:r>
      <w:r>
        <w:t xml:space="preserve"> </w:t>
      </w:r>
      <w:r>
        <w:t xml:space="preserve">assesses whether the dashboard logic improves timeliness and</w:t>
      </w:r>
      <w:r>
        <w:t xml:space="preserve"> </w:t>
      </w:r>
      <w:r>
        <w:t xml:space="preserve">coordination of follow-up </w:t>
      </w:r>
      <w:r>
        <w:t xml:space="preserve">; and</w:t>
      </w:r>
      <w:r>
        <w:t xml:space="preserve"> </w:t>
      </w:r>
      <w:r>
        <w:rPr>
          <w:i/>
          <w:iCs/>
        </w:rPr>
        <w:t xml:space="preserve">Methodological Validation</w:t>
      </w:r>
      <w:r>
        <w:t xml:space="preserve"> </w:t>
      </w:r>
      <w:r>
        <w:t xml:space="preserve">assesses whether the platform</w:t>
      </w:r>
      <w:r>
        <w:t xml:space="preserve"> </w:t>
      </w:r>
      <w:r>
        <w:t xml:space="preserve">provides a reliable substrate for future evaluation of clustering models</w:t>
      </w:r>
      <w:r>
        <w:t xml:space="preserve"> </w:t>
      </w:r>
      <w:r>
        <w:t xml:space="preserve">and biomarker-driven</w:t>
      </w:r>
      <w:r>
        <w:t xml:space="preserve"> </w:t>
      </w:r>
      <w:r>
        <w:t xml:space="preserve">adaptation </w:t>
      </w:r>
      <w:r>
        <w:t xml:space="preserve">.</w:t>
      </w:r>
    </w:p>
    <w:p>
      <w:pPr>
        <w:pStyle w:val="BodyText"/>
      </w:pPr>
      <w:r>
        <w:t xml:space="preserve">The expected contributions are threefold. First, a concrete</w:t>
      </w:r>
      <w:r>
        <w:t xml:space="preserve"> </w:t>
      </w:r>
      <w:r>
        <w:t xml:space="preserve">software-engineering architecture for personalized CPAP follow-up under</w:t>
      </w:r>
      <w:r>
        <w:t xml:space="preserve"> </w:t>
      </w:r>
      <w:r>
        <w:t xml:space="preserve">real homecare constraints, integrating multi-vendor telemetry with Linde</w:t>
      </w:r>
      <w:r>
        <w:t xml:space="preserve"> </w:t>
      </w:r>
      <w:r>
        <w:t xml:space="preserve">Homecare workflows </w:t>
      </w:r>
      <w:r>
        <w:t xml:space="preserve">. Second, a translation of</w:t>
      </w:r>
      <w:r>
        <w:t xml:space="preserve"> </w:t>
      </w:r>
      <w:r>
        <w:t xml:space="preserve">integrated-feedback and digital-biomarker research into an operational</w:t>
      </w:r>
      <w:r>
        <w:t xml:space="preserve"> </w:t>
      </w:r>
      <w:r>
        <w:t xml:space="preserve">dashboard workflow implementable across</w:t>
      </w:r>
      <w:r>
        <w:t xml:space="preserve"> </w:t>
      </w:r>
      <w:r>
        <w:t xml:space="preserve">roles </w:t>
      </w:r>
      <w:r>
        <w:t xml:space="preserve">. Third, a</w:t>
      </w:r>
      <w:r>
        <w:t xml:space="preserve"> </w:t>
      </w:r>
      <w:r>
        <w:t xml:space="preserve">reusable design pattern combining raw medical-device integration, weekly</w:t>
      </w:r>
      <w:r>
        <w:t xml:space="preserve"> </w:t>
      </w:r>
      <w:r>
        <w:t xml:space="preserve">state aggregation, AI-assisted prioritization, and role-based interface</w:t>
      </w:r>
      <w:r>
        <w:t xml:space="preserve"> </w:t>
      </w:r>
      <w:r>
        <w:t xml:space="preserve">design within a single clinical platform </w:t>
      </w:r>
      <w:r>
        <w:t xml:space="preserve">.</w:t>
      </w:r>
    </w:p>
    <w:bookmarkEnd w:id="44"/>
    <w:bookmarkStart w:id="4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paper presents SleepCare as a role-based clinical dashboard</w:t>
      </w:r>
      <w:r>
        <w:t xml:space="preserve"> </w:t>
      </w:r>
      <w:r>
        <w:t xml:space="preserve">architecture for personalized CPAP therapy that centers on</w:t>
      </w:r>
      <w:r>
        <w:t xml:space="preserve"> </w:t>
      </w:r>
      <w:r>
        <w:t xml:space="preserve">backend-frontend parity, multi-source integration, and AI-assisted</w:t>
      </w:r>
      <w:r>
        <w:t xml:space="preserve"> </w:t>
      </w:r>
      <w:r>
        <w:t xml:space="preserve">workflow support. The framework is grounded in established adherence</w:t>
      </w:r>
      <w:r>
        <w:t xml:space="preserve"> </w:t>
      </w:r>
      <w:r>
        <w:t xml:space="preserve">literature and recent studies on adaptive OSA management, but its main</w:t>
      </w:r>
      <w:r>
        <w:t xml:space="preserve"> </w:t>
      </w:r>
      <w:r>
        <w:t xml:space="preserve">contribution is not a finalized predictive model; it is a scalable</w:t>
      </w:r>
      <w:r>
        <w:t xml:space="preserve"> </w:t>
      </w:r>
      <w:r>
        <w:t xml:space="preserve">engineering structure that can underpin earlier intervention, reduced</w:t>
      </w:r>
      <w:r>
        <w:t xml:space="preserve"> </w:t>
      </w:r>
      <w:r>
        <w:t xml:space="preserve">information asymmetry, and more coherent follow-up for homecare OSA</w:t>
      </w:r>
      <w:r>
        <w:t xml:space="preserve"> </w:t>
      </w:r>
      <w:r>
        <w:t xml:space="preserve">management </w:t>
      </w:r>
      <w:r>
        <w:t xml:space="preserve">. Future</w:t>
      </w:r>
      <w:r>
        <w:t xml:space="preserve"> </w:t>
      </w:r>
      <w:r>
        <w:t xml:space="preserve">work includes usability testing with technicians, longitudinal</w:t>
      </w:r>
      <w:r>
        <w:t xml:space="preserve"> </w:t>
      </w:r>
      <w:r>
        <w:t xml:space="preserve">evaluation of clustering performance, and integration with national or</w:t>
      </w:r>
      <w:r>
        <w:t xml:space="preserve"> </w:t>
      </w:r>
      <w:r>
        <w:t xml:space="preserve">institutional CPAP registries to assess the impact of the architecture</w:t>
      </w:r>
      <w:r>
        <w:t xml:space="preserve"> </w:t>
      </w:r>
      <w:r>
        <w:t xml:space="preserve">at scale </w:t>
      </w:r>
      <w:r>
        <w:t xml:space="preserve">.</w:t>
      </w:r>
    </w:p>
    <w:bookmarkEnd w:id="45"/>
    <w:bookmarkStart w:id="47" w:name="acknowledgment"/>
    <w:p>
      <w:pPr>
        <w:pStyle w:val="Heading1"/>
      </w:pPr>
      <w:r>
        <w:t xml:space="preserve">Acknowledgment</w:t>
      </w:r>
    </w:p>
    <w:p>
      <w:pPr>
        <w:pStyle w:val="FirstParagraph"/>
      </w:pPr>
      <w:r>
        <w:t xml:space="preserve">This paper presents results developed in collaboration between Linde</w:t>
      </w:r>
      <w:r>
        <w:t xml:space="preserve"> </w:t>
      </w:r>
      <w:r>
        <w:t xml:space="preserve">Homecare France and the University Lumière Lyon 2, DISP Lab.</w:t>
      </w:r>
      <w:r>
        <w:t xml:space="preserve"> </w:t>
      </w:r>
      <w:r>
        <w:t xml:space="preserve">The content reflects an R&amp;D initiative promoted by Linde Homecare</w:t>
      </w:r>
      <w:r>
        <w:t xml:space="preserve"> </w:t>
      </w:r>
      <w:r>
        <w:t xml:space="preserve">France. Responsibility for the information and views expressed lies</w:t>
      </w:r>
      <w:r>
        <w:t xml:space="preserve"> </w:t>
      </w:r>
      <w:r>
        <w:t xml:space="preserve">entirely with the authors.</w:t>
      </w:r>
    </w:p>
    <w:p>
      <w:pPr>
        <w:pStyle w:val="BodyText"/>
      </w:pPr>
      <w:r>
        <w:t xml:space="preserve">00</w:t>
      </w:r>
    </w:p>
    <w:p>
      <w:pPr>
        <w:pStyle w:val="BodyText"/>
      </w:pPr>
      <w:r>
        <w:t xml:space="preserve">T. E. Weaver and R. R. Grunstein,</w:t>
      </w:r>
      <w:r>
        <w:t xml:space="preserve"> </w:t>
      </w:r>
      <w:r>
        <w:t xml:space="preserve">“Adherence to continuous positive airway pressure therapy: the</w:t>
      </w:r>
      <w:r>
        <w:t xml:space="preserve"> </w:t>
      </w:r>
      <w:r>
        <w:t xml:space="preserve">challenge to effective treatment,”</w:t>
      </w:r>
      <w:r>
        <w:t xml:space="preserve"> </w:t>
      </w:r>
      <w:r>
        <w:rPr>
          <w:i/>
          <w:iCs/>
        </w:rPr>
        <w:t xml:space="preserve">Proc. Am. Thorac. Soc.</w:t>
      </w:r>
      <w:r>
        <w:t xml:space="preserve">, vol. 5, no. 2, pp. 173–178,</w:t>
      </w:r>
      <w:r>
        <w:t xml:space="preserve"> </w:t>
      </w:r>
      <w:r>
        <w:t xml:space="preserve">Feb. 2008.</w:t>
      </w:r>
    </w:p>
    <w:p>
      <w:pPr>
        <w:pStyle w:val="BodyText"/>
      </w:pPr>
      <w:r>
        <w:t xml:space="preserve">D. Dowding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“Dashboards for improving patient care: review of the literature,”</w:t>
      </w:r>
      <w:r>
        <w:t xml:space="preserve"> </w:t>
      </w:r>
      <w:r>
        <w:rPr>
          <w:i/>
          <w:iCs/>
        </w:rPr>
        <w:t xml:space="preserve">Int. J. Med. Inform.</w:t>
      </w:r>
      <w:r>
        <w:t xml:space="preserve">, vol. 84, no. 2, pp. 87–100,</w:t>
      </w:r>
      <w:r>
        <w:t xml:space="preserve"> </w:t>
      </w:r>
      <w:r>
        <w:t xml:space="preserve">Feb. 2015.</w:t>
      </w:r>
    </w:p>
    <w:p>
      <w:pPr>
        <w:pStyle w:val="BodyText"/>
      </w:pPr>
      <w:r>
        <w:t xml:space="preserve">Y. Kakaei Siahkal, N. Moalla, A. Sekhari, T. Wang, and O. Grasset,</w:t>
      </w:r>
      <w:r>
        <w:t xml:space="preserve"> </w:t>
      </w:r>
      <w:r>
        <w:t xml:space="preserve">“CPAP adherence improvement for OSA patients through integrated</w:t>
      </w:r>
      <w:r>
        <w:t xml:space="preserve"> </w:t>
      </w:r>
      <w:r>
        <w:t xml:space="preserve">feedback systems,”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Int. Conf. Biomed. Health Inform. (BHI)</w:t>
      </w:r>
      <w:r>
        <w:t xml:space="preserve">, 2024,</w:t>
      </w:r>
      <w:r>
        <w:t xml:space="preserve"> </w:t>
      </w:r>
      <w:r>
        <w:t xml:space="preserve">pp. 1–8.</w:t>
      </w:r>
    </w:p>
    <w:p>
      <w:pPr>
        <w:pStyle w:val="BodyText"/>
      </w:pPr>
      <w:r>
        <w:t xml:space="preserve">Y. Kakaei Siahkal, N. Moalla, A. Seklouli-Sekhari, T. Wang, and</w:t>
      </w:r>
      <w:r>
        <w:t xml:space="preserve"> </w:t>
      </w:r>
      <w:r>
        <w:t xml:space="preserve">O. Grasset,</w:t>
      </w:r>
      <w:r>
        <w:t xml:space="preserve"> </w:t>
      </w:r>
      <w:r>
        <w:t xml:space="preserve">“Integrating digital biomarkers with feedback-driven clustering for</w:t>
      </w:r>
      <w:r>
        <w:t xml:space="preserve"> </w:t>
      </w:r>
      <w:r>
        <w:t xml:space="preserve">optimized CPAP adherence in OSA management,”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Int. Symp. Signal Image Technol. Internet-Based</w:t>
      </w:r>
      <w:r>
        <w:rPr>
          <w:i/>
          <w:iCs/>
        </w:rPr>
        <w:t xml:space="preserve"> </w:t>
      </w:r>
      <w:r>
        <w:rPr>
          <w:i/>
          <w:iCs/>
        </w:rPr>
        <w:t xml:space="preserve">Syst. (SKIMA)</w:t>
      </w:r>
      <w:r>
        <w:t xml:space="preserve">, 2025.</w:t>
      </w:r>
    </w:p>
    <w:p>
      <w:pPr>
        <w:pStyle w:val="BodyText"/>
      </w:pPr>
      <w:r>
        <w:t xml:space="preserve">Y. Kakaei Siahkal, N. Moalla, A. Seklouli-Sekhari, T. Wang, and</w:t>
      </w:r>
      <w:r>
        <w:t xml:space="preserve"> </w:t>
      </w:r>
      <w:r>
        <w:t xml:space="preserve">O. Grasset,</w:t>
      </w:r>
      <w:r>
        <w:t xml:space="preserve"> </w:t>
      </w:r>
      <w:r>
        <w:t xml:space="preserve">“Dynamic portfolio for personalized CPAP treatment: adaptive digital</w:t>
      </w:r>
      <w:r>
        <w:t xml:space="preserve"> </w:t>
      </w:r>
      <w:r>
        <w:t xml:space="preserve">biomarker-driven strategies across the OSA care pathway,”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Int. Symp. Comput.-Based Med. Syst. (CBMS)</w:t>
      </w:r>
      <w:r>
        <w:t xml:space="preserve">,</w:t>
      </w:r>
      <w:r>
        <w:t xml:space="preserve"> </w:t>
      </w:r>
      <w:r>
        <w:t xml:space="preserve">2025. [Online]. Available:</w:t>
      </w:r>
      <w:r>
        <w:t xml:space="preserve"> </w:t>
      </w:r>
      <w:hyperlink r:id="rId46">
        <w:r>
          <w:rPr>
            <w:rStyle w:val="Hyperlink"/>
          </w:rPr>
          <w:t xml:space="preserve">https://hal.science/hal-05082782</w:t>
        </w:r>
      </w:hyperlink>
    </w:p>
    <w:p>
      <w:pPr>
        <w:pStyle w:val="BodyText"/>
      </w:pPr>
      <w:r>
        <w:t xml:space="preserve">R. N. Aurora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“Clinical guideline for the evaluation, management and long-term care</w:t>
      </w:r>
      <w:r>
        <w:t xml:space="preserve"> </w:t>
      </w:r>
      <w:r>
        <w:t xml:space="preserve">of obstructive sleep apnea in adults,”</w:t>
      </w:r>
      <w:r>
        <w:t xml:space="preserve"> </w:t>
      </w:r>
      <w:r>
        <w:rPr>
          <w:i/>
          <w:iCs/>
        </w:rPr>
        <w:t xml:space="preserve">J. Clin. Sleep Med.</w:t>
      </w:r>
      <w:r>
        <w:t xml:space="preserve">, vol. 5, no. 3, pp. 263–276, Jun. 2009.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12" Target="media/rId12.png" /><Relationship Type="http://schemas.openxmlformats.org/officeDocument/2006/relationships/hyperlink" Id="rId46" Target="https://hal.science/hal-0508278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hal.science/hal-0508278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Evaluating Digital Biomarker Implementation in Personalized CPAP Therapy via a Role-Based Clinical Dashboard Architecture</dc:title>
  <dc:creator>; ; ; </dc:creator>
  <cp:keywords/>
  <dcterms:created xsi:type="dcterms:W3CDTF">2026-05-12T12:57:54Z</dcterms:created>
  <dcterms:modified xsi:type="dcterms:W3CDTF">2026-05-12T12:57:54Z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Obstructive Sleep Apnea (OSA) affects 17–34% of middle-aged adults and carries serious cardiovascular consequences. Continuous Positive Airway Pressure (CPAP) remains the gold standard treatment, yet 46–83% of patients fail to achieve adequate adherence within the first year . This paper presents SleepCare, a role-based clinical dashboard architecture developed in collaboration with Linde Homecare France that integrates CPAP telemetry from six data sources, digital biomarkers, intervention logs, and patient-reported outcomes through a contract-first backend API. The system generates a shared weekly patient state consumed by three distinct React/TypeScript portals—physician, technician, and patient—enabling synchronized views and AI-assisted triage without information asymmetry across roles. We validate the framework against four research questions concerning real-time data parity, predictive biomarker visualization, dynamic clustering, and event-driven intervention workflows.</vt:lpwstr>
  </property>
</Properties>
</file>