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u w:val="single"/>
        </w:rPr>
      </w:pPr>
      <w:bookmarkStart w:colFirst="0" w:colLast="0" w:name="_543vxynig0hs" w:id="0"/>
      <w:bookmarkEnd w:id="0"/>
      <w:r w:rsidDel="00000000" w:rsidR="00000000" w:rsidRPr="00000000">
        <w:rPr>
          <w:u w:val="single"/>
          <w:rtl w:val="0"/>
        </w:rPr>
        <w:t xml:space="preserve">Mohamad Ahsan and Santhan :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Abisahi : Refer the pre-experimentation for methodological implementation guide.</w:t>
        <w:br w:type="textWrapping"/>
        <w:t xml:space="preserve">Pre-experimentation was the calibration phase, figuring out what the lab can measure, what stresser tooling actually creates faults, what methodology produces reliable data, what signals carry information versus noise.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Don't think that as the general case for every Kubernetes setup as I ran that in my personal linux machine in a synthetic traffic.Look at the consolidated findings for final synthesis.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txtncfuaekre" w:id="1"/>
      <w:bookmarkEnd w:id="1"/>
      <w:r w:rsidDel="00000000" w:rsidR="00000000" w:rsidRPr="00000000">
        <w:rPr>
          <w:b w:val="1"/>
          <w:bCs w:val="1"/>
          <w:color w:val="000000"/>
          <w:sz w:val="26"/>
          <w:szCs w:val="26"/>
          <w:rtl w:val="0"/>
        </w:rPr>
        <w:t xml:space="preserve">1. Data Ingestion &amp; Normalization Plane</w:t>
      </w:r>
    </w:p>
    <w:p w:rsidR="00000000" w:rsidDel="00000000" w:rsidP="00000000" w:rsidRDefault="00000000" w:rsidRPr="00000000" w14:paraId="00000009">
      <w:pPr>
        <w:spacing w:after="240" w:before="240" w:lineRule="auto"/>
        <w:rPr/>
      </w:pPr>
      <w:r w:rsidDel="00000000" w:rsidR="00000000" w:rsidRPr="00000000">
        <w:rPr>
          <w:rtl w:val="0"/>
        </w:rPr>
        <w:t xml:space="preserve">Everything between the customer's cluster and the backend. Owns the integration surface with heterogeneous environments and produces the canonical observation stream that both downstream layers consume.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In scope.</w:t>
      </w:r>
      <w:r w:rsidDel="00000000" w:rsidR="00000000" w:rsidRPr="00000000">
        <w:rPr>
          <w:rtl w:val="0"/>
        </w:rPr>
        <w:t xml:space="preserve"> Customer-side agent topology (DaemonSet for per-node observation, Deployment for collection and forwarding); source adapters (K8s API, Prometheus or equivalent, kubelet, log aggregators, service-mesh telemetry, eBPF as premium tier); schema normalization to a canonical form with capability-degradation reporting where critical metrics are missing; operator-controlled stream toggling and custom-metric mapping; authenticated transport and tenancy isolation; tier definitions (K8s API minimum, service-mesh recommended, eBPF premium).</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Interfaces out.</w:t>
      </w:r>
      <w:r w:rsidDel="00000000" w:rsidR="00000000" w:rsidRPr="00000000">
        <w:rPr>
          <w:rFonts w:ascii="Arial Unicode MS" w:cs="Arial Unicode MS" w:eastAsia="Arial Unicode MS" w:hAnsi="Arial Unicode MS"/>
          <w:rtl w:val="0"/>
        </w:rPr>
        <w:t xml:space="preserve"> Normalized observation stream → Component 2 and Component 3. Capability and coverage metadata → Component 4 (surfaced during onboarding). Cluster mutation events (deploys, scaling, restarts) → Component 2 (for baseline reset).</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Interfaces in.</w:t>
      </w:r>
      <w:r w:rsidDel="00000000" w:rsidR="00000000" w:rsidRPr="00000000">
        <w:rPr>
          <w:rtl w:val="0"/>
        </w:rPr>
        <w:t xml:space="preserve"> Focus queries from Component 3 (raise observation fidelity for specific signals); stream toggles and schema mappings from Component 4.</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49rkgau57vb3" w:id="2"/>
      <w:bookmarkEnd w:id="2"/>
      <w:r w:rsidDel="00000000" w:rsidR="00000000" w:rsidRPr="00000000">
        <w:rPr>
          <w:b w:val="1"/>
          <w:bCs w:val="1"/>
          <w:color w:val="000000"/>
          <w:sz w:val="26"/>
          <w:szCs w:val="26"/>
          <w:rtl w:val="0"/>
        </w:rPr>
        <w:t xml:space="preserve">2. Statistical Forecasting Engine</w:t>
      </w:r>
    </w:p>
    <w:p w:rsidR="00000000" w:rsidDel="00000000" w:rsidP="00000000" w:rsidRDefault="00000000" w:rsidRPr="00000000" w14:paraId="0000000E">
      <w:pPr>
        <w:spacing w:after="240" w:before="240" w:lineRule="auto"/>
        <w:rPr/>
      </w:pPr>
      <w:r w:rsidDel="00000000" w:rsidR="00000000" w:rsidRPr="00000000">
        <w:rPr>
          <w:rtl w:val="0"/>
        </w:rPr>
        <w:t xml:space="preserve">The bounded statistical layer plus the playbook system. Forecasts whether each playbook's selected variables are entering known patterns and emits firing events. Does not perform attribution and does not write to the KG.</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In scope.</w:t>
      </w:r>
      <w:r w:rsidDel="00000000" w:rsidR="00000000" w:rsidRPr="00000000">
        <w:rPr>
          <w:rtl w:val="0"/>
        </w:rPr>
        <w:t xml:space="preserve"> Playbook definition schema (selected variables, detection algorithm, pattern signature reference, recommended-action reference); baseline calibration including pooled-σ across multiple baseline windows and mutation-triggered reset; detection algorithms (time-series methods, causal-inference techniques constrained by domain knowledge — used only for prediction over selected variables); online calibration to customer-specific baselines; confidence quantification on firings; the v1 playbook set (probe-cascade, CPU contention with workload coupling, OOM cascade, gRPC degradation under network impairment, storage queue saturation).</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Interfaces in.</w:t>
      </w:r>
      <w:r w:rsidDel="00000000" w:rsidR="00000000" w:rsidRPr="00000000">
        <w:rPr>
          <w:rtl w:val="0"/>
        </w:rPr>
        <w:t xml:space="preserve"> Normalized observations and cluster-mutation events from Component 1.</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Interfaces out.</w:t>
      </w:r>
      <w:r w:rsidDel="00000000" w:rsidR="00000000" w:rsidRPr="00000000">
        <w:rPr>
          <w:rFonts w:ascii="Arial Unicode MS" w:cs="Arial Unicode MS" w:eastAsia="Arial Unicode MS" w:hAnsi="Arial Unicode MS"/>
          <w:rtl w:val="0"/>
        </w:rPr>
        <w:t xml:space="preserve"> Playbook firing events → Component 3 (interpreter agents). Playbook artifacts (pattern signatures and recommended actions) → Component 3 for consumption during interpretation. Playbook enable/disable state ← Component 4.</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Title"/>
        <w:rPr>
          <w:u w:val="single"/>
        </w:rPr>
      </w:pPr>
      <w:bookmarkStart w:colFirst="0" w:colLast="0" w:name="_fczuzb1igen0" w:id="3"/>
      <w:bookmarkEnd w:id="3"/>
      <w:r w:rsidDel="00000000" w:rsidR="00000000" w:rsidRPr="00000000">
        <w:rPr>
          <w:u w:val="single"/>
          <w:rtl w:val="0"/>
        </w:rPr>
        <w:t xml:space="preserve">Abishai :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kzrr9wfon53q" w:id="4"/>
      <w:bookmarkEnd w:id="4"/>
      <w:r w:rsidDel="00000000" w:rsidR="00000000" w:rsidRPr="00000000">
        <w:rPr>
          <w:b w:val="1"/>
          <w:bCs w:val="1"/>
          <w:color w:val="000000"/>
          <w:sz w:val="26"/>
          <w:szCs w:val="26"/>
          <w:rtl w:val="0"/>
        </w:rPr>
        <w:t xml:space="preserve">3. Knowledge Graph &amp; Multi-Agent Reasoning</w:t>
      </w:r>
    </w:p>
    <w:p w:rsidR="00000000" w:rsidDel="00000000" w:rsidP="00000000" w:rsidRDefault="00000000" w:rsidRPr="00000000" w14:paraId="00000018">
      <w:pPr>
        <w:spacing w:after="240" w:before="240" w:lineRule="auto"/>
        <w:rPr/>
      </w:pPr>
      <w:r w:rsidDel="00000000" w:rsidR="00000000" w:rsidRPr="00000000">
        <w:rPr>
          <w:rtl w:val="0"/>
        </w:rPr>
        <w:t xml:space="preserve">The qualitative cognitive layer. Builds and maintains the live KG, interprets observations and playbook firings using domain knowledge, synthesizes cross-domain evidence, and exposes the chat backend. Evidence linking lives here because evidence is a first-class entity in the ontology and every KG mutation carries evidence references.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In scope.</w:t>
      </w:r>
      <w:r w:rsidDel="00000000" w:rsidR="00000000" w:rsidRPr="00000000">
        <w:rPr>
          <w:rtl w:val="0"/>
        </w:rPr>
        <w:t xml:space="preserve"> The two ship-side artifacts (ontology — entity types, relationship types, inference rules; pattern library — known signatures, fault-propagation pathways, discriminator templates, causal rules from domain knowledge); the three customer-side stores (semantic graph slow-update, quantitative state high-frequency with foreign keys back to the semantic graph, active prediction overlay); constructor agents (one per domain: CPU, memory, storage/PVC, network, log/IO — reactive, mutate own slice directly, emit typed cross-domain evidence); interpreter agents (proactive, react to playbook firings, produce structured insights with qualitative confidence and recommended action); master agent (cross-domain synthesis using domain-knowledge reasoning, focus queue / bidirectional attention, chat-interface backend, human escalation under reasoning uncertainty); evidence-as-first-class-entity infrastructure; component-scoped construction (cluster, node, pod, service).</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Interfaces in.</w:t>
      </w:r>
      <w:r w:rsidDel="00000000" w:rsidR="00000000" w:rsidRPr="00000000">
        <w:rPr>
          <w:rtl w:val="0"/>
        </w:rPr>
        <w:t xml:space="preserve"> Observations from Component 1; playbook firings and signatures from Component 2; operator chat queries and acknowledgments from Component 4.</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Interfaces out.</w:t>
      </w:r>
      <w:r w:rsidDel="00000000" w:rsidR="00000000" w:rsidRPr="00000000">
        <w:rPr>
          <w:rFonts w:ascii="Arial Unicode MS" w:cs="Arial Unicode MS" w:eastAsia="Arial Unicode MS" w:hAnsi="Arial Unicode MS"/>
          <w:rtl w:val="0"/>
        </w:rPr>
        <w:t xml:space="preserve"> KG state views, insight cards, evidence chains, escalation reports → Component 4. Focus queries → Component 1.</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Title"/>
        <w:rPr/>
      </w:pPr>
      <w:bookmarkStart w:colFirst="0" w:colLast="0" w:name="_u84s4c7m4mhx" w:id="5"/>
      <w:bookmarkEnd w:id="5"/>
      <w:r w:rsidDel="00000000" w:rsidR="00000000" w:rsidRPr="00000000">
        <w:rPr>
          <w:rtl w:val="0"/>
        </w:rPr>
        <w:t xml:space="preserve">Jai Surya :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rzlzgvo4u85a" w:id="6"/>
      <w:bookmarkEnd w:id="6"/>
      <w:r w:rsidDel="00000000" w:rsidR="00000000" w:rsidRPr="00000000">
        <w:rPr>
          <w:b w:val="1"/>
          <w:bCs w:val="1"/>
          <w:color w:val="000000"/>
          <w:sz w:val="26"/>
          <w:szCs w:val="26"/>
          <w:rtl w:val="0"/>
        </w:rPr>
        <w:t xml:space="preserve">4. Operator Experience</w:t>
      </w:r>
    </w:p>
    <w:p w:rsidR="00000000" w:rsidDel="00000000" w:rsidP="00000000" w:rsidRDefault="00000000" w:rsidRPr="00000000" w14:paraId="00000028">
      <w:pPr>
        <w:spacing w:after="240" w:before="240" w:lineRule="auto"/>
        <w:rPr/>
      </w:pPr>
      <w:r w:rsidDel="00000000" w:rsidR="00000000" w:rsidRPr="00000000">
        <w:rPr>
          <w:rtl w:val="0"/>
        </w:rPr>
        <w:t xml:space="preserve">Everything the operator sees and interacts with. Renders KG state and reasoning outputs, routes operator queries into the master agent, makes evidence universally clickable, and exposes the minimum viable configuration surfaces.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In scope.</w:t>
      </w:r>
      <w:r w:rsidDel="00000000" w:rsidR="00000000" w:rsidRPr="00000000">
        <w:rPr>
          <w:rFonts w:ascii="Arial Unicode MS" w:cs="Arial Unicode MS" w:eastAsia="Arial Unicode MS" w:hAnsi="Arial Unicode MS"/>
          <w:rtl w:val="0"/>
        </w:rPr>
        <w:t xml:space="preserve"> The six-step onboarding flow (sign-up → install → discovery → schema check → warmup → first insights); the five primary surfaces (cluster topology view as force-directed semantic graph with health coloring and overlay marks; insight feed with uniform card schema across playbooks; anomaly timeline; chat interface as primary navigation, with inline-linked entities; per-node and per-edge drill-down panes); the universal evidence-chain modal; configuration (playbook enable/disable and threshold adjustment, alert routing, schema mapping — minimal in v1); alert routing integrations (Slack, PagerDuty, email).</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Interfaces in.</w:t>
      </w:r>
      <w:r w:rsidDel="00000000" w:rsidR="00000000" w:rsidRPr="00000000">
        <w:rPr>
          <w:rtl w:val="0"/>
        </w:rPr>
        <w:t xml:space="preserve"> KG state, insights, escalation reports from Component 3; capability metadata from Component 1.</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Interfaces out.</w:t>
      </w:r>
      <w:r w:rsidDel="00000000" w:rsidR="00000000" w:rsidRPr="00000000">
        <w:rPr>
          <w:rFonts w:ascii="Arial Unicode MS" w:cs="Arial Unicode MS" w:eastAsia="Arial Unicode MS" w:hAnsi="Arial Unicode MS"/>
          <w:rtl w:val="0"/>
        </w:rPr>
        <w:t xml:space="preserve"> Chat queries → Component 3; configuration changes → Components 1 and 2.</w:t>
      </w:r>
    </w:p>
    <w:p w:rsidR="00000000" w:rsidDel="00000000" w:rsidP="00000000" w:rsidRDefault="00000000" w:rsidRPr="00000000" w14:paraId="0000002C">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