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EBFC0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Title: SecureText — Secure Communication Tool for Text Encryption and Decryption in Python</w:t>
      </w:r>
      <w:bookmarkStart w:id="0" w:name="fnref1:1"/>
      <w:bookmarkEnd w:id="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1A1E50B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Author: Mohammed Ahras Khan KP</w:t>
      </w:r>
      <w:bookmarkStart w:id="1" w:name="fnref5:1"/>
      <w:bookmarkEnd w:id="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[5]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0A4BD69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Stack: Python 3.6+, cryptography library, Tkinter GUI, client-side web app</w:t>
      </w:r>
      <w:bookmarkStart w:id="2" w:name="fnref6"/>
      <w:bookmarkEnd w:id="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[6]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3" w:name="fnref3:1"/>
      <w:bookmarkEnd w:id="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4" w:name="fnref1:2"/>
      <w:bookmarkEnd w:id="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16D101B5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Submission Type: Typed report (prepared for 5–10 page print)</w:t>
      </w:r>
      <w:bookmarkStart w:id="5" w:name="fnref1:3"/>
      <w:bookmarkEnd w:id="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663AB6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Abstract</w:t>
      </w:r>
    </w:p>
    <w:p w14:paraId="027D72A1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SecureText is a Python application that provides authenticated symmetric encryption using Fernet (AES-based) with PBKDF2-HMAC-SHA256 key derivation and asymmetric encryption using RSA-OAEP with 2048-bit keys, delivered via CLI, GUI, and web interfaces to support education, demos, and lightweight secure communication use-cases without server-side persistence.</w:t>
      </w:r>
      <w:bookmarkStart w:id="6" w:name="fnref2:1"/>
      <w:bookmarkEnd w:id="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7" w:name="fnref3:2"/>
      <w:bookmarkEnd w:id="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" w:name="fnref1:4"/>
      <w:bookmarkEnd w:id="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project demonstrates secure key generation, modern UI workflows, and practical encryption/decryption pipelines with client-side processing, emphasizing high-iteration KDF parameters, strong padding schemes, and clear operational feedback for users.</w:t>
      </w:r>
      <w:bookmarkStart w:id="9" w:name="fnref3:3"/>
      <w:bookmarkEnd w:id="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0" w:name="fnref2:2"/>
      <w:bookmarkEnd w:id="1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1" w:name="fnref1:5"/>
      <w:bookmarkEnd w:id="1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B7DCF6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Introduction</w:t>
      </w:r>
    </w:p>
    <w:p w14:paraId="7365F4B8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Modern secure communication requires correct use of cryptographic primitives with safe defaults and clear user flows, which SecureText addresses by combining password-based symmetric encryption and RSA-based key exchange within approachable interfaces.</w:t>
      </w:r>
      <w:bookmarkStart w:id="12" w:name="fnref3:4"/>
      <w:bookmarkEnd w:id="1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3" w:name="fnref1:6"/>
      <w:bookmarkEnd w:id="1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tool is intended for educational and personal use, enabling cybersecurity learners to practice proper encryption and key management patterns without backend data storage or logging.</w:t>
      </w:r>
      <w:bookmarkStart w:id="14" w:name="fnref1:7"/>
      <w:bookmarkEnd w:id="1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E7FF9C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Objectives</w:t>
      </w:r>
    </w:p>
    <w:p w14:paraId="39ED8FC8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Provide a multi-interface encryption tool (CLI, GUI, web) that demonstrates correct cryptographic usage for learning and lab workflows.</w:t>
      </w:r>
      <w:bookmarkStart w:id="15" w:name="fnref2:3"/>
      <w:bookmarkEnd w:id="1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6" w:name="fnref3:5"/>
      <w:bookmarkEnd w:id="1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7" w:name="fnref1:8"/>
      <w:bookmarkEnd w:id="1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1E027E2D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Implement PBKDF2 with 1,200,000 iterations to derive Fernet-compatible keys for AES-based authenticated encryption of text.</w:t>
      </w:r>
      <w:bookmarkStart w:id="18" w:name="fnref2:4"/>
      <w:bookmarkEnd w:id="1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19" w:name="fnref3:6"/>
      <w:bookmarkEnd w:id="1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0" w:name="fnref1:9"/>
      <w:bookmarkEnd w:id="2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00CEA8D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Support RSA-OAEP (2048-bit) key generation, encryption, and decryption, including save/load of PEM-encoded keys for practical key management.</w:t>
      </w:r>
      <w:bookmarkStart w:id="21" w:name="fnref3:7"/>
      <w:bookmarkEnd w:id="2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2" w:name="fnref2:5"/>
      <w:bookmarkEnd w:id="2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3" w:name="fnref1:10"/>
      <w:bookmarkEnd w:id="2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408DE69D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Enforce client-side processing with no data persistence to minimize exposure in typical educational usage.</w:t>
      </w:r>
      <w:bookmarkStart w:id="24" w:name="fnref1:11"/>
      <w:bookmarkEnd w:id="2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D5462A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Literature and standards context</w:t>
      </w:r>
    </w:p>
    <w:p w14:paraId="45A40363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The Fernet scheme supplies authenticated encryption semantics suitable for text messages, while PBKDF2-HMAC-SHA256 with high iteration counts mitigates </w:t>
      </w:r>
      <w:bookmarkStart w:id="105" w:name="_GoBack"/>
      <w:bookmarkEnd w:id="105"/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offline guessing attacks by increasing derivation cost.</w:t>
      </w:r>
      <w:bookmarkStart w:id="25" w:name="fnref2:6"/>
      <w:bookmarkEnd w:id="2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6" w:name="fnref3:8"/>
      <w:bookmarkEnd w:id="2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7" w:name="fnref1:12"/>
      <w:bookmarkEnd w:id="2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RSA-OAEP with SHA-256 and MGF1 is a widely recommended padding mechanism for small-message asymmetric encryption, aligning with advice to avoid legacy PKCS#1 v1.5 padding in new designs.</w:t>
      </w:r>
      <w:bookmarkStart w:id="28" w:name="fnref4:1"/>
      <w:bookmarkEnd w:id="2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29" w:name="fnref3:9"/>
      <w:bookmarkEnd w:id="2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D8F79F4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System overview</w:t>
      </w:r>
    </w:p>
    <w:p w14:paraId="2F1A5ECF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SecureText consists of three primary interfaces: a Tkinter-based desktop GUI, a command-line interface, and a browser-based client-only web app, all orchestrating the same cryptographic operations with consistent parameters.</w:t>
      </w:r>
      <w:bookmarkStart w:id="30" w:name="fnref3:10"/>
      <w:bookmarkEnd w:id="3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31" w:name="fnref2:7"/>
      <w:bookmarkEnd w:id="3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32" w:name="fnref1:13"/>
      <w:bookmarkEnd w:id="3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architectural choice to avoid server-side processing and state storage reduces risk from server compromise and aligns with the stated security notice for personal and educational applications.</w:t>
      </w:r>
      <w:bookmarkStart w:id="33" w:name="fnref1:14"/>
      <w:bookmarkEnd w:id="3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5EC7701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Components</w:t>
      </w:r>
    </w:p>
    <w:p w14:paraId="200DB128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CLI: secure_text_cli.py provides symmetric encrypt/decrypt and RSA keypair generation, emitting ciphertext as base64 and salts as hex for usability.</w:t>
      </w:r>
      <w:bookmarkStart w:id="34" w:name="fnref2:8"/>
      <w:bookmarkEnd w:id="3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E1DD94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GUI: secure_text_gui.py offers tabbed workflows for symmetric and asymmetric operations, including generation, viewing, saving, and loading of keys.</w:t>
      </w:r>
      <w:bookmarkStart w:id="35" w:name="fnref3:11"/>
      <w:bookmarkEnd w:id="3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5F522F38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Web: the browser interface performs client-side encryption to preserve confidentiality without backend handling.</w:t>
      </w:r>
      <w:bookmarkStart w:id="36" w:name="fnref1:15"/>
      <w:bookmarkEnd w:id="3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10A0CC8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Cryptographic design</w:t>
      </w:r>
    </w:p>
    <w:p w14:paraId="2A4CD928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Symmetric encryption uses PBKDF2-HMAC-SHA256 with 1,200,000 iterations and a 16-byte random salt to derive a 32-byte key, which is base64-url encoded for Fernet and used to encrypt plaintext with integrity protection.</w:t>
      </w:r>
      <w:bookmarkStart w:id="37" w:name="fnref2:9"/>
      <w:bookmarkEnd w:id="3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38" w:name="fnref3:12"/>
      <w:bookmarkEnd w:id="3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39" w:name="fnref1:16"/>
      <w:bookmarkEnd w:id="3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Asymmetric encryption uses RSA with e=65537 and 2048-bit keys, applying OAEP padding with SHA-256 and MGF1(SHA-256), and serializes keys as PKCS#8 (private) and SubjectPublicKeyInfo (public) PEM formats.</w:t>
      </w:r>
      <w:bookmarkStart w:id="40" w:name="fnref3:13"/>
      <w:bookmarkEnd w:id="4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41" w:name="fnref2:10"/>
      <w:bookmarkEnd w:id="4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20F368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Implementation details</w:t>
      </w:r>
    </w:p>
    <w:p w14:paraId="76F36D91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CLI parses actions via argparse, enforces required parameters, and handles exceptions in decryption to avoid unhandled crashes and inadvertent data disclosures in terminal output.</w:t>
      </w:r>
      <w:bookmarkStart w:id="42" w:name="fnref2:11"/>
      <w:bookmarkEnd w:id="4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GUI includes input validation, user feedback dialogs, message size checks for RSA (~190 characters for conservative OAEP limits), and file dialogs for secure key save/load operations.</w:t>
      </w:r>
      <w:bookmarkStart w:id="43" w:name="fnref3:14"/>
      <w:bookmarkEnd w:id="4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0895E8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Workflows</w:t>
      </w:r>
    </w:p>
    <w:p w14:paraId="2370099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Symmetric encrypt: derive key from password and random salt, encrypt with Fernet, display ciphertext (base64) and salt (hex).</w:t>
      </w:r>
      <w:bookmarkStart w:id="44" w:name="fnref2:12"/>
      <w:bookmarkEnd w:id="4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45" w:name="fnref3:15"/>
      <w:bookmarkEnd w:id="4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084EC40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Symmetric decrypt: base64-decode ciphertext, parse hex salt, re-derive key with PBKDF2, and decrypt to original plaintext if the password is correct.</w:t>
      </w:r>
      <w:bookmarkStart w:id="46" w:name="fnref3:16"/>
      <w:bookmarkEnd w:id="4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47" w:name="fnref2:13"/>
      <w:bookmarkEnd w:id="4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7C3D6D5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RSA: generate key pair, display and optionally save PEMs, encrypt short messages with the public key, and decrypt with the private key.</w:t>
      </w:r>
      <w:bookmarkStart w:id="48" w:name="fnref2:14"/>
      <w:bookmarkEnd w:id="4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49" w:name="fnref3:17"/>
      <w:bookmarkEnd w:id="4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95AF70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Security properties</w:t>
      </w:r>
    </w:p>
    <w:p w14:paraId="46BD0B45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Password-based encryption uses high iteration PBKDF2 to slow brute-force attempts, with per-encryption salts preventing precomputation attacks.</w:t>
      </w:r>
      <w:bookmarkStart w:id="50" w:name="fnref1:17"/>
      <w:bookmarkEnd w:id="5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51" w:name="fnref3:18"/>
      <w:bookmarkEnd w:id="5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52" w:name="fnref2:15"/>
      <w:bookmarkEnd w:id="5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4AC1C893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Fernet provides confidentiality and authenticity, failing decryption if integrity checks do not pass, which is surfaced via controlled error handling.</w:t>
      </w:r>
      <w:bookmarkStart w:id="53" w:name="fnref1:18"/>
      <w:bookmarkEnd w:id="5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54" w:name="fnref3:19"/>
      <w:bookmarkEnd w:id="5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078B3B76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RSA-OAEP with SHA-256 mitigates padding oracle risks prevalent in legacy padding schemes, improving safety for small-message encryption scenarios.</w:t>
      </w:r>
      <w:bookmarkStart w:id="55" w:name="fnref4:2"/>
      <w:bookmarkEnd w:id="5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56" w:name="fnref3:20"/>
      <w:bookmarkEnd w:id="5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03CF19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Key management</w:t>
      </w:r>
    </w:p>
    <w:p w14:paraId="414276DC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application generates RSA key pairs using a secure random source, exposes PEM serialization, and allows saving/loading via GUI prompts, leaving encryption of private keys as a potential enhancement.</w:t>
      </w:r>
      <w:bookmarkStart w:id="57" w:name="fnref3:21"/>
      <w:bookmarkEnd w:id="5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58" w:name="fnref2:16"/>
      <w:bookmarkEnd w:id="5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By design, secrets are not persisted unless a user explicitly saves keys, consistent with the “No Data Persistence” guarantee highlighted in project documentation.</w:t>
      </w:r>
      <w:bookmarkStart w:id="59" w:name="fnref1:19"/>
      <w:bookmarkEnd w:id="5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60" w:name="fnref3:22"/>
      <w:bookmarkEnd w:id="6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221834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Testing and validation</w:t>
      </w:r>
    </w:p>
    <w:p w14:paraId="4C9F6E4C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Functional validation includes round-trip tests for symmetric and asymmetric workflows, ensuring successful decryption of original plaintext and handling of incorrect inputs with informative but non-leaky errors.</w:t>
      </w:r>
      <w:bookmarkStart w:id="61" w:name="fnref2:17"/>
      <w:bookmarkEnd w:id="6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62" w:name="fnref3:23"/>
      <w:bookmarkEnd w:id="6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GUI enforces length constraints for RSA encryption and verifies key load/save correctness by enabling subsequent decrypt operations with the loaded private key.</w:t>
      </w:r>
      <w:bookmarkStart w:id="63" w:name="fnref3:24"/>
      <w:bookmarkEnd w:id="6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0D24976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Usage instructions</w:t>
      </w:r>
    </w:p>
    <w:p w14:paraId="563F9B75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Install: Python 3.6+ and pip install -r requirements.txt with cryptography&gt;=41.0.0.</w:t>
      </w:r>
      <w:bookmarkStart w:id="64" w:name="fnref6:1"/>
      <w:bookmarkEnd w:id="6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[6]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65" w:name="fnref1:20"/>
      <w:bookmarkEnd w:id="6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40491ADD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GUI: run python secure_text_gui.py and use the Symmetric/Asymmetric tabs for operations and key management.</w:t>
      </w:r>
      <w:bookmarkStart w:id="66" w:name="fnref1:21"/>
      <w:bookmarkEnd w:id="6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67" w:name="fnref3:25"/>
      <w:bookmarkEnd w:id="6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EC20DD5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CLI: use --encrypt/--decrypt with message, password, and salt for symmetric flows, or --generate-keys for RSA PEM outputs.</w:t>
      </w:r>
      <w:bookmarkStart w:id="68" w:name="fnref2:18"/>
      <w:bookmarkEnd w:id="6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69" w:name="fnref1:22"/>
      <w:bookmarkEnd w:id="6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2A848E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Limitations</w:t>
      </w:r>
    </w:p>
    <w:p w14:paraId="5C0B5ED7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Fernet uses AES-128 under the recipe, which is secure for current needs but does not expose AES-256 configuration, making it a conscious tradeoff for simplicity and safety.</w:t>
      </w:r>
      <w:bookmarkStart w:id="70" w:name="fnref1:23"/>
      <w:bookmarkEnd w:id="7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RSA is not suitable for large payloads, so the design focuses on small messages; hybrid encryption (RSA-wrapped symmetric key) would address larger data.</w:t>
      </w:r>
      <w:bookmarkStart w:id="71" w:name="fnref3:26"/>
      <w:bookmarkEnd w:id="7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7A6DFBD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Future enhancements</w:t>
      </w:r>
    </w:p>
    <w:p w14:paraId="243E7CA1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Hybrid RSA+AES to support large files by encrypting a random symmetric key with RSA and data with AES.</w:t>
      </w:r>
      <w:bookmarkStart w:id="72" w:name="fnref3:27"/>
      <w:bookmarkEnd w:id="7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1A9759D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Optional Argon2id KDF profile and tunable PBKDF2 iterations for different device capabilities and security profiles.</w:t>
      </w:r>
      <w:bookmarkStart w:id="73" w:name="fnref4:3"/>
      <w:bookmarkEnd w:id="7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74" w:name="fnref1:24"/>
      <w:bookmarkEnd w:id="7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07C552C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Private key protection with passphrase-based encryption and optional integration with hardware-backed stores or OS keychains.</w:t>
      </w:r>
      <w:bookmarkStart w:id="75" w:name="fnref4:4"/>
      <w:bookmarkEnd w:id="7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76" w:name="fnref3:28"/>
      <w:bookmarkEnd w:id="7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147D5E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Ethical and compliance note</w:t>
      </w:r>
    </w:p>
    <w:p w14:paraId="4C7CCD8B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tool is intended for educational and personal use; for production environments, parameters, key handling, and threat models must be reviewed for domain-specific compliance and policy alignment.</w:t>
      </w:r>
      <w:bookmarkStart w:id="77" w:name="fnref4:5"/>
      <w:bookmarkEnd w:id="7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78" w:name="fnref1:25"/>
      <w:bookmarkEnd w:id="7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Users should operate within legal boundaries and institutional policies when applying encryption to sensitive or organizational data.</w:t>
      </w:r>
      <w:bookmarkStart w:id="79" w:name="fnref4:6"/>
      <w:bookmarkEnd w:id="7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0" w:name="fnref1:26"/>
      <w:bookmarkEnd w:id="8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21A15A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Author information</w:t>
      </w:r>
    </w:p>
    <w:p w14:paraId="17D4DB82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This report is authored by Mohammed Ahras Khan KP, a cybersecurity learner focused on applied cryptography and secure tooling.</w:t>
      </w:r>
      <w:bookmarkStart w:id="81" w:name="fnref5:2"/>
      <w:bookmarkEnd w:id="8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[5]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2" w:name="fnref1:27"/>
      <w:bookmarkEnd w:id="8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SecureText serves as a portfolio-ready demonstration of correct cryptographic usage, user-centric design, and basic operational security.</w:t>
      </w:r>
      <w:bookmarkStart w:id="83" w:name="fnref1:28"/>
      <w:bookmarkEnd w:id="8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4" w:name="fnref3:29"/>
      <w:bookmarkEnd w:id="8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CA0F801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Conclusion</w:t>
      </w:r>
    </w:p>
    <w:p w14:paraId="7B1899D9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SecureText achieves its goal of providing a practical, multi-interface encryption toolkit with safe defaults, robust key derivation, authenticated encryption, and RSA-OAEP for small-message scenarios, suitable for teaching, labs, and personal workflows.</w:t>
      </w:r>
      <w:bookmarkStart w:id="85" w:name="fnref2:19"/>
      <w:bookmarkEnd w:id="8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6" w:name="fnref3:30"/>
      <w:bookmarkEnd w:id="8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7" w:name="fnref1:29"/>
      <w:bookmarkEnd w:id="8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codebase and UI prioritize client-side processing and minimal persistence, while leaving room for production-hardening steps such as key encryption, hybrid modes, and expanded compliance controls.</w:t>
      </w:r>
      <w:bookmarkStart w:id="88" w:name="fnref4:7"/>
      <w:bookmarkEnd w:id="8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[4]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89" w:name="fnref3:31"/>
      <w:bookmarkEnd w:id="8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90" w:name="fnref1:30"/>
      <w:bookmarkEnd w:id="9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6EBE5F54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Appendix A: sample CLI usage</w:t>
      </w:r>
    </w:p>
    <w:p w14:paraId="6A59960D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Encrypt: python secure_text_cli.py --encrypt --message "Hello World" --password "mypass" outputs base64 ciphertext and hex salt.</w:t>
      </w:r>
      <w:bookmarkStart w:id="91" w:name="fnref2:20"/>
      <w:bookmarkEnd w:id="91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92" w:name="fnref1:31"/>
      <w:bookmarkEnd w:id="92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12E96555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Decrypt: python secure_text_cli.py --decrypt --encrypted "&lt;base64&gt;" --salt "&lt;hex&gt;" --password "mypass" prints plaintext if password/salt are correct.</w:t>
      </w:r>
      <w:bookmarkStart w:id="93" w:name="fnref1:32"/>
      <w:bookmarkEnd w:id="9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bookmarkStart w:id="94" w:name="fnref2:21"/>
      <w:bookmarkEnd w:id="94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5BDE4BC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Generate keys: python secure_text_cli.py --generate-keys creates private_key.pem and public_key.pem in the working directory.</w:t>
      </w:r>
      <w:bookmarkStart w:id="95" w:name="fnref2:22"/>
      <w:bookmarkEnd w:id="95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22F8A42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b/>
          <w:color w:val="000000"/>
          <w:sz w:val="28"/>
          <w:szCs w:val="28"/>
        </w:rPr>
        <w:t>Appendix B: GUI workflow</w:t>
      </w:r>
    </w:p>
    <w:p w14:paraId="403FB921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Symmetric tab guides password entry, encryption to base64, salt presentation, and decryption with correct password and salt.</w:t>
      </w:r>
      <w:bookmarkStart w:id="96" w:name="fnref3:32"/>
      <w:bookmarkEnd w:id="96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The Asymmetric tab supports RSA keypair generation, public/private key display, save/load dialogs, and RSA-OAEP encrypt/decrypt with length guardrails.</w:t>
      </w:r>
      <w:bookmarkStart w:id="97" w:name="fnref3:33"/>
      <w:bookmarkEnd w:id="97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"fn3"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[3]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7D5D40F2">
      <w:p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If a .docx version or a zipped project bundle is required, a packaged archive can be generated containing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"http://README.md"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t>README.md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, requirements.txt, secure_text_cli.py, secure_text_gui.py, and the web assets exactly as supplied.</w:t>
      </w:r>
      <w:bookmarkStart w:id="98" w:name="fnref1:41"/>
      <w:bookmarkEnd w:id="98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"fn1"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  <w:vertAlign w:val="superscript"/>
        </w:rPr>
        <w:fldChar w:fldCharType="end"/>
      </w:r>
    </w:p>
    <w:p w14:paraId="3594706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>⁂</w:t>
      </w:r>
    </w:p>
    <w:p w14:paraId="0BA895F7">
      <w:pPr>
        <w:spacing w:before="210" w:after="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B0D0F19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99" w:name="fn1"/>
      <w:bookmarkEnd w:id="99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"http://README.md"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t>README.md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                                          </w:t>
      </w:r>
    </w:p>
    <w:p w14:paraId="5CFAD5E7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00" w:name="fn2"/>
      <w:bookmarkEnd w:id="100"/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secure_text_cli.py                         </w:t>
      </w:r>
    </w:p>
    <w:p w14:paraId="50CABF36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01" w:name="fn3"/>
      <w:bookmarkEnd w:id="101"/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secure_text_gui.py                                     </w:t>
      </w:r>
    </w:p>
    <w:p w14:paraId="322A06B4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02" w:name="fn4"/>
      <w:bookmarkEnd w:id="102"/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SecureText_-Comprehensive-Analysis-of-a-Text-Encry.pdf        </w:t>
      </w:r>
    </w:p>
    <w:p w14:paraId="2CD97C88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03" w:name="fn5"/>
      <w:bookmarkEnd w:id="103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"http://bio.name"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t>bio.name</w:t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  <w:u w:val="single"/>
        </w:rPr>
        <w:fldChar w:fldCharType="end"/>
      </w:r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    </w:t>
      </w:r>
    </w:p>
    <w:p w14:paraId="3346414F">
      <w:pPr>
        <w:numPr>
          <w:ilvl w:val="0"/>
          <w:numId w:val="9"/>
        </w:numPr>
        <w:spacing w:after="210"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04" w:name="fn6"/>
      <w:bookmarkEnd w:id="104"/>
      <w:r>
        <w:rPr>
          <w:rFonts w:hint="default" w:ascii="Times New Roman" w:hAnsi="Times New Roman" w:eastAsia="inter" w:cs="Times New Roman"/>
          <w:color w:val="000000"/>
          <w:sz w:val="28"/>
          <w:szCs w:val="28"/>
        </w:rPr>
        <w:t xml:space="preserve">requirements.txt 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392E67"/>
    <w:rsid w:val="1719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2025-08-27T14:37:00Z</dcterms:created>
  <dc:creator>html-to-docx</dc:creator>
  <cp:keywords>html-to-docx</cp:keywords>
  <cp:lastModifiedBy>MOHAMMED AHRAS KHAN K P (RA233</cp:lastModifiedBy>
  <dcterms:modified xsi:type="dcterms:W3CDTF">2025-08-27T16:57:51Z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9D6D2BC11BD24DDCBBCC666FC25F0212_13</vt:lpwstr>
  </property>
</Properties>
</file>