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Implementation Report: Dataset &amp; Preprocessing</w:t>
      </w:r>
    </w:p>
    <w:p>
      <w:r>
        <w:rPr>
          <w:i/>
          <w:sz w:val="24"/>
        </w:rPr>
        <w:t>Governance Auditing Framework for AI-Based Social Welfare Eligibility Decision Systems</w:t>
      </w:r>
    </w:p>
    <w:p/>
    <w:p>
      <w:pPr>
        <w:pStyle w:val="Heading1"/>
      </w:pPr>
      <w:r>
        <w:t>1. Dataset</w:t>
      </w:r>
    </w:p>
    <w:p>
      <w:r>
        <w:t>Source: Folktables ACSIncome task, built from US Census American Community Survey (ACS) 1-Year Public Use Microdata Sample (PUMS). State: California (CA). Year: 2022.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Row count</w:t>
            </w:r>
          </w:p>
        </w:tc>
      </w:tr>
      <w:tr>
        <w:tc>
          <w:tcPr>
            <w:tcW w:type="dxa" w:w="4320"/>
          </w:tcPr>
          <w:p>
            <w:r>
              <w:t>Raw PUMS extract (all 287 survey columns)</w:t>
            </w:r>
          </w:p>
        </w:tc>
        <w:tc>
          <w:tcPr>
            <w:tcW w:type="dxa" w:w="4320"/>
          </w:tcPr>
          <w:p>
            <w:r>
              <w:t>391,171</w:t>
            </w:r>
          </w:p>
        </w:tc>
      </w:tr>
      <w:tr>
        <w:tc>
          <w:tcPr>
            <w:tcW w:type="dxa" w:w="4320"/>
          </w:tcPr>
          <w:p>
            <w:r>
              <w:t>After ACSIncome row filters (AGEP&gt;16, WKHP&gt;0, PINCP&gt;100, PWGTP&gt;=1)</w:t>
            </w:r>
          </w:p>
        </w:tc>
        <w:tc>
          <w:tcPr>
            <w:tcW w:type="dxa" w:w="4320"/>
          </w:tcPr>
          <w:p>
            <w:r>
              <w:t>200,577</w:t>
            </w:r>
          </w:p>
        </w:tc>
      </w:tr>
      <w:tr>
        <w:tc>
          <w:tcPr>
            <w:tcW w:type="dxa" w:w="4320"/>
          </w:tcPr>
          <w:p>
            <w:r>
              <w:t>After duplicate removal (preprocessing)</w:t>
            </w:r>
          </w:p>
        </w:tc>
        <w:tc>
          <w:tcPr>
            <w:tcW w:type="dxa" w:w="4320"/>
          </w:tcPr>
          <w:p>
            <w:r>
              <w:t>193,208</w:t>
            </w:r>
          </w:p>
        </w:tc>
      </w:tr>
      <w:tr>
        <w:tc>
          <w:tcPr>
            <w:tcW w:type="dxa" w:w="4320"/>
          </w:tcPr>
          <w:p>
            <w:r>
              <w:t>Train split (80%, stratified on label)</w:t>
            </w:r>
          </w:p>
        </w:tc>
        <w:tc>
          <w:tcPr>
            <w:tcW w:type="dxa" w:w="4320"/>
          </w:tcPr>
          <w:p>
            <w:r>
              <w:t>154,566</w:t>
            </w:r>
          </w:p>
        </w:tc>
      </w:tr>
      <w:tr>
        <w:tc>
          <w:tcPr>
            <w:tcW w:type="dxa" w:w="4320"/>
          </w:tcPr>
          <w:p>
            <w:r>
              <w:t>Test split (20%, stratified on label)</w:t>
            </w:r>
          </w:p>
        </w:tc>
        <w:tc>
          <w:tcPr>
            <w:tcW w:type="dxa" w:w="4320"/>
          </w:tcPr>
          <w:p>
            <w:r>
              <w:t>38,642</w:t>
            </w:r>
          </w:p>
        </w:tc>
      </w:tr>
    </w:tbl>
    <w:p/>
    <w:p>
      <w:r>
        <w:rPr>
          <w:b/>
        </w:rPr>
        <w:t xml:space="preserve">Feature set (10 columns): </w:t>
      </w:r>
      <w:r>
        <w:t>AGEP (age), COW (class of worker), SCHL (education level), MAR (marital status), OCCP (occupation code), POBP (place of birth), RELSHIPP (relationship to householder), WKHP (usual hours worked/week), SEX, RAC1P (recoded race code).</w:t>
      </w:r>
    </w:p>
    <w:p>
      <w:r>
        <w:rPr>
          <w:b/>
        </w:rPr>
        <w:t xml:space="preserve">Target: </w:t>
      </w:r>
      <w:r>
        <w:t>label = (PINCP &gt; 50000), a binary income threshold used as an eligibility proxy.</w:t>
      </w:r>
    </w:p>
    <w:p>
      <w:r>
        <w:rPr>
          <w:b/>
        </w:rPr>
        <w:t xml:space="preserve">Group / protected attributes: </w:t>
      </w:r>
      <w:r>
        <w:t>RAC1P (primary, per the survey), SEX (secondary). Both recorded as PROTECTED_ATTRIBUTES = ["RAC1P", "SEX"] for reuse by the Fairness module.</w:t>
      </w:r>
    </w:p>
    <w:p>
      <w:r>
        <w:rPr>
          <w:b/>
        </w:rPr>
        <w:t xml:space="preserve">Sensitive-feature set (Explainability module): </w:t>
      </w:r>
      <w:r>
        <w:t>SENSITIVE_FEATURES = ["RAC1P", "SEX", "POBP"] — POBP added as a proxy candidate after the group-distribution check in section 4 below.</w:t>
      </w:r>
    </w:p>
    <w:p>
      <w:pPr>
        <w:pStyle w:val="Heading1"/>
      </w:pPr>
      <w:r>
        <w:t>2. Code Structure</w:t>
      </w:r>
    </w:p>
    <w:p>
      <w:pPr>
        <w:ind w:left="360"/>
      </w:pPr>
      <w:r>
        <w:rPr>
          <w:rFonts w:ascii="Consolas" w:hAnsi="Consolas"/>
          <w:sz w:val="19"/>
        </w:rPr>
        <w:t>E:\MTECH\Final_yr_project\</w:t>
        <w:br/>
        <w:t xml:space="preserve">  src/</w:t>
        <w:br/>
        <w:t xml:space="preserve">    data_pipeline.py        &lt;- Step 1: load, task definition, clean, split</w:t>
        <w:br/>
        <w:t xml:space="preserve">    audit/</w:t>
        <w:br/>
        <w:t xml:space="preserve">      data_quality.py       &lt;- Data Quality Audit module (Sec 4.1 formulas)</w:t>
        <w:br/>
        <w:t xml:space="preserve">  notebooks/</w:t>
        <w:br/>
        <w:t xml:space="preserve">    01_preprocessing_and_data_quality.ipynb   &lt;- executable walkthrough</w:t>
        <w:br/>
        <w:t xml:space="preserve">  data/processed/</w:t>
        <w:br/>
        <w:t xml:space="preserve">    train.csv, test.csv     &lt;- output of this stage</w:t>
        <w:br/>
        <w:t xml:space="preserve">  .venv/                    &lt;- Python 3.12.2 virtual environment</w:t>
      </w:r>
    </w:p>
    <w:p>
      <w:pPr>
        <w:pStyle w:val="Heading2"/>
      </w:pPr>
      <w:r>
        <w:t>2.1 src/data_pipeline.py</w:t>
      </w:r>
    </w:p>
    <w:p>
      <w:r>
        <w:t>Public functions and their exact responsibilities:</w:t>
      </w:r>
    </w:p>
    <w:p>
      <w:r>
        <w:rPr>
          <w:rFonts w:ascii="Consolas" w:hAnsi="Consolas"/>
          <w:b/>
          <w:sz w:val="19"/>
        </w:rPr>
        <w:t>load_acs_income(state="CA", year="2022", survey="person") -&gt; pd.DataFrame</w:t>
      </w:r>
    </w:p>
    <w:p>
      <w:pPr>
        <w:ind w:left="360"/>
      </w:pPr>
      <w:r>
        <w:t>Wraps folktables.ACSDataSource(survey_year=year, horizon="1-Year", survey=survey).get_data(states=[state], download=True). First call requires network access; folktables caches the downloaded CSV under data/&lt;year&gt;/1-Year/psam_p&lt;state&gt;.csv, so subsequent calls are read from disk.</w:t>
      </w:r>
    </w:p>
    <w:p>
      <w:r>
        <w:rPr>
          <w:rFonts w:ascii="Consolas" w:hAnsi="Consolas"/>
          <w:b/>
          <w:sz w:val="19"/>
        </w:rPr>
        <w:t>_relationship_column(year) -&gt; str</w:t>
      </w:r>
    </w:p>
    <w:p>
      <w:pPr>
        <w:ind w:left="360"/>
      </w:pPr>
      <w:r>
        <w:t>Returns "RELSHIPP" if int(year) &gt;= 2019, else "RELP". Encodes the Census PUMS schema change described in section 5.</w:t>
      </w:r>
    </w:p>
    <w:p>
      <w:r>
        <w:rPr>
          <w:rFonts w:ascii="Consolas" w:hAnsi="Consolas"/>
          <w:b/>
          <w:sz w:val="19"/>
        </w:rPr>
        <w:t>_make_income_task(year) -&gt; folktables.BasicProblem</w:t>
      </w:r>
    </w:p>
    <w:p>
      <w:pPr>
        <w:ind w:left="360"/>
      </w:pPr>
      <w:r>
        <w:t>Reconstructs the ACSIncome task definition from folktables.acs, substituting the year-appropriate relationship column. Uses target="PINCP", target_transform=lambda x: x &gt; 50000, group="RAC1P", preprocess=folktables.acs.adult_filter (imported directly, not duplicated), postprocess=lambda x: np.nan_to_num(x, -1).</w:t>
      </w:r>
    </w:p>
    <w:p>
      <w:r>
        <w:rPr>
          <w:rFonts w:ascii="Consolas" w:hAnsi="Consolas"/>
          <w:b/>
          <w:sz w:val="19"/>
        </w:rPr>
        <w:t>build_income_task(acs_data, year="2022") -&gt; (features, label, group)</w:t>
      </w:r>
    </w:p>
    <w:p>
      <w:pPr>
        <w:ind w:left="360"/>
      </w:pPr>
      <w:r>
        <w:t>Calls _make_income_task(year).df_to_pandas(acs_data), then squeezes the returned single-column label/group DataFrames to named Series via .squeeze("columns").rename(...). This squeeze is required because folktables 0.0.12's df_to_pandas returns label and group as pd.DataFrame, not pd.Series (see section 5.2).</w:t>
      </w:r>
    </w:p>
    <w:p>
      <w:r>
        <w:rPr>
          <w:rFonts w:ascii="Consolas" w:hAnsi="Consolas"/>
          <w:b/>
          <w:sz w:val="19"/>
        </w:rPr>
        <w:t>clean_features(features) -&gt; pd.DataFrame</w:t>
      </w:r>
    </w:p>
    <w:p>
      <w:pPr>
        <w:ind w:left="360"/>
      </w:pPr>
      <w:r>
        <w:t>features.drop_duplicates().dropna(). Pure data transformation; does not compute or report any quality metric itself.</w:t>
      </w:r>
    </w:p>
    <w:p>
      <w:r>
        <w:rPr>
          <w:rFonts w:ascii="Consolas" w:hAnsi="Consolas"/>
          <w:b/>
          <w:sz w:val="19"/>
        </w:rPr>
        <w:t>train_test_split_with_group(features, label, group, test_size=0.2, random_state=42) -&gt; DatasetSplit</w:t>
      </w:r>
    </w:p>
    <w:p>
      <w:pPr>
        <w:ind w:left="360"/>
      </w:pPr>
      <w:r>
        <w:t>sklearn.model_selection.train_test_split on features.index, stratify=label. Returns a dataclass (DatasetSplit) bundling X_train, X_test, y_train, y_test, group_train, group_test so the protected attribute stays aligned to the correct rows in both splits.</w:t>
      </w:r>
    </w:p>
    <w:p>
      <w:r>
        <w:rPr>
          <w:rFonts w:ascii="Consolas" w:hAnsi="Consolas"/>
          <w:b/>
          <w:sz w:val="19"/>
        </w:rPr>
        <w:t>prepare_dataset(state="CA", year="2022") -&gt; DatasetSplit</w:t>
      </w:r>
    </w:p>
    <w:p>
      <w:pPr>
        <w:ind w:left="360"/>
      </w:pPr>
      <w:r>
        <w:t>End-to-end convenience wrapper: load_acs_income -&gt; build_income_task -&gt; clean_features -&gt; re-align label/group to the cleaned index -&gt; train_test_split_with_group.</w:t>
      </w:r>
    </w:p>
    <w:p>
      <w:pPr>
        <w:pStyle w:val="Heading2"/>
      </w:pPr>
      <w:r>
        <w:t>2.2 src/audit/data_quality.py</w:t>
      </w:r>
    </w:p>
    <w:p>
      <w:r>
        <w:t>Implements the three formulas from the survey paper, section 4.1, computed on raw (uncleaned)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Implementation note</w:t>
            </w:r>
          </w:p>
        </w:tc>
      </w:tr>
      <w:tr>
        <w:tc>
          <w:tcPr>
            <w:tcW w:type="dxa" w:w="2880"/>
          </w:tcPr>
          <w:p>
            <w:r>
              <w:t>Missing Value Rate</w:t>
            </w:r>
          </w:p>
        </w:tc>
        <w:tc>
          <w:tcPr>
            <w:tcW w:type="dxa" w:w="2880"/>
          </w:tcPr>
          <w:p>
            <w:r>
              <w:t>= (total missing cells) / (rows x columns)</w:t>
            </w:r>
          </w:p>
        </w:tc>
        <w:tc>
          <w:tcPr>
            <w:tcW w:type="dxa" w:w="2880"/>
          </w:tcPr>
          <w:p>
            <w:r>
              <w:t>missing_value_rate(df) also returns a per-column breakdown (rate_by_col) for diagnosis; the overall figure is what feeds the risk score.</w:t>
            </w:r>
          </w:p>
        </w:tc>
      </w:tr>
      <w:tr>
        <w:tc>
          <w:tcPr>
            <w:tcW w:type="dxa" w:w="2880"/>
          </w:tcPr>
          <w:p>
            <w:r>
              <w:t>Duplicate Rate</w:t>
            </w:r>
          </w:p>
        </w:tc>
        <w:tc>
          <w:tcPr>
            <w:tcW w:type="dxa" w:w="2880"/>
          </w:tcPr>
          <w:p>
            <w:r>
              <w:t>= (number of exact duplicate rows) / (total rows)</w:t>
            </w:r>
          </w:p>
        </w:tc>
        <w:tc>
          <w:tcPr>
            <w:tcW w:type="dxa" w:w="2880"/>
          </w:tcPr>
          <w:p>
            <w:r>
              <w:t>duplicate_rate(df) uses df.duplicated(keep="first").sum().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= 1 - (total missing values) / (rows x columns)</w:t>
            </w:r>
          </w:p>
        </w:tc>
        <w:tc>
          <w:tcPr>
            <w:tcW w:type="dxa" w:w="2880"/>
          </w:tcPr>
          <w:p>
            <w:r>
              <w:t>completeness(df); mathematically 1 minus the overall missing rate, computed independently for clarity in the report output.</w:t>
            </w:r>
          </w:p>
        </w:tc>
      </w:tr>
      <w:tr>
        <w:tc>
          <w:tcPr>
            <w:tcW w:type="dxa" w:w="2880"/>
          </w:tcPr>
          <w:p>
            <w:r>
              <w:t>Data Quality Risk Score</w:t>
            </w:r>
          </w:p>
        </w:tc>
        <w:tc>
          <w:tcPr>
            <w:tcW w:type="dxa" w:w="2880"/>
          </w:tcPr>
          <w:p>
            <w:r>
              <w:t>= (missing_rate + duplicate_rate) / 2</w:t>
            </w:r>
          </w:p>
        </w:tc>
        <w:tc>
          <w:tcPr>
            <w:tcW w:type="dxa" w:w="2880"/>
          </w:tcPr>
          <w:p>
            <w:r>
              <w:t>data_quality_risk_score(...); an equal-weighted average in [0, 1], documented in code as a default choice, not a validated weighting scheme.</w:t>
            </w:r>
          </w:p>
        </w:tc>
      </w:tr>
    </w:tbl>
    <w:p/>
    <w:p>
      <w:r>
        <w:t>audit_data_quality(df) -&gt; DataQualityReport runs all three metrics and returns a dataclass with n_rows, n_columns, missing_value_rate_overall, missing_value_rate_by_column, duplicate_rate, completeness, risk_score, and a .summary() method for printable output. The same function is called twice in the notebook (before and after clean_features) to produce the comparison table in section 4.</w:t>
      </w:r>
    </w:p>
    <w:p>
      <w:pPr>
        <w:pStyle w:val="Heading1"/>
      </w:pPr>
      <w:r>
        <w:t>3. Execution Environment</w:t>
      </w:r>
    </w:p>
    <w:p>
      <w:r>
        <w:t>A dedicated virtual environment was created at E:\MTECH\Final_yr_project\.venv using Python 3.12.2 (matching the originally requested VS Code kernel), and registered as a Jupyter kernel via:</w:t>
      </w:r>
    </w:p>
    <w:p>
      <w:pPr>
        <w:ind w:left="360"/>
      </w:pPr>
      <w:r>
        <w:rPr>
          <w:rFonts w:ascii="Consolas" w:hAnsi="Consolas"/>
          <w:sz w:val="19"/>
        </w:rPr>
        <w:t>python -m ipykernel install --user --name=final_yr_project \</w:t>
        <w:br/>
        <w:t xml:space="preserve">  --display-name "Final Yr Project (.venv 3.12.2)"</w:t>
      </w:r>
    </w:p>
    <w:p>
      <w:r>
        <w:t>Installed packages: pandas, numpy, scikit-learn, xgboost, shap, folktables, matplotlib, ipykernel, nbconvert. The notebook was executed non-interactively with:</w:t>
      </w:r>
    </w:p>
    <w:p>
      <w:pPr>
        <w:ind w:left="360"/>
      </w:pPr>
      <w:r>
        <w:rPr>
          <w:rFonts w:ascii="Consolas" w:hAnsi="Consolas"/>
          <w:sz w:val="19"/>
        </w:rPr>
        <w:t>jupyter nbconvert --to notebook --execute --inplace notebooks/01_preprocessing_and_data_quality.ipynb</w:t>
      </w:r>
    </w:p>
    <w:p>
      <w:pPr>
        <w:pStyle w:val="Heading1"/>
      </w:pPr>
      <w:r>
        <w:t>4. Results</w:t>
      </w:r>
    </w:p>
    <w:p>
      <w:pPr>
        <w:pStyle w:val="Heading2"/>
      </w:pPr>
      <w:r>
        <w:t>4.1 Label and group distribution</w:t>
      </w:r>
    </w:p>
    <w:p>
      <w:r>
        <w:t>Label balance: False (not eligible) 52.7%, True (eligible) 47.3%.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RAC1P code</w:t>
            </w:r>
          </w:p>
        </w:tc>
        <w:tc>
          <w:tcPr>
            <w:tcW w:type="dxa" w:w="4320"/>
          </w:tcPr>
          <w:p>
            <w:r>
              <w:t>Record count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83,094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37,660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34,290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33,151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8,422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2,676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743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532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2"/>
      </w:pPr>
      <w:r>
        <w:t>4.2 Demographic base rates (ground truth, pre-model)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RAC1P code</w:t>
            </w:r>
          </w:p>
        </w:tc>
        <w:tc>
          <w:tcPr>
            <w:tcW w:type="dxa" w:w="2880"/>
          </w:tcPr>
          <w:p>
            <w:r>
              <w:t>Eligibility rate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57.22%</w:t>
            </w:r>
          </w:p>
        </w:tc>
        <w:tc>
          <w:tcPr>
            <w:tcW w:type="dxa" w:w="2880"/>
          </w:tcPr>
          <w:p>
            <w:r>
              <w:t>83,094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55.27%</w:t>
            </w:r>
          </w:p>
        </w:tc>
        <w:tc>
          <w:tcPr>
            <w:tcW w:type="dxa" w:w="2880"/>
          </w:tcPr>
          <w:p>
            <w:r>
              <w:t>37,660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44.44%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41.58%</w:t>
            </w:r>
          </w:p>
        </w:tc>
        <w:tc>
          <w:tcPr>
            <w:tcW w:type="dxa" w:w="2880"/>
          </w:tcPr>
          <w:p>
            <w:r>
              <w:t>8,422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40.38%</w:t>
            </w:r>
          </w:p>
        </w:tc>
        <w:tc>
          <w:tcPr>
            <w:tcW w:type="dxa" w:w="2880"/>
          </w:tcPr>
          <w:p>
            <w:r>
              <w:t>743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38.17%</w:t>
            </w:r>
          </w:p>
        </w:tc>
        <w:tc>
          <w:tcPr>
            <w:tcW w:type="dxa" w:w="2880"/>
          </w:tcPr>
          <w:p>
            <w:r>
              <w:t>33,151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32.44%</w:t>
            </w:r>
          </w:p>
        </w:tc>
        <w:tc>
          <w:tcPr>
            <w:tcW w:type="dxa" w:w="2880"/>
          </w:tcPr>
          <w:p>
            <w:r>
              <w:t>2,676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30.83%</w:t>
            </w:r>
          </w:p>
        </w:tc>
        <w:tc>
          <w:tcPr>
            <w:tcW w:type="dxa" w:w="2880"/>
          </w:tcPr>
          <w:p>
            <w:r>
              <w:t>532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26.45%</w:t>
            </w:r>
          </w:p>
        </w:tc>
        <w:tc>
          <w:tcPr>
            <w:tcW w:type="dxa" w:w="2880"/>
          </w:tcPr>
          <w:p>
            <w:r>
              <w:t>34,290</w:t>
            </w:r>
          </w:p>
        </w:tc>
      </w:tr>
    </w:tbl>
    <w:p>
      <w:r>
        <w:t>By SEX: code 1 = 51.89% eligible (n=105,981); code 2 = 42.21% eligible (n=94,596). Maximum RAC1P spread: 57.22% - 26.45% = 30.77 percentage points, present in the ground-truth label prior to any model training.</w:t>
      </w:r>
    </w:p>
    <w:p>
      <w:pPr>
        <w:pStyle w:val="Heading2"/>
      </w:pPr>
      <w:r>
        <w:t>4.3 Intersectional (RAC1P x SEX) subgroup sizes</w:t>
      </w:r>
    </w:p>
    <w:p>
      <w:r>
        <w:t>Threshold applied: subgroups with fewer than 30 records are flagged as unreliable for downstream fairness computation. One RAC1P code failed this threshold on both sexes: RAC1P=4 -&gt; SEX=1: n=5; RAC1P=4 -&gt; SEX=2: n=4. All other 16 RAC1P x SEX combinations exceed the threshold (minimum otherwise: RAC1P=5 -&gt; SEX=2, n=264).</w:t>
      </w:r>
    </w:p>
    <w:p>
      <w:pPr>
        <w:pStyle w:val="Heading2"/>
      </w:pPr>
      <w:r>
        <w:t>4.4 Feature cardinality and validity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Unique values (nunique)</w:t>
            </w:r>
          </w:p>
        </w:tc>
      </w:tr>
      <w:tr>
        <w:tc>
          <w:tcPr>
            <w:tcW w:type="dxa" w:w="4320"/>
          </w:tcPr>
          <w:p>
            <w:r>
              <w:t>OCCP</w:t>
            </w:r>
          </w:p>
        </w:tc>
        <w:tc>
          <w:tcPr>
            <w:tcW w:type="dxa" w:w="4320"/>
          </w:tcPr>
          <w:p>
            <w:r>
              <w:t>528</w:t>
            </w:r>
          </w:p>
        </w:tc>
      </w:tr>
      <w:tr>
        <w:tc>
          <w:tcPr>
            <w:tcW w:type="dxa" w:w="4320"/>
          </w:tcPr>
          <w:p>
            <w:r>
              <w:t>POBP</w:t>
            </w:r>
          </w:p>
        </w:tc>
        <w:tc>
          <w:tcPr>
            <w:tcW w:type="dxa" w:w="4320"/>
          </w:tcPr>
          <w:p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WKHP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AGEP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SCHL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RELSHIPP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RAC1P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COW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Threshold applied: nunique &gt; 20 classified as high-cardinality. Result: high_cardinality_cols = [OCCP, POBP, WKHP, AGEP, SCHL]; low_cardinality_cols = [RELSHIPP, RAC1P, COW, MAR, SEX]. Validity check on WKHP (expected range 1-99): 0 rows violated the bound. AGEP observed range: 17-94 (mean 42.9). WKHP observed range: 1-99 (mean 37.6).</w:t>
      </w:r>
    </w:p>
    <w:p>
      <w:pPr>
        <w:pStyle w:val="Heading2"/>
      </w:pPr>
      <w:r>
        <w:t>4.5 Data Quality Audit (before / after cleaning)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Before cleaning (n=200,577)</w:t>
            </w:r>
          </w:p>
        </w:tc>
        <w:tc>
          <w:tcPr>
            <w:tcW w:type="dxa" w:w="2880"/>
          </w:tcPr>
          <w:p>
            <w:r>
              <w:t>After cleaning (n=193,208)</w:t>
            </w:r>
          </w:p>
        </w:tc>
      </w:tr>
      <w:tr>
        <w:tc>
          <w:tcPr>
            <w:tcW w:type="dxa" w:w="2880"/>
          </w:tcPr>
          <w:p>
            <w:r>
              <w:t>Missing Value Rate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Duplicate Rate</w:t>
            </w:r>
          </w:p>
        </w:tc>
        <w:tc>
          <w:tcPr>
            <w:tcW w:type="dxa" w:w="2880"/>
          </w:tcPr>
          <w:p>
            <w:r>
              <w:t>0.0367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</w:tr>
      <w:tr>
        <w:tc>
          <w:tcPr>
            <w:tcW w:type="dxa" w:w="2880"/>
          </w:tcPr>
          <w:p>
            <w:r>
              <w:t>Data Quality Risk Score</w:t>
            </w:r>
          </w:p>
        </w:tc>
        <w:tc>
          <w:tcPr>
            <w:tcW w:type="dxa" w:w="2880"/>
          </w:tcPr>
          <w:p>
            <w:r>
              <w:t>0.0184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r>
        <w:t>7,369 exact duplicate rows were removed (3.67% of pre-cleaning row count). No missing values were present at any stage of this extract.</w:t>
      </w:r>
    </w:p>
    <w:p>
      <w:pPr>
        <w:pStyle w:val="Heading2"/>
      </w:pPr>
      <w:r>
        <w:t>4.6 Train/test split</w:t>
      </w:r>
    </w:p>
    <w:p>
      <w:r>
        <w:t>X_train: (154,566, 10); X_test: (38,642, 10). Train label balance: False 52.11%, True 47.89%. Test label balance: False 52.10%, True 47.90% — stratification preserved the label ratio to within 0.02 percentage points across splits.</w:t>
      </w:r>
    </w:p>
    <w:p>
      <w:pPr>
        <w:pStyle w:val="Heading1"/>
      </w:pPr>
      <w:r>
        <w:t>5. Implementation Constraints Encountered</w:t>
      </w:r>
    </w:p>
    <w:p>
      <w:pPr>
        <w:pStyle w:val="Heading3"/>
      </w:pPr>
      <w:r>
        <w:t>RELP -&gt; RELSHIPP schema change (Census PUMS, 2019 dictionary)</w:t>
      </w:r>
    </w:p>
    <w:p>
      <w:r>
        <w:t>folktables 0.0.12's built-in ACSIncome.features list hardcodes "RELP", which does not exist in 2019+ PUMS extracts (renamed to RELSHIPP, with revised category codes). Symptom: KeyError: "['RELP'] not in index" raised inside folktables.folktables.BasicProblem.df_to_pandas when called on 2022 data. Resolution: _make_income_task(year) in data_pipeline.py rebuilds the BasicProblem with the correct column name selected by _relationship_column(year), reusing folktables.acs.adult_filter for the row-filter logic so behaviour otherwise matches the upstream task exactly.</w:t>
      </w:r>
    </w:p>
    <w:p>
      <w:pPr>
        <w:pStyle w:val="Heading3"/>
      </w:pPr>
      <w:r>
        <w:t>label/group returned as DataFrame, not Series</w:t>
      </w:r>
    </w:p>
    <w:p>
      <w:r>
        <w:t>folktables.folktables.BasicProblem.df_to_pandas wraps its target and group outputs with pd.DataFrame(...).reset_index(drop=True) internally (confirmed by reading folktables/folktables.py directly), rather than returning pd.Series as the type hints in downstream code assumed. Symptom: TypeError raised from pandas' Index constructor when calling label.rename("label") on what was assumed to be a Series. Resolution: build_income_task() now applies .squeeze("columns").rename(...) to both outputs before returning them.</w:t>
      </w:r>
    </w:p>
    <w:p>
      <w:pPr>
        <w:pStyle w:val="Heading3"/>
      </w:pPr>
      <w:r>
        <w:t>Index provenance</w:t>
      </w:r>
    </w:p>
    <w:p>
      <w:r>
        <w:t>features, label, and group are all reconstructed from bare NumPy arrays inside folktables (via pd.DataFrame(array_result)), so the original PUMS row index is not preserved; all three outputs instead share a fresh 0-based RangeIndex. This is safe only because they are derived from the same filtered rows in the same order — no downstream code should assume the index carries semantic meaning back to the raw PUMS extract.</w:t>
      </w:r>
    </w:p>
    <w:p>
      <w:pPr>
        <w:pStyle w:val="Heading3"/>
      </w:pPr>
      <w:r>
        <w:t>Small-sample threshold for fairness readiness</w:t>
      </w:r>
    </w:p>
    <w:p>
      <w:r>
        <w:t>A record-count threshold of 30 per RAC1P x SEX cell was applied as a practical, not formally derived, cutoff for flagging subgroups too small for stable fairness metrics (Demographic Parity, Equal Opportunity Difference) in later modules.</w:t>
      </w:r>
    </w:p>
    <w:p>
      <w:pPr>
        <w:pStyle w:val="Heading3"/>
      </w:pPr>
      <w:r>
        <w:t>Masked missingness in Phase 1 data</w:t>
      </w:r>
    </w:p>
    <w:p>
      <w:r>
        <w:t>Missing Value Rate measured 0.0 because folktables' adult_filter and internal NaN handling remove incomplete records before this pipeline receives the data. This prevents the Data Quality module from being exercised against genuine missingness in Phase 1; the Phase 2 synthetic welfare dataset should inject controlled missingness so this module can be validated properly.</w:t>
      </w:r>
    </w:p>
    <w:p>
      <w:pPr>
        <w:pStyle w:val="Heading3"/>
      </w:pPr>
      <w:r>
        <w:t>Single-state, single-year scope</w:t>
      </w:r>
    </w:p>
    <w:p>
      <w:r>
        <w:t>Only California, 2022 was used. Robustness and fairness findings in this stage reflect one state's demographic composition and should not be generalized without re-running against additional states/years.</w:t>
      </w:r>
    </w:p>
    <w:p>
      <w:pPr>
        <w:pStyle w:val="Heading1"/>
      </w:pPr>
      <w:r>
        <w:t>6. Next Steps</w:t>
      </w:r>
    </w:p>
    <w:p>
      <w:pPr>
        <w:pStyle w:val="ListNumber"/>
      </w:pPr>
      <w:r>
        <w:t>Train the baseline XGBoost eligibility classifier on data/processed/train.csv; report accuracy, precision, recall, F1, and ROC-AUC on data/processed/test.csv.</w:t>
      </w:r>
    </w:p>
    <w:p>
      <w:pPr>
        <w:pStyle w:val="ListNumber"/>
      </w:pPr>
      <w:r>
        <w:t>Implement the Fairness module using PROTECTED_ATTRIBUTES = ["RAC1P", "SEX"]: Demographic Parity Difference, Disparate Impact Ratio, Equal Opportunity Difference.</w:t>
      </w:r>
    </w:p>
    <w:p>
      <w:pPr>
        <w:pStyle w:val="ListNumber"/>
      </w:pPr>
      <w:r>
        <w:t>Implement the Explainability module using SENSITIVE_FEATURES = ["RAC1P", "SEX", "POBP"]: global SHAP feature importance and sensitive-feature contribution ratio.</w:t>
      </w:r>
    </w:p>
    <w:p>
      <w:pPr>
        <w:pStyle w:val="ListNumber"/>
      </w:pPr>
      <w:r>
        <w:t>Implement the Reliability module: Brier Score and Expected Calibration Error (ECE) on the baseline model's predicted probabilities.</w:t>
      </w:r>
    </w:p>
    <w:p>
      <w:pPr>
        <w:pStyle w:val="ListNumber"/>
      </w:pPr>
      <w:r>
        <w:t>Implement the Robustness module: performance degradation (PD/RPD) under controlled feature perturbation.</w:t>
      </w:r>
    </w:p>
    <w:p>
      <w:pPr>
        <w:pStyle w:val="ListNumber"/>
      </w:pPr>
      <w:r>
        <w:t>Defer the Compliance &amp; Accountability module to Phase 2, since Folktables provides no policy rules, human-review records, or audit-trail data to measure against.</w:t>
      </w:r>
    </w:p>
    <w:p>
      <w:pPr>
        <w:pStyle w:val="ListNumber"/>
      </w:pPr>
      <w:r>
        <w:t>Aggregate module outputs into the Governance Risk Score (GRS) with a documented, sensitivity-tested weighting scheme.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