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 Summary: Getting the Data Ready</w:t>
      </w:r>
    </w:p>
    <w:p>
      <w:r>
        <w:rPr>
          <w:i/>
          <w:sz w:val="24"/>
        </w:rPr>
        <w:t>Governance Auditing Framework for AI-Based Social Welfare Eligibility Decision Systems</w:t>
      </w:r>
    </w:p>
    <w:p/>
    <w:p>
      <w:pPr>
        <w:pStyle w:val="Heading1"/>
      </w:pPr>
      <w:r>
        <w:t>1. What data are we using?</w:t>
      </w:r>
    </w:p>
    <w:p>
      <w:r>
        <w:t>We're using real US Census survey data (California, 2022 American Community Survey, accessed through the Folktables ACSIncome task) as a stand-in dataset to test the auditing pipeline before real welfare data is used in Phase 2. About 391,171 people's records came in; after filtering out irrelevant rows (people under 16, unemployed, reported income at or below $100), we were left with 200,577 usable records.</w:t>
      </w:r>
    </w:p>
    <w:p>
      <w:pPr>
        <w:pStyle w:val="Heading1"/>
      </w:pPr>
      <w:r>
        <w:t>2. What does the data contain?</w:t>
      </w:r>
    </w:p>
    <w:p>
      <w:r>
        <w:t>For each person: age (AGEP), class of worker (COW), education level (SCHL), marital status (MAR), occupation (OCCP), birthplace (POBP), relationship in household (RELSHIPP), hours worked per week (WKHP), sex (SEX), and race (RAC1P). "Eligibility" is a proxy here: the label is whether the person's income (PINCP) exceeds $50,000/year, since real welfare eligibility data isn't available for Phase 1.</w:t>
      </w:r>
    </w:p>
    <w:p>
      <w:pPr>
        <w:pStyle w:val="Heading1"/>
      </w:pPr>
      <w:r>
        <w:t>3. What we checked before touching the data</w:t>
      </w:r>
    </w:p>
    <w:p>
      <w:pPr>
        <w:pStyle w:val="ListBullet"/>
      </w:pPr>
      <w:r>
        <w:rPr>
          <w:b/>
        </w:rPr>
        <w:t xml:space="preserve">Class balance: </w:t>
      </w:r>
      <w:r>
        <w:t>How split is "eligible" vs "not eligible"? Fairly balanced: 47.3% vs 52.7%.</w:t>
      </w:r>
    </w:p>
    <w:p>
      <w:pPr>
        <w:pStyle w:val="ListBullet"/>
      </w:pPr>
      <w:r>
        <w:rPr>
          <w:b/>
        </w:rPr>
        <w:t xml:space="preserve">Group sizes (RAC1P): </w:t>
      </w:r>
      <w:r>
        <w:t>Are some race groups too small to be statistically meaningful? Yes: RAC1P group 4 has only 9 people in the entire extract.</w:t>
      </w:r>
    </w:p>
    <w:p>
      <w:pPr>
        <w:pStyle w:val="ListBullet"/>
      </w:pPr>
      <w:r>
        <w:rPr>
          <w:b/>
        </w:rPr>
        <w:t xml:space="preserve">Demographic base rates: </w:t>
      </w:r>
      <w:r>
        <w:t>Do eligibility rates already differ by race/sex, before any model is involved? Yes: the highest group is 57.2% eligible, the lowest is 26.4%, a 31-point gap that exists in the raw ground-truth data itself.</w:t>
      </w:r>
    </w:p>
    <w:p>
      <w:pPr>
        <w:pStyle w:val="ListBullet"/>
      </w:pPr>
      <w:r>
        <w:rPr>
          <w:b/>
        </w:rPr>
        <w:t xml:space="preserve">Intersectional subgroup check: </w:t>
      </w:r>
      <w:r>
        <w:t>Crossing RAC1P with SEX, does any combined subgroup fall below a reliable sample size (&lt; 30 records)? Yes: RAC1P=4 has only 5 male and 4 female records, flagged as too small for later fairness metrics.</w:t>
      </w:r>
    </w:p>
    <w:p>
      <w:pPr>
        <w:pStyle w:val="ListBullet"/>
      </w:pPr>
      <w:r>
        <w:rPr>
          <w:b/>
        </w:rPr>
        <w:t xml:space="preserve">Proxy-feature risk: </w:t>
      </w:r>
      <w:r>
        <w:t>Could any "neutral" feature secretly stand in for a protected attribute? Birthplace (POBP) and occupation (OCCP) showed some correlation with race, so they are tracked as SENSITIVE_FEATURES for the explainability check later.</w:t>
      </w:r>
    </w:p>
    <w:p>
      <w:pPr>
        <w:pStyle w:val="ListBullet"/>
      </w:pPr>
      <w:r>
        <w:rPr>
          <w:b/>
        </w:rPr>
        <w:t xml:space="preserve">Feature cardinality: </w:t>
      </w:r>
      <w:r>
        <w:t>How many distinct values does each feature take? OCCP (528) and POBP (221) are high-cardinality categorical features, which rules out simple one-hot encoding as the default choice for the baseline model.</w:t>
      </w:r>
    </w:p>
    <w:p>
      <w:pPr>
        <w:pStyle w:val="Heading1"/>
      </w:pPr>
      <w:r>
        <w:t>4. Cleaning the data (Data Quality Audit)</w:t>
      </w:r>
    </w:p>
    <w:p>
      <w:r>
        <w:t>Three standard data-quality metrics were computed before and after cleaning: Missing Value Rate (share of missing cells), Duplicate Rate (share of exact duplicate rows), and Data Completeness (1 minus the missing rate). A simple equal-weighted average of the two "badness" signals gives a Data Quality Risk Score in the range 0 (clean) to 1 (worst).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Before cleaning</w:t>
            </w:r>
          </w:p>
        </w:tc>
        <w:tc>
          <w:tcPr>
            <w:tcW w:type="dxa" w:w="2880"/>
          </w:tcPr>
          <w:p>
            <w:r>
              <w:t>After cleaning</w:t>
            </w:r>
          </w:p>
        </w:tc>
      </w:tr>
      <w:tr>
        <w:tc>
          <w:tcPr>
            <w:tcW w:type="dxa" w:w="2880"/>
          </w:tcPr>
          <w:p>
            <w:r>
              <w:t>Missing Value Rate</w:t>
            </w:r>
          </w:p>
        </w:tc>
        <w:tc>
          <w:tcPr>
            <w:tcW w:type="dxa" w:w="2880"/>
          </w:tcPr>
          <w:p>
            <w:r>
              <w:t>0.0000</w:t>
            </w:r>
          </w:p>
        </w:tc>
        <w:tc>
          <w:tcPr>
            <w:tcW w:type="dxa" w:w="2880"/>
          </w:tcPr>
          <w:p>
            <w:r>
              <w:t>0.0000</w:t>
            </w:r>
          </w:p>
        </w:tc>
      </w:tr>
      <w:tr>
        <w:tc>
          <w:tcPr>
            <w:tcW w:type="dxa" w:w="2880"/>
          </w:tcPr>
          <w:p>
            <w:r>
              <w:t>Duplicate Rate</w:t>
            </w:r>
          </w:p>
        </w:tc>
        <w:tc>
          <w:tcPr>
            <w:tcW w:type="dxa" w:w="2880"/>
          </w:tcPr>
          <w:p>
            <w:r>
              <w:t>0.0367</w:t>
            </w:r>
          </w:p>
        </w:tc>
        <w:tc>
          <w:tcPr>
            <w:tcW w:type="dxa" w:w="2880"/>
          </w:tcPr>
          <w:p>
            <w:r>
              <w:t>0.0000</w:t>
            </w:r>
          </w:p>
        </w:tc>
      </w:tr>
      <w:tr>
        <w:tc>
          <w:tcPr>
            <w:tcW w:type="dxa" w:w="2880"/>
          </w:tcPr>
          <w:p>
            <w:r>
              <w:t>Data Completeness</w:t>
            </w:r>
          </w:p>
        </w:tc>
        <w:tc>
          <w:tcPr>
            <w:tcW w:type="dxa" w:w="2880"/>
          </w:tcPr>
          <w:p>
            <w:r>
              <w:t>1.0000</w:t>
            </w:r>
          </w:p>
        </w:tc>
        <w:tc>
          <w:tcPr>
            <w:tcW w:type="dxa" w:w="2880"/>
          </w:tcPr>
          <w:p>
            <w:r>
              <w:t>1.0000</w:t>
            </w:r>
          </w:p>
        </w:tc>
      </w:tr>
      <w:tr>
        <w:tc>
          <w:tcPr>
            <w:tcW w:type="dxa" w:w="2880"/>
          </w:tcPr>
          <w:p>
            <w:r>
              <w:t>Data Quality Risk Score</w:t>
            </w:r>
          </w:p>
        </w:tc>
        <w:tc>
          <w:tcPr>
            <w:tcW w:type="dxa" w:w="2880"/>
          </w:tcPr>
          <w:p>
            <w:r>
              <w:t>0.0184</w:t>
            </w:r>
          </w:p>
        </w:tc>
        <w:tc>
          <w:tcPr>
            <w:tcW w:type="dxa" w:w="2880"/>
          </w:tcPr>
          <w:p>
            <w:r>
              <w:t>0.0000</w:t>
            </w:r>
          </w:p>
        </w:tc>
      </w:tr>
    </w:tbl>
    <w:p/>
    <w:p>
      <w:r>
        <w:t>No missing values were found, but 3.67% of records (7,369 rows) were exact duplicates. These were dropped, bringing the dataset to 193,208 rows and every quality metric to its ideal value.</w:t>
      </w:r>
    </w:p>
    <w:p>
      <w:pPr>
        <w:pStyle w:val="Heading1"/>
      </w:pPr>
      <w:r>
        <w:t>5. Splitting the data</w:t>
      </w:r>
    </w:p>
    <w:p>
      <w:r>
        <w:t>The cleaned data was split into a training set (154,566 records) and a test set (38,642 records) using a stratified 80/20 split, meaning the eligible/not-eligible ratio is preserved almost exactly in both sets (47.9% in each). The protected attributes (RAC1P, SEX) were kept aligned to the same rows throughout, so the Fairness module can later slice predictions by group without re-joining any data.</w:t>
      </w:r>
    </w:p>
    <w:p>
      <w:pPr>
        <w:pStyle w:val="Heading1"/>
      </w:pPr>
      <w:r>
        <w:t>6. Technical terms and constraints encountered</w:t>
      </w:r>
    </w:p>
    <w:p>
      <w:pPr>
        <w:pStyle w:val="ListBullet"/>
      </w:pPr>
      <w:r>
        <w:rPr>
          <w:b/>
        </w:rPr>
        <w:t xml:space="preserve">RELP vs. RELSHIPP: </w:t>
      </w:r>
      <w:r>
        <w:t>The Census Bureau renamed the "relationship to householder" column from RELP to RELSHIPP starting with the 2019 data dictionary. The installed folktables library (version 0.0.12) still hardcodes RELP in its built-in ACSIncome task definition, so it fails on 2019+ data with a KeyError. Constraint: to use current (2022) data, the ACSIncome task had to be rebuilt manually with a year-aware column name (RELSHIPP for 2019 onward, RELP for earlier years), keeping the target, threshold, group, and row filters identical to the original definition.</w:t>
      </w:r>
    </w:p>
    <w:p>
      <w:pPr>
        <w:pStyle w:val="ListBullet"/>
      </w:pPr>
      <w:r>
        <w:rPr>
          <w:b/>
        </w:rPr>
        <w:t xml:space="preserve">Series vs. DataFrame mismatch: </w:t>
      </w:r>
      <w:r>
        <w:t>The installed folktables version returns the label and group outputs as single-column DataFrames rather than pandas Series. Constraint: these had to be explicitly squeezed to Series (.squeeze("columns")) before use, otherwise operations like .rename() and .value_counts() fail or behave unexpectedly.</w:t>
      </w:r>
    </w:p>
    <w:p>
      <w:pPr>
        <w:pStyle w:val="ListBullet"/>
      </w:pPr>
      <w:r>
        <w:rPr>
          <w:b/>
        </w:rPr>
        <w:t xml:space="preserve">Index alignment: </w:t>
      </w:r>
      <w:r>
        <w:t>Internally, folktables rebuilds its outputs from raw NumPy arrays, so the original Census row index is discarded and replaced with a fresh 0-based RangeIndex across features, label, and group together. Constraint: all three stay aligned only because they are produced from the same filtered rows in the same order; care is needed if any one of them is reordered independently.</w:t>
      </w:r>
    </w:p>
    <w:p>
      <w:pPr>
        <w:pStyle w:val="ListBullet"/>
      </w:pPr>
      <w:r>
        <w:rPr>
          <w:b/>
        </w:rPr>
        <w:t xml:space="preserve">Small-sample constraint: </w:t>
      </w:r>
      <w:r>
        <w:t>Fairness-related metrics (e.g. Demographic Parity, Equal Opportunity Difference) are unreliable on subgroups with very few records. A threshold of 30 records per RAC1P x SEX combination was used as a practical cutoff, below which results are flagged rather than trusted.</w:t>
      </w:r>
    </w:p>
    <w:p>
      <w:pPr>
        <w:pStyle w:val="ListBullet"/>
      </w:pPr>
      <w:r>
        <w:rPr>
          <w:b/>
        </w:rPr>
        <w:t xml:space="preserve">Masked missingness: </w:t>
      </w:r>
      <w:r>
        <w:t>The Missing Value Rate measured 0.0 because folktables' own row-filtering step already discards incomplete records before this pipeline sees them. Constraint: the Data Quality module could not be validated against real missingness in Phase 1; this will need controlled missing values injected into the Phase 2 synthetic dataset instead.</w:t>
      </w:r>
    </w:p>
    <w:p>
      <w:pPr>
        <w:pStyle w:val="Heading1"/>
      </w:pPr>
      <w:r>
        <w:t>7. Next steps</w:t>
      </w:r>
    </w:p>
    <w:p>
      <w:pPr>
        <w:pStyle w:val="ListNumber"/>
      </w:pPr>
      <w:r>
        <w:t>Train the baseline XGBoost eligibility classifier on the processed training set.</w:t>
      </w:r>
    </w:p>
    <w:p>
      <w:pPr>
        <w:pStyle w:val="ListNumber"/>
      </w:pPr>
      <w:r>
        <w:t>Evaluate baseline performance (accuracy, precision, recall, F1, ROC-AUC) on the test set.</w:t>
      </w:r>
    </w:p>
    <w:p>
      <w:pPr>
        <w:pStyle w:val="ListNumber"/>
      </w:pPr>
      <w:r>
        <w:t>Build the Fairness module using the protected attributes (RAC1P, SEX) identified here.</w:t>
      </w:r>
    </w:p>
    <w:p>
      <w:pPr>
        <w:pStyle w:val="ListNumber"/>
      </w:pPr>
      <w:r>
        <w:t>Build the Explainability module using the sensitive-feature list (RAC1P, SEX, POBP) identified here.</w:t>
      </w:r>
    </w:p>
    <w:p>
      <w:pPr>
        <w:pStyle w:val="ListNumber"/>
      </w:pPr>
      <w:r>
        <w:t>Build the Reliability and Robustness modules.</w:t>
      </w:r>
    </w:p>
    <w:p>
      <w:pPr>
        <w:pStyle w:val="ListNumber"/>
      </w:pPr>
      <w:r>
        <w:t>Defer the Compliance &amp; Accountability module to Phase 2, since it needs simulated policy rules and a human-review workflow that this dataset does not provide.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