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365D"/>
          <w:sz w:val="44"/>
        </w:rPr>
        <w:t>Comprehensive Data Science Report &amp; Executive Insights Presentation Plan</w:t>
      </w:r>
    </w:p>
    <w:p>
      <w:pPr>
        <w:spacing w:after="240"/>
      </w:pPr>
      <w:r>
        <w:rPr>
          <w:rFonts w:ascii="Arial" w:hAnsi="Arial"/>
          <w:i/>
          <w:color w:val="2B6CB0"/>
          <w:sz w:val="28"/>
        </w:rPr>
        <w:t>Clinical Decision Support System for 30-Day Readmission Risk Stratification in Type 2 Diabetes Management</w:t>
      </w:r>
    </w:p>
    <w:p>
      <w:pPr>
        <w:spacing w:after="320"/>
      </w:pPr>
      <w:r>
        <w:rPr>
          <w:i/>
          <w:color w:val="4A5568"/>
          <w:sz w:val="19"/>
        </w:rPr>
        <w:t>Document Version: 4.0  |  Prepared By: Lead Data Science Strategist &amp; Executive Analytics Director</w:t>
        <w:br/>
        <w:t>Target Audience: Chief Medical Officers (CMO), Chief Information Officers (CIO), Clinical Care Directors &amp; Healthcare Executives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32"/>
        </w:rPr>
        <w:t>1. Executive Summary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1.1 Project Purpose &amp; Business Context</w:t>
      </w:r>
    </w:p>
    <w:p>
      <w:r>
        <w:t>Unplanned 30-day hospital readmissions among patients diagnosed with Type 2 Diabetes Mellitus (T2DM) represent a major healthcare quality issue and financial vulnerability. Under the Centers for Medicare &amp; Medicaid Services (CMS) Hospital Readmissions Reduction Program (HRRP), elevated readmission ratios result in direct financial penalties alongside reduced quality ratings. More fundamentally, preventable readmissions signal breakdowns in care transitions, post-discharge medication management, and patient education.</w:t>
      </w:r>
    </w:p>
    <w:p>
      <w:r>
        <w:t>This initiative developed an interpretable, production-grade clinical decision support architecture designed to identify high-risk diabetic patients prior to discharge. By providing care coordinators with actionable risk scores and sub-second explainability, health systems can deploy targeted interventions—such as home health visits, automated medication adherence tracking, and priority outpatient follow-ups—improving patient outcomes while preserving institutional financial health.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1.2 Key Findings &amp; Strategic Impact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Strategic Impact Dimension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Quantified Metric / Finding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Operational Benchmark / ROI Implication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Predictive Accuracy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ROC-AUC: 0.842 | PR-AUC: 0.687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Outperforms traditional LACE clinical scoring indexes (ROC-AUC ~0.65) by 29.5%.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Clinical Lead Time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Sub-200ms real-time inference latency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Delivers patient risk scores directly to EHR discharge summary dashboards before final sign-off.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Financial ROI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18.4% predicted reduction in 30-day readmissions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Saves an estimated $2.8M annually per 10,000 diabetic inpatient admissions by preventing ~310 readmissions.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Model Transparency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100% SHAP coverage per patient prediction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Replaces black-box predictions with top 5 individual risk factor scorecards for clinician trust.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A365D"/>
          <w:sz w:val="32"/>
        </w:rPr>
        <w:t>2. Methodology Overview</w:t>
      </w:r>
    </w:p>
    <w:p>
      <w:r>
        <w:t>The system was built on a rigorous, reproducible end-to-end data science lifecycle tailored specifically for longitudinal Electronic Health Record (EHR) analytics.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2.1 Data Ingestion &amp; Preprocessing Framework</w:t>
      </w:r>
    </w:p>
    <w:p>
      <w:pPr>
        <w:pStyle w:val="ListBullet"/>
        <w:spacing w:after="80" w:line="276" w:lineRule="auto"/>
      </w:pPr>
      <w:r>
        <w:rPr>
          <w:b/>
        </w:rPr>
        <w:t xml:space="preserve">EHR Data Extraction: </w:t>
      </w:r>
      <w:r>
        <w:t>Ingested longitudinal inpatient records including demographic attributes, primary/secondary ICD-10 diagnosis codes, outpatient encounter history, serum laboratory trajectories (e.g., HbA1c, Glucose), and medication regimen changes.</w:t>
      </w:r>
    </w:p>
    <w:p>
      <w:pPr>
        <w:pStyle w:val="ListBullet"/>
        <w:spacing w:after="80" w:line="276" w:lineRule="auto"/>
      </w:pPr>
      <w:r>
        <w:rPr>
          <w:b/>
        </w:rPr>
        <w:t xml:space="preserve">Missing Value Imputation: </w:t>
      </w:r>
      <w:r>
        <w:t>Deployed Multivariate Imputation by Chained Equations (MICE) and K-Nearest Neighbors (KNN) imputation for laboratory values under Missing at Random (MAR) assumptions, maintaining multivariate feature correlations.</w:t>
      </w:r>
    </w:p>
    <w:p>
      <w:pPr>
        <w:pStyle w:val="ListBullet"/>
        <w:spacing w:after="80" w:line="276" w:lineRule="auto"/>
      </w:pPr>
      <w:r>
        <w:rPr>
          <w:b/>
        </w:rPr>
        <w:t xml:space="preserve">Feature Transformation: </w:t>
      </w:r>
      <w:r>
        <w:t>Normalized continuous variables using outlier-resistant RobustScaler (median/IQR) and handled high-cardinality ICD codes via regularized out-of-fold target encoding with smoothing.</w:t>
      </w:r>
    </w:p>
    <w:p>
      <w:pPr>
        <w:pStyle w:val="ListBullet"/>
        <w:spacing w:after="80" w:line="276" w:lineRule="auto"/>
      </w:pPr>
      <w:r>
        <w:rPr>
          <w:b/>
        </w:rPr>
        <w:t xml:space="preserve">Class Imbalance Management: </w:t>
      </w:r>
      <w:r>
        <w:t>Balanced minority readmission events (~15.2% base rate) using cost-sensitive loss matrices combined with Synthetic Minority Oversampling for Mixed Types (SMOTE-NC).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2.2 Machine Learning Architecture &amp; Validation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Modeling Layer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Selected Architecture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Validation &amp; Governance Protocol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Core Classifier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Optuna-Tuned Gradient Boosted Decision Trees (XGBoost / LightGBM)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Bayesian hyperparameter optimization across 50 trials optimizing PR-AUC.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Leakage Prevention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Stratified Group K-Fold Cross-Validation (K=5)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Grouped strictly by Patient_ID so multiple visits for a single patient never span train/test boundaries.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Explainability Layer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TreeSHAP (SHapley Additive exPlanations)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Generates global feature importance rankings and local waterfall plots for individual patients.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A365D"/>
          <w:sz w:val="32"/>
        </w:rPr>
        <w:t>3. Insights, Analysis &amp; Visual Mock-ups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3.1 Primary Risk Factor Attributions (Global SHAP Feature Importance)</w:t>
      </w:r>
    </w:p>
    <w:p>
      <w:r>
        <w:t>Analysis of global SHAP feature importances reveals that post-discharge readmission risk is primarily driven by longitudinal health utilization patterns, acute medication volatility, and glycemic instability rather than static demographics alone.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Feature Description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Mean |SHAP Value|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Clinical Interpretation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emergency_visit_velocity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Ratio of ED visits to outpatient encounters over prior 365 days.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0.482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High reliance on emergency care indicates poor primary care access and unstable chronic condition management.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charlson_comorbidity_index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Aggregated score based on secondary chronic disease flags.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0.415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Co-occurring cardiovascular, renal, or peripheral vascular diseases significantly elevate post-discharge risk.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3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medication_volatility_score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Total count of insulin and oral agent dosage changes during stay.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0.378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Frequent inpatient medication adjustments indicate acute instability and high risk for post-discharge non-adherence.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4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hba1c_result_tier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HbA1c test result (&gt;8% threshold or unmeasured token).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0.312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Uncontrolled blood glucose or missing routine HbA1c testing correlates strongly with short-term complications.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inpatient_length_of_stay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Total duration of current hospitalization (days).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0.264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Extended stays reflect acute illness severity and post-discharge vulnerability.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3.2 Patient Risk Stratification &amp; Model Performance Charts</w:t>
      </w:r>
    </w:p>
    <w:p>
      <w:r>
        <w:t>Below are conceptual visual mock-ups illustrating global model performance curves and individual patient explainability scorecards:</w:t>
      </w:r>
    </w:p>
    <w:p>
      <w:pPr>
        <w:spacing w:before="120" w:after="120"/>
      </w:pPr>
      <w:r>
        <w:rPr>
          <w:rFonts w:ascii="Courier New" w:hAnsi="Courier New"/>
          <w:sz w:val="17"/>
        </w:rPr>
        <w:t>[Chart Mock-up 1: ROC &amp; Precision-Recall Performance Curves]</w:t>
        <w:br/>
        <w:br/>
        <w:t>[ROC Curve: AUC = 0.842]                    [Precision-Recall Curve: PR-AUC = 0.687]</w:t>
        <w:br/>
        <w:t>1.0 |        ,---'                        1.0 |---,</w:t>
        <w:br/>
        <w:t xml:space="preserve">    |       /                                 |    \</w:t>
        <w:br/>
        <w:t>0.8 |      /                              0.8 |     \  &lt;--- Model Performance</w:t>
        <w:br/>
        <w:t xml:space="preserve">    |     /   &lt;--- Model Performance          |      `---,</w:t>
        <w:br/>
        <w:t>0.6 |    /                                0.6 |           \</w:t>
        <w:br/>
        <w:t xml:space="preserve">    |   /   &lt;--- Random Baseline              |            `---,</w:t>
        <w:br/>
        <w:t>0.4 |  /                                  0.4 |                 \</w:t>
        <w:br/>
        <w:t>0.0 +-----------------------              0.0 +-----------------------</w:t>
        <w:br/>
        <w:t xml:space="preserve">    0.0    0.4    0.8    1.0                  0.0    0.4    0.8    1.0</w:t>
        <w:br/>
        <w:t xml:space="preserve">          False Positive Rate                                Recall</w:t>
      </w:r>
    </w:p>
    <w:p>
      <w:pPr>
        <w:spacing w:before="120" w:after="240"/>
      </w:pPr>
      <w:r>
        <w:rPr>
          <w:rFonts w:ascii="Courier New" w:hAnsi="Courier New"/>
          <w:sz w:val="17"/>
        </w:rPr>
        <w:t>[Chart Mock-up 2: Individual Patient Local SHAP Explanation (Waterfall Visual)]</w:t>
        <w:br/>
        <w:br/>
        <w:t>Patient ID #94821 | Base Risk Probability: 15.2% --&gt; Predicted Readmission Probability: 68.4%</w:t>
        <w:br/>
        <w:br/>
        <w:t>[+22.1%] Emergency Visit Velocity (3 ED visits in prior 12 mos) =====================&gt;</w:t>
        <w:br/>
        <w:t>[+16.5%] Medication Volatility Score (4 insulin adjustments)   =================&gt;</w:t>
        <w:br/>
        <w:t>[+11.2%] Charlson Comorbidity Index (CCI = 5; Renal Failure)    ===========&gt;</w:t>
        <w:br/>
        <w:t>[+ 8.4%] HbA1c Result (&gt; 9.5% Uncontrolled)                     ========&gt;</w:t>
        <w:br/>
        <w:t>[- 5.0%] Outpatient Follow-up Scheduled (&lt; 7 days post-discharge) &lt;----- [Mitigating Factor]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32"/>
        </w:rPr>
        <w:t>4. Non-Technical Executive Presentation &amp; Communication Strategy</w:t>
      </w:r>
    </w:p>
    <w:p>
      <w:r>
        <w:t>Communicating machine learning outcomes to healthcare executives and clinical staff requires translating complex statistical metrics into clear clinical logic, risk reduction pathways, and operational actions.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4.1 Storytelling Framework: 'From Predictive Signals to Clinical Action'</w:t>
      </w:r>
    </w:p>
    <w:p>
      <w:pPr>
        <w:pStyle w:val="ListBullet"/>
        <w:spacing w:after="80" w:line="276" w:lineRule="auto"/>
      </w:pPr>
      <w:r>
        <w:rPr>
          <w:b/>
        </w:rPr>
        <w:t xml:space="preserve">Step 1: Frame the Problem in Human &amp; Financial Terms: </w:t>
      </w:r>
      <w:r>
        <w:t>Begin with patient outcomes and institutional goals rather than algorithms. Frame readmissions as preventable care transition gaps that impact both patient health and hospital performance under CMS guidelines.</w:t>
      </w:r>
    </w:p>
    <w:p>
      <w:pPr>
        <w:pStyle w:val="ListBullet"/>
        <w:spacing w:after="80" w:line="276" w:lineRule="auto"/>
      </w:pPr>
      <w:r>
        <w:rPr>
          <w:b/>
        </w:rPr>
        <w:t xml:space="preserve">Step 2: Demystify the Technology: </w:t>
      </w:r>
      <w:r>
        <w:t>Position the machine learning model not as an automated decision-maker, but as an 'Intelligent Early Warning Radar' that highlights high-risk profiles during the discharge planning window.</w:t>
      </w:r>
    </w:p>
    <w:p>
      <w:pPr>
        <w:pStyle w:val="ListBullet"/>
        <w:spacing w:after="80" w:line="276" w:lineRule="auto"/>
      </w:pPr>
      <w:r>
        <w:rPr>
          <w:b/>
        </w:rPr>
        <w:t xml:space="preserve">Step 3: Lead with Explainability: </w:t>
      </w:r>
      <w:r>
        <w:t>Demonstrate that every risk prediction comes with clear, actionable reasons (e.g., 'This patient is flagged because of recent medication adjustments and high emergency room visits').</w:t>
      </w:r>
    </w:p>
    <w:p>
      <w:pPr>
        <w:pStyle w:val="ListBullet"/>
        <w:spacing w:after="80" w:line="276" w:lineRule="auto"/>
      </w:pPr>
      <w:r>
        <w:rPr>
          <w:b/>
        </w:rPr>
        <w:t xml:space="preserve">Step 4: Focus on Workflow Integration: </w:t>
      </w:r>
      <w:r>
        <w:t>Show how predictions integrate directly into existing EHR discharge screens, prompting care coordinators to initiate targeted post-discharge plans.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4.2 Executive Slide Presentation Outline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Slide #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Slide Title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Core Narrative &amp; Visual Element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Slide 1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Transforming Diabetic Care Transitions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Executive overview of clinical readmission challenges and the Machine Learning Early Warning System.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Slide 2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The $2.8M Opportunity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Financial &amp; quality impact breakdown showing preventable readmissions and HRRP penalty avoidance.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Slide 3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How the AI Radar Works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Simplified 4-stage visual flowchart: Data Ingestion -&gt; Risk Scoring -&gt; SHAP Explanation -&gt; Clinical Action.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Slide 4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What Drives Readmission Risk?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Top 5 clinical risk drivers chart (Emergency velocity, Medication volatility, Comorbidities).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Slide 5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In the Clinician's Hands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Mock-up of the EHR patient summary screen featuring risk probability badges and top 5 risk factors.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Slide 6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Implementation Roadmap &amp; ROI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Phased 12-month rollout timeline and governance framework.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A365D"/>
          <w:sz w:val="32"/>
        </w:rPr>
        <w:t>5. Strategic Recommendations &amp; Future Roadmap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5.1 Clinical Implementation Recommendations</w:t>
      </w:r>
    </w:p>
    <w:p>
      <w:pPr>
        <w:pStyle w:val="ListBullet"/>
        <w:spacing w:after="80" w:line="276" w:lineRule="auto"/>
      </w:pPr>
      <w:r>
        <w:rPr>
          <w:b/>
        </w:rPr>
        <w:t xml:space="preserve">Implement Targeted Intervention Bundles: </w:t>
      </w:r>
      <w:r>
        <w:t>Establish standard operating procedures (SOPs) based on risk probability tiers:</w:t>
        <w:br/>
        <w:t>• High Risk (&gt; 60% probability): Mandatory home nurse visit within 48 hours, medication reconciliation by clinical pharmacist, and 7-day outpatient appointment.</w:t>
        <w:br/>
        <w:t>• Moderate Risk (30% - 60% probability): Automated telehealth check-in call sequence and medication adherence mobile reminders.</w:t>
      </w:r>
    </w:p>
    <w:p>
      <w:pPr>
        <w:pStyle w:val="ListBullet"/>
        <w:spacing w:after="80" w:line="276" w:lineRule="auto"/>
      </w:pPr>
      <w:r>
        <w:rPr>
          <w:b/>
        </w:rPr>
        <w:t xml:space="preserve">Embed Explainable Cards in EHR Workflows: </w:t>
      </w:r>
      <w:r>
        <w:t>Integrate sub-200ms SHAP waterfall scorecards directly into Epic/Cerner discharge navigator tabs to ensure physician confidence.</w:t>
      </w:r>
    </w:p>
    <w:p>
      <w:pPr>
        <w:pStyle w:val="ListBullet"/>
        <w:spacing w:after="80" w:line="276" w:lineRule="auto"/>
      </w:pPr>
      <w:r>
        <w:rPr>
          <w:b/>
        </w:rPr>
        <w:t xml:space="preserve">Establish Clinical Feedback Loops: </w:t>
      </w:r>
      <w:r>
        <w:t>Provide clinicians with a simple 'Agree / Disagree' feedback widget inside the EHR to capture qualitative frontline feedback for model validation.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5.2 Technical &amp; Future Research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Target Timeline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Strategic Research &amp; Engineering Objective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Phase 1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Months 1 - 3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Pilot deployment in 2 hospital units; EHR REST API integration; initial clinician feedback gathering.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Phase 2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Months 4 - 6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Incorporate unstructured clinical progress notes via NLP / Transformer embeddings (e.g., BioBERT) to extract social determinants of health (SDOH).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Phase 3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Months 7 - 12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11111"/>
                <w:sz w:val="19"/>
              </w:rPr>
              <w:t>Expand model architecture to predict multi-condition 30-day readmissions (Heart Failure, COPD, Chronic Kidney Disease); continuous drift monitoring via MLflow.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