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Ethical Dilemma Response</w:t>
      </w:r>
    </w:p>
    <w:p>
      <w:pPr>
        <w:pStyle w:val="IntenseQuote"/>
      </w:pPr>
      <w:r>
        <w:t>Scenario: Pressured to Alter Performance Data</w:t>
      </w:r>
    </w:p>
    <w:p>
      <w:r>
        <w:t>Issue Description:</w:t>
        <w:br/>
        <w:t>As an IT Supervisor, I was asked by upper management to adjust the performance metrics of a team to reflect improved results for a quarterly review. The data showed missed deadlines and technical issues, but leadership hinted that 'polishing' the report would benefit the department’s image.</w:t>
      </w:r>
    </w:p>
    <w:p>
      <w:r>
        <w:t>My Decision:</w:t>
        <w:br/>
        <w:t>I decided not to alter the performance data. Instead, I provided a factual report along with a brief summary outlining the reasons for the team’s underperformance, such as a shortage of resources and two unexpected resignations.</w:t>
      </w:r>
    </w:p>
    <w:p>
      <w:r>
        <w:t>Ethical Principle Referenced:</w:t>
        <w:br/>
        <w:t>Integrity — maintaining honesty and accuracy in reporting and communication.</w:t>
      </w:r>
    </w:p>
    <w:p>
      <w:r>
        <w:t>Justification as a Leader:</w:t>
        <w:br/>
        <w:t>My responsibility as a supervisor is to build trust, not just with my superiors, but with my team as well. Misrepresenting data can lead to misguided decisions and reduce accountability. Being transparent allows leadership to identify real issues and invest in long-term solutions.</w:t>
      </w:r>
    </w:p>
    <w:p>
      <w:r>
        <w:br/>
        <w:br/>
        <w:t>References:</w:t>
        <w:br/>
        <w:t>[1] Association for Computing Machinery (ACM). (2022). ACM Code of Ethics and Professional Conduct. https://www.acm.org/code-of-ethics</w:t>
        <w:br/>
        <w:t>[2] American Psychological Association (APA). (2020). Publication Manual of the American Psychological Association (7th ed.).</w:t>
        <w:br/>
        <w:t>[3] U.S. Equal Employment Opportunity Commission. (2023). Laws Enforced by EEOC. https://www.eeoc.gov/laws-guidance</w:t>
        <w:br/>
        <w:t>[4] Hofstede Insights. (2023). Country Comparison. https://www.hofstede-insights.com/product/compare-countries/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