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18886" w14:textId="59BC29A4" w:rsidR="00D71F4D" w:rsidRPr="00D71F4D" w:rsidRDefault="00D71F4D" w:rsidP="00D71F4D">
      <w:pPr>
        <w:pStyle w:val="Heading1"/>
        <w:ind w:left="1440" w:firstLine="720"/>
      </w:pPr>
      <w:r w:rsidRPr="00D71F4D">
        <w:t> KPI Dashboard and Mini Budget Plan</w:t>
      </w:r>
    </w:p>
    <w:p w14:paraId="10C7AEB0" w14:textId="256F21D4" w:rsidR="00D500FC" w:rsidRDefault="00000000">
      <w:pPr>
        <w:pStyle w:val="Heading1"/>
      </w:pPr>
      <w:r>
        <w:t>KPI &amp; Budget Tools</w:t>
      </w:r>
    </w:p>
    <w:p w14:paraId="5785425E" w14:textId="77777777" w:rsidR="00D500FC" w:rsidRDefault="00000000" w:rsidP="00D71F4D">
      <w:pPr>
        <w:jc w:val="both"/>
      </w:pPr>
      <w:r>
        <w:t>Prepared by: Mohd Abraar Uddin</w:t>
      </w:r>
    </w:p>
    <w:p w14:paraId="2E500556" w14:textId="77777777" w:rsidR="00D500FC" w:rsidRDefault="00000000" w:rsidP="00D71F4D">
      <w:pPr>
        <w:jc w:val="both"/>
      </w:pPr>
      <w:r>
        <w:t>Course: Information Technology Field Experience</w:t>
      </w:r>
    </w:p>
    <w:p w14:paraId="4EE99161" w14:textId="3C11CD05" w:rsidR="00D500FC" w:rsidRDefault="00000000" w:rsidP="00D71F4D">
      <w:pPr>
        <w:jc w:val="both"/>
      </w:pPr>
      <w:r>
        <w:t xml:space="preserve">Date: July </w:t>
      </w:r>
      <w:r w:rsidR="00D71F4D">
        <w:t>06</w:t>
      </w:r>
      <w:r>
        <w:t>, 2025</w:t>
      </w:r>
    </w:p>
    <w:p w14:paraId="17DFCF8E" w14:textId="764B7277" w:rsidR="00D500FC" w:rsidRDefault="00000000" w:rsidP="00D71F4D">
      <w:pPr>
        <w:jc w:val="both"/>
      </w:pPr>
      <w:r>
        <w:t>KPI Dashboard – IT Support Team (4 Weeks)</w:t>
      </w:r>
    </w:p>
    <w:p w14:paraId="002A3303" w14:textId="77777777" w:rsidR="00D500FC" w:rsidRDefault="00000000" w:rsidP="00D71F4D">
      <w:pPr>
        <w:jc w:val="both"/>
      </w:pPr>
      <w:r>
        <w:t>Tracking Key Performance Indicators (KPIs) allows IT supervisors to monitor team efficiency, service quality, and alignment with business objectives. The following dashboard outlines five crucial KPIs tracked over four weeks.</w:t>
      </w:r>
    </w:p>
    <w:tbl>
      <w:tblPr>
        <w:tblStyle w:val="TableGrid"/>
        <w:tblW w:w="0" w:type="auto"/>
        <w:tblLook w:val="04A0" w:firstRow="1" w:lastRow="0" w:firstColumn="1" w:lastColumn="0" w:noHBand="0" w:noVBand="1"/>
      </w:tblPr>
      <w:tblGrid>
        <w:gridCol w:w="1350"/>
        <w:gridCol w:w="1206"/>
        <w:gridCol w:w="1197"/>
        <w:gridCol w:w="1198"/>
        <w:gridCol w:w="1198"/>
        <w:gridCol w:w="1198"/>
        <w:gridCol w:w="1509"/>
      </w:tblGrid>
      <w:tr w:rsidR="00D500FC" w14:paraId="700AEC15" w14:textId="77777777">
        <w:tc>
          <w:tcPr>
            <w:tcW w:w="1234" w:type="dxa"/>
          </w:tcPr>
          <w:p w14:paraId="6DF3A4F2" w14:textId="77777777" w:rsidR="00D500FC" w:rsidRDefault="00000000">
            <w:r>
              <w:t>KPI Name</w:t>
            </w:r>
          </w:p>
        </w:tc>
        <w:tc>
          <w:tcPr>
            <w:tcW w:w="1234" w:type="dxa"/>
          </w:tcPr>
          <w:p w14:paraId="370BD439" w14:textId="77777777" w:rsidR="00D500FC" w:rsidRDefault="00000000">
            <w:r>
              <w:t>Unit</w:t>
            </w:r>
          </w:p>
        </w:tc>
        <w:tc>
          <w:tcPr>
            <w:tcW w:w="1234" w:type="dxa"/>
          </w:tcPr>
          <w:p w14:paraId="5BD95DC1" w14:textId="77777777" w:rsidR="00D500FC" w:rsidRDefault="00000000">
            <w:r>
              <w:t>Week 1</w:t>
            </w:r>
          </w:p>
        </w:tc>
        <w:tc>
          <w:tcPr>
            <w:tcW w:w="1234" w:type="dxa"/>
          </w:tcPr>
          <w:p w14:paraId="3CEEA728" w14:textId="77777777" w:rsidR="00D500FC" w:rsidRDefault="00000000">
            <w:r>
              <w:t>Week 2</w:t>
            </w:r>
          </w:p>
        </w:tc>
        <w:tc>
          <w:tcPr>
            <w:tcW w:w="1234" w:type="dxa"/>
          </w:tcPr>
          <w:p w14:paraId="2A8F6E8B" w14:textId="77777777" w:rsidR="00D500FC" w:rsidRDefault="00000000">
            <w:r>
              <w:t>Week 3</w:t>
            </w:r>
          </w:p>
        </w:tc>
        <w:tc>
          <w:tcPr>
            <w:tcW w:w="1234" w:type="dxa"/>
          </w:tcPr>
          <w:p w14:paraId="5B908923" w14:textId="77777777" w:rsidR="00D500FC" w:rsidRDefault="00000000">
            <w:r>
              <w:t>Week 4</w:t>
            </w:r>
          </w:p>
        </w:tc>
        <w:tc>
          <w:tcPr>
            <w:tcW w:w="1234" w:type="dxa"/>
          </w:tcPr>
          <w:p w14:paraId="52E9D7DC" w14:textId="77777777" w:rsidR="00D500FC" w:rsidRDefault="00000000">
            <w:r>
              <w:t>Goal / Status</w:t>
            </w:r>
          </w:p>
        </w:tc>
      </w:tr>
      <w:tr w:rsidR="00D500FC" w14:paraId="7853D92E" w14:textId="77777777">
        <w:tc>
          <w:tcPr>
            <w:tcW w:w="1234" w:type="dxa"/>
          </w:tcPr>
          <w:p w14:paraId="6E0FE7AC" w14:textId="77777777" w:rsidR="00D500FC" w:rsidRDefault="00000000">
            <w:r>
              <w:t>Average Ticket Resolution</w:t>
            </w:r>
          </w:p>
        </w:tc>
        <w:tc>
          <w:tcPr>
            <w:tcW w:w="1234" w:type="dxa"/>
          </w:tcPr>
          <w:p w14:paraId="7337B009" w14:textId="77777777" w:rsidR="00D500FC" w:rsidRDefault="00000000">
            <w:r>
              <w:t>Hours</w:t>
            </w:r>
          </w:p>
        </w:tc>
        <w:tc>
          <w:tcPr>
            <w:tcW w:w="1234" w:type="dxa"/>
          </w:tcPr>
          <w:p w14:paraId="3A694188" w14:textId="77777777" w:rsidR="00D500FC" w:rsidRDefault="00000000">
            <w:r>
              <w:t>5.2</w:t>
            </w:r>
          </w:p>
        </w:tc>
        <w:tc>
          <w:tcPr>
            <w:tcW w:w="1234" w:type="dxa"/>
          </w:tcPr>
          <w:p w14:paraId="7303C669" w14:textId="77777777" w:rsidR="00D500FC" w:rsidRDefault="00000000">
            <w:r>
              <w:t>4.8</w:t>
            </w:r>
          </w:p>
        </w:tc>
        <w:tc>
          <w:tcPr>
            <w:tcW w:w="1234" w:type="dxa"/>
          </w:tcPr>
          <w:p w14:paraId="72DF9956" w14:textId="77777777" w:rsidR="00D500FC" w:rsidRDefault="00000000">
            <w:r>
              <w:t>4.3</w:t>
            </w:r>
          </w:p>
        </w:tc>
        <w:tc>
          <w:tcPr>
            <w:tcW w:w="1234" w:type="dxa"/>
          </w:tcPr>
          <w:p w14:paraId="070A675D" w14:textId="77777777" w:rsidR="00D500FC" w:rsidRDefault="00000000">
            <w:r>
              <w:t>3.9</w:t>
            </w:r>
          </w:p>
        </w:tc>
        <w:tc>
          <w:tcPr>
            <w:tcW w:w="1234" w:type="dxa"/>
          </w:tcPr>
          <w:p w14:paraId="352C1CA6" w14:textId="77777777" w:rsidR="00D500FC" w:rsidRDefault="00000000">
            <w:r>
              <w:t>≤ 4 Hours / ⚠️ Needs Improvement</w:t>
            </w:r>
          </w:p>
        </w:tc>
      </w:tr>
      <w:tr w:rsidR="00D500FC" w14:paraId="6A747F19" w14:textId="77777777">
        <w:tc>
          <w:tcPr>
            <w:tcW w:w="1234" w:type="dxa"/>
          </w:tcPr>
          <w:p w14:paraId="43BFA17D" w14:textId="77777777" w:rsidR="00D500FC" w:rsidRDefault="00000000">
            <w:r>
              <w:t>Customer Satisfaction Score</w:t>
            </w:r>
          </w:p>
        </w:tc>
        <w:tc>
          <w:tcPr>
            <w:tcW w:w="1234" w:type="dxa"/>
          </w:tcPr>
          <w:p w14:paraId="29A301EB" w14:textId="77777777" w:rsidR="00D500FC" w:rsidRDefault="00000000">
            <w:r>
              <w:t>Percent</w:t>
            </w:r>
          </w:p>
        </w:tc>
        <w:tc>
          <w:tcPr>
            <w:tcW w:w="1234" w:type="dxa"/>
          </w:tcPr>
          <w:p w14:paraId="6D8D4F1D" w14:textId="77777777" w:rsidR="00D500FC" w:rsidRDefault="00000000">
            <w:r>
              <w:t>85%</w:t>
            </w:r>
          </w:p>
        </w:tc>
        <w:tc>
          <w:tcPr>
            <w:tcW w:w="1234" w:type="dxa"/>
          </w:tcPr>
          <w:p w14:paraId="6120F4F5" w14:textId="77777777" w:rsidR="00D500FC" w:rsidRDefault="00000000">
            <w:r>
              <w:t>88%</w:t>
            </w:r>
          </w:p>
        </w:tc>
        <w:tc>
          <w:tcPr>
            <w:tcW w:w="1234" w:type="dxa"/>
          </w:tcPr>
          <w:p w14:paraId="48624AB9" w14:textId="77777777" w:rsidR="00D500FC" w:rsidRDefault="00000000">
            <w:r>
              <w:t>90%</w:t>
            </w:r>
          </w:p>
        </w:tc>
        <w:tc>
          <w:tcPr>
            <w:tcW w:w="1234" w:type="dxa"/>
          </w:tcPr>
          <w:p w14:paraId="7DD96E60" w14:textId="77777777" w:rsidR="00D500FC" w:rsidRDefault="00000000">
            <w:r>
              <w:t>92%</w:t>
            </w:r>
          </w:p>
        </w:tc>
        <w:tc>
          <w:tcPr>
            <w:tcW w:w="1234" w:type="dxa"/>
          </w:tcPr>
          <w:p w14:paraId="196C4A8B" w14:textId="77777777" w:rsidR="00D500FC" w:rsidRDefault="00000000">
            <w:r>
              <w:t>≥ 90% / ✅ On Track</w:t>
            </w:r>
          </w:p>
        </w:tc>
      </w:tr>
      <w:tr w:rsidR="00D500FC" w14:paraId="6F91A502" w14:textId="77777777">
        <w:tc>
          <w:tcPr>
            <w:tcW w:w="1234" w:type="dxa"/>
          </w:tcPr>
          <w:p w14:paraId="123CE2A9" w14:textId="77777777" w:rsidR="00D500FC" w:rsidRDefault="00000000">
            <w:r>
              <w:t>First Contact Resolution</w:t>
            </w:r>
          </w:p>
        </w:tc>
        <w:tc>
          <w:tcPr>
            <w:tcW w:w="1234" w:type="dxa"/>
          </w:tcPr>
          <w:p w14:paraId="44D03B8B" w14:textId="77777777" w:rsidR="00D500FC" w:rsidRDefault="00000000">
            <w:r>
              <w:t>Percent</w:t>
            </w:r>
          </w:p>
        </w:tc>
        <w:tc>
          <w:tcPr>
            <w:tcW w:w="1234" w:type="dxa"/>
          </w:tcPr>
          <w:p w14:paraId="03892EA6" w14:textId="77777777" w:rsidR="00D500FC" w:rsidRDefault="00000000">
            <w:r>
              <w:t>65%</w:t>
            </w:r>
          </w:p>
        </w:tc>
        <w:tc>
          <w:tcPr>
            <w:tcW w:w="1234" w:type="dxa"/>
          </w:tcPr>
          <w:p w14:paraId="40CF400A" w14:textId="77777777" w:rsidR="00D500FC" w:rsidRDefault="00000000">
            <w:r>
              <w:t>70%</w:t>
            </w:r>
          </w:p>
        </w:tc>
        <w:tc>
          <w:tcPr>
            <w:tcW w:w="1234" w:type="dxa"/>
          </w:tcPr>
          <w:p w14:paraId="69D8A023" w14:textId="77777777" w:rsidR="00D500FC" w:rsidRDefault="00000000">
            <w:r>
              <w:t>73%</w:t>
            </w:r>
          </w:p>
        </w:tc>
        <w:tc>
          <w:tcPr>
            <w:tcW w:w="1234" w:type="dxa"/>
          </w:tcPr>
          <w:p w14:paraId="36845D1F" w14:textId="77777777" w:rsidR="00D500FC" w:rsidRDefault="00000000">
            <w:r>
              <w:t>78%</w:t>
            </w:r>
          </w:p>
        </w:tc>
        <w:tc>
          <w:tcPr>
            <w:tcW w:w="1234" w:type="dxa"/>
          </w:tcPr>
          <w:p w14:paraId="0EF53226" w14:textId="77777777" w:rsidR="00D500FC" w:rsidRDefault="00000000">
            <w:r>
              <w:t>≥ 75% / ✅ Achieved</w:t>
            </w:r>
          </w:p>
        </w:tc>
      </w:tr>
      <w:tr w:rsidR="00D500FC" w14:paraId="0E0B4248" w14:textId="77777777">
        <w:tc>
          <w:tcPr>
            <w:tcW w:w="1234" w:type="dxa"/>
          </w:tcPr>
          <w:p w14:paraId="41742953" w14:textId="77777777" w:rsidR="00D500FC" w:rsidRDefault="00000000">
            <w:r>
              <w:t>System Uptime</w:t>
            </w:r>
          </w:p>
        </w:tc>
        <w:tc>
          <w:tcPr>
            <w:tcW w:w="1234" w:type="dxa"/>
          </w:tcPr>
          <w:p w14:paraId="206228B3" w14:textId="77777777" w:rsidR="00D500FC" w:rsidRDefault="00000000">
            <w:r>
              <w:t>Percent</w:t>
            </w:r>
          </w:p>
        </w:tc>
        <w:tc>
          <w:tcPr>
            <w:tcW w:w="1234" w:type="dxa"/>
          </w:tcPr>
          <w:p w14:paraId="70C022CE" w14:textId="77777777" w:rsidR="00D500FC" w:rsidRDefault="00000000">
            <w:r>
              <w:t>98.5%</w:t>
            </w:r>
          </w:p>
        </w:tc>
        <w:tc>
          <w:tcPr>
            <w:tcW w:w="1234" w:type="dxa"/>
          </w:tcPr>
          <w:p w14:paraId="1604397E" w14:textId="77777777" w:rsidR="00D500FC" w:rsidRDefault="00000000">
            <w:r>
              <w:t>99.0%</w:t>
            </w:r>
          </w:p>
        </w:tc>
        <w:tc>
          <w:tcPr>
            <w:tcW w:w="1234" w:type="dxa"/>
          </w:tcPr>
          <w:p w14:paraId="3B1E459B" w14:textId="77777777" w:rsidR="00D500FC" w:rsidRDefault="00000000">
            <w:r>
              <w:t>99.2%</w:t>
            </w:r>
          </w:p>
        </w:tc>
        <w:tc>
          <w:tcPr>
            <w:tcW w:w="1234" w:type="dxa"/>
          </w:tcPr>
          <w:p w14:paraId="136112F1" w14:textId="77777777" w:rsidR="00D500FC" w:rsidRDefault="00000000">
            <w:r>
              <w:t>99.5%</w:t>
            </w:r>
          </w:p>
        </w:tc>
        <w:tc>
          <w:tcPr>
            <w:tcW w:w="1234" w:type="dxa"/>
          </w:tcPr>
          <w:p w14:paraId="0E2073E8" w14:textId="77777777" w:rsidR="00D500FC" w:rsidRDefault="00000000">
            <w:r>
              <w:t>≥ 99% / ✅ On Track</w:t>
            </w:r>
          </w:p>
        </w:tc>
      </w:tr>
      <w:tr w:rsidR="00D500FC" w14:paraId="08911D02" w14:textId="77777777">
        <w:tc>
          <w:tcPr>
            <w:tcW w:w="1234" w:type="dxa"/>
          </w:tcPr>
          <w:p w14:paraId="60FA8412" w14:textId="77777777" w:rsidR="00D500FC" w:rsidRDefault="00000000">
            <w:r>
              <w:t>Tickets Closed Per Week</w:t>
            </w:r>
          </w:p>
        </w:tc>
        <w:tc>
          <w:tcPr>
            <w:tcW w:w="1234" w:type="dxa"/>
          </w:tcPr>
          <w:p w14:paraId="05A97E0F" w14:textId="77777777" w:rsidR="00D500FC" w:rsidRDefault="00000000">
            <w:r>
              <w:t>Tickets</w:t>
            </w:r>
          </w:p>
        </w:tc>
        <w:tc>
          <w:tcPr>
            <w:tcW w:w="1234" w:type="dxa"/>
          </w:tcPr>
          <w:p w14:paraId="5255BEEB" w14:textId="77777777" w:rsidR="00D500FC" w:rsidRDefault="00000000">
            <w:r>
              <w:t>42</w:t>
            </w:r>
          </w:p>
        </w:tc>
        <w:tc>
          <w:tcPr>
            <w:tcW w:w="1234" w:type="dxa"/>
          </w:tcPr>
          <w:p w14:paraId="3E8A236D" w14:textId="77777777" w:rsidR="00D500FC" w:rsidRDefault="00000000">
            <w:r>
              <w:t>47</w:t>
            </w:r>
          </w:p>
        </w:tc>
        <w:tc>
          <w:tcPr>
            <w:tcW w:w="1234" w:type="dxa"/>
          </w:tcPr>
          <w:p w14:paraId="547DCF35" w14:textId="77777777" w:rsidR="00D500FC" w:rsidRDefault="00000000">
            <w:r>
              <w:t>51</w:t>
            </w:r>
          </w:p>
        </w:tc>
        <w:tc>
          <w:tcPr>
            <w:tcW w:w="1234" w:type="dxa"/>
          </w:tcPr>
          <w:p w14:paraId="79831072" w14:textId="77777777" w:rsidR="00D500FC" w:rsidRDefault="00000000">
            <w:r>
              <w:t>56</w:t>
            </w:r>
          </w:p>
        </w:tc>
        <w:tc>
          <w:tcPr>
            <w:tcW w:w="1234" w:type="dxa"/>
          </w:tcPr>
          <w:p w14:paraId="341AF0B5" w14:textId="77777777" w:rsidR="00D500FC" w:rsidRDefault="00000000">
            <w:r>
              <w:t>≥ 50 / ✅ Achieved</w:t>
            </w:r>
          </w:p>
        </w:tc>
      </w:tr>
    </w:tbl>
    <w:p w14:paraId="354AA6C4" w14:textId="77777777" w:rsidR="00D71F4D" w:rsidRDefault="00D71F4D"/>
    <w:p w14:paraId="4212939E" w14:textId="11F313C8" w:rsidR="00D500FC" w:rsidRDefault="00000000" w:rsidP="00D71F4D">
      <w:pPr>
        <w:jc w:val="both"/>
      </w:pPr>
      <w:r>
        <w:t>According to the HDI (formerly Help Desk Institute), industry benchmarks suggest an average ticket resolution time of under 4 hours and customer satisfaction scores above 90% (HDI, 2023). These metrics are critical for ensuring responsive and reliable IT support.</w:t>
      </w:r>
    </w:p>
    <w:p w14:paraId="1ACAD0E1" w14:textId="77777777" w:rsidR="00D71F4D" w:rsidRDefault="00D71F4D"/>
    <w:p w14:paraId="545EF61E" w14:textId="77777777" w:rsidR="00D71F4D" w:rsidRDefault="00D71F4D"/>
    <w:p w14:paraId="671DC90E" w14:textId="77777777" w:rsidR="00D71F4D" w:rsidRDefault="00D71F4D"/>
    <w:p w14:paraId="159F2AC0" w14:textId="77777777" w:rsidR="00D71F4D" w:rsidRDefault="00D71F4D"/>
    <w:p w14:paraId="756C56D7" w14:textId="77777777" w:rsidR="00D71F4D" w:rsidRDefault="00D71F4D"/>
    <w:p w14:paraId="06585DFD" w14:textId="77777777" w:rsidR="00D71F4D" w:rsidRDefault="00D71F4D"/>
    <w:p w14:paraId="193BA822" w14:textId="77777777" w:rsidR="00D71F4D" w:rsidRDefault="00D71F4D"/>
    <w:p w14:paraId="49A6C68A" w14:textId="77777777" w:rsidR="00D71F4D" w:rsidRDefault="00D71F4D"/>
    <w:p w14:paraId="1D28130A" w14:textId="77777777" w:rsidR="00D71F4D" w:rsidRDefault="00D71F4D"/>
    <w:p w14:paraId="5DB5EF96" w14:textId="77777777" w:rsidR="00D500FC" w:rsidRDefault="00000000">
      <w:r>
        <w:rPr>
          <w:noProof/>
        </w:rPr>
        <w:drawing>
          <wp:inline distT="0" distB="0" distL="0" distR="0" wp14:anchorId="407F2E71" wp14:editId="6A257E4A">
            <wp:extent cx="5943600" cy="346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anded_KPI_Chart.png"/>
                    <pic:cNvPicPr/>
                  </pic:nvPicPr>
                  <pic:blipFill>
                    <a:blip r:embed="rId6"/>
                    <a:stretch>
                      <a:fillRect/>
                    </a:stretch>
                  </pic:blipFill>
                  <pic:spPr>
                    <a:xfrm>
                      <a:off x="0" y="0"/>
                      <a:ext cx="5943600" cy="3467100"/>
                    </a:xfrm>
                    <a:prstGeom prst="rect">
                      <a:avLst/>
                    </a:prstGeom>
                  </pic:spPr>
                </pic:pic>
              </a:graphicData>
            </a:graphic>
          </wp:inline>
        </w:drawing>
      </w:r>
    </w:p>
    <w:p w14:paraId="27B52982" w14:textId="77777777" w:rsidR="00D500FC" w:rsidRDefault="00000000" w:rsidP="00D71F4D">
      <w:pPr>
        <w:ind w:left="720" w:firstLine="720"/>
      </w:pPr>
      <w:r>
        <w:t>Figure 1. KPI trends for IT support team over a 4-week period.</w:t>
      </w:r>
    </w:p>
    <w:p w14:paraId="2B9D33C4" w14:textId="77777777" w:rsidR="00D71F4D" w:rsidRDefault="00D71F4D"/>
    <w:p w14:paraId="16F0702F" w14:textId="77777777" w:rsidR="00D71F4D" w:rsidRDefault="00D71F4D"/>
    <w:p w14:paraId="74E00A0E" w14:textId="77777777" w:rsidR="00D71F4D" w:rsidRDefault="00D71F4D"/>
    <w:p w14:paraId="4E51BA87" w14:textId="77777777" w:rsidR="00D71F4D" w:rsidRDefault="00D71F4D"/>
    <w:p w14:paraId="7C4B7F61" w14:textId="77777777" w:rsidR="00D71F4D" w:rsidRDefault="00D71F4D"/>
    <w:p w14:paraId="1E05ADAB" w14:textId="77777777" w:rsidR="00D71F4D" w:rsidRDefault="00D71F4D"/>
    <w:p w14:paraId="7EEBB71D" w14:textId="77777777" w:rsidR="00D71F4D" w:rsidRDefault="00D71F4D"/>
    <w:p w14:paraId="371EA927" w14:textId="77777777" w:rsidR="00D71F4D" w:rsidRDefault="00D71F4D"/>
    <w:p w14:paraId="3766618C" w14:textId="77777777" w:rsidR="00D71F4D" w:rsidRDefault="00D71F4D"/>
    <w:p w14:paraId="6E8181DD" w14:textId="77777777" w:rsidR="00D71F4D" w:rsidRDefault="00D71F4D"/>
    <w:p w14:paraId="6EE722B2" w14:textId="77777777" w:rsidR="00D71F4D" w:rsidRDefault="00D71F4D"/>
    <w:p w14:paraId="6D01BA73" w14:textId="77777777" w:rsidR="00D71F4D" w:rsidRDefault="00D71F4D"/>
    <w:p w14:paraId="15074313" w14:textId="77777777" w:rsidR="00D71F4D" w:rsidRDefault="00D71F4D"/>
    <w:p w14:paraId="6C0FF2E6" w14:textId="77777777" w:rsidR="00D71F4D" w:rsidRPr="00D71F4D" w:rsidRDefault="00D71F4D" w:rsidP="00D71F4D">
      <w:pPr>
        <w:jc w:val="both"/>
        <w:rPr>
          <w:b/>
          <w:bCs/>
        </w:rPr>
      </w:pPr>
      <w:r w:rsidRPr="00D71F4D">
        <w:rPr>
          <w:b/>
          <w:bCs/>
        </w:rPr>
        <w:t>Mini Budget Plan – July 2025</w:t>
      </w:r>
    </w:p>
    <w:p w14:paraId="3AE65F6F" w14:textId="77777777" w:rsidR="00D71F4D" w:rsidRPr="00D71F4D" w:rsidRDefault="00D71F4D" w:rsidP="00D71F4D">
      <w:pPr>
        <w:jc w:val="both"/>
      </w:pPr>
      <w:r w:rsidRPr="00D71F4D">
        <w:t>Budget planning allows supervisors to strategically allocate resources to tools, equipment, and employee development that enhance productivity and service quality. Below is a monthly estimate for a typical small IT support team.</w:t>
      </w:r>
    </w:p>
    <w:tbl>
      <w:tblPr>
        <w:tblStyle w:val="TableGrid"/>
        <w:tblW w:w="0" w:type="auto"/>
        <w:tblLook w:val="04A0" w:firstRow="1" w:lastRow="0" w:firstColumn="1" w:lastColumn="0" w:noHBand="0" w:noVBand="1"/>
      </w:tblPr>
      <w:tblGrid>
        <w:gridCol w:w="1425"/>
        <w:gridCol w:w="1469"/>
        <w:gridCol w:w="1438"/>
        <w:gridCol w:w="1392"/>
        <w:gridCol w:w="1409"/>
        <w:gridCol w:w="1723"/>
      </w:tblGrid>
      <w:tr w:rsidR="00D71F4D" w:rsidRPr="00D71F4D" w14:paraId="231B1FB5" w14:textId="77777777" w:rsidTr="00D71F4D">
        <w:tc>
          <w:tcPr>
            <w:tcW w:w="1440" w:type="dxa"/>
            <w:tcBorders>
              <w:top w:val="single" w:sz="4" w:space="0" w:color="auto"/>
              <w:left w:val="single" w:sz="4" w:space="0" w:color="auto"/>
              <w:bottom w:val="single" w:sz="4" w:space="0" w:color="auto"/>
              <w:right w:val="single" w:sz="4" w:space="0" w:color="auto"/>
            </w:tcBorders>
            <w:hideMark/>
          </w:tcPr>
          <w:p w14:paraId="32E80529" w14:textId="77777777" w:rsidR="00D71F4D" w:rsidRPr="00D71F4D" w:rsidRDefault="00D71F4D" w:rsidP="00D71F4D">
            <w:pPr>
              <w:spacing w:after="200" w:line="276" w:lineRule="auto"/>
            </w:pPr>
            <w:r w:rsidRPr="00D71F4D">
              <w:t>Category</w:t>
            </w:r>
          </w:p>
        </w:tc>
        <w:tc>
          <w:tcPr>
            <w:tcW w:w="1440" w:type="dxa"/>
            <w:tcBorders>
              <w:top w:val="single" w:sz="4" w:space="0" w:color="auto"/>
              <w:left w:val="single" w:sz="4" w:space="0" w:color="auto"/>
              <w:bottom w:val="single" w:sz="4" w:space="0" w:color="auto"/>
              <w:right w:val="single" w:sz="4" w:space="0" w:color="auto"/>
            </w:tcBorders>
            <w:hideMark/>
          </w:tcPr>
          <w:p w14:paraId="0A1AB596" w14:textId="77777777" w:rsidR="00D71F4D" w:rsidRPr="00D71F4D" w:rsidRDefault="00D71F4D" w:rsidP="00D71F4D">
            <w:pPr>
              <w:spacing w:after="200" w:line="276" w:lineRule="auto"/>
            </w:pPr>
            <w:r w:rsidRPr="00D71F4D">
              <w:t>Item</w:t>
            </w:r>
          </w:p>
        </w:tc>
        <w:tc>
          <w:tcPr>
            <w:tcW w:w="1440" w:type="dxa"/>
            <w:tcBorders>
              <w:top w:val="single" w:sz="4" w:space="0" w:color="auto"/>
              <w:left w:val="single" w:sz="4" w:space="0" w:color="auto"/>
              <w:bottom w:val="single" w:sz="4" w:space="0" w:color="auto"/>
              <w:right w:val="single" w:sz="4" w:space="0" w:color="auto"/>
            </w:tcBorders>
            <w:hideMark/>
          </w:tcPr>
          <w:p w14:paraId="3DB4FE1B" w14:textId="77777777" w:rsidR="00D71F4D" w:rsidRPr="00D71F4D" w:rsidRDefault="00D71F4D" w:rsidP="00D71F4D">
            <w:pPr>
              <w:spacing w:after="200" w:line="276" w:lineRule="auto"/>
            </w:pPr>
            <w:r w:rsidRPr="00D71F4D">
              <w:t>Unit Cost</w:t>
            </w:r>
          </w:p>
        </w:tc>
        <w:tc>
          <w:tcPr>
            <w:tcW w:w="1440" w:type="dxa"/>
            <w:tcBorders>
              <w:top w:val="single" w:sz="4" w:space="0" w:color="auto"/>
              <w:left w:val="single" w:sz="4" w:space="0" w:color="auto"/>
              <w:bottom w:val="single" w:sz="4" w:space="0" w:color="auto"/>
              <w:right w:val="single" w:sz="4" w:space="0" w:color="auto"/>
            </w:tcBorders>
            <w:hideMark/>
          </w:tcPr>
          <w:p w14:paraId="638517A4" w14:textId="77777777" w:rsidR="00D71F4D" w:rsidRPr="00D71F4D" w:rsidRDefault="00D71F4D" w:rsidP="00D71F4D">
            <w:pPr>
              <w:spacing w:after="200" w:line="276" w:lineRule="auto"/>
            </w:pPr>
            <w:r w:rsidRPr="00D71F4D">
              <w:t>Qty</w:t>
            </w:r>
          </w:p>
        </w:tc>
        <w:tc>
          <w:tcPr>
            <w:tcW w:w="1440" w:type="dxa"/>
            <w:tcBorders>
              <w:top w:val="single" w:sz="4" w:space="0" w:color="auto"/>
              <w:left w:val="single" w:sz="4" w:space="0" w:color="auto"/>
              <w:bottom w:val="single" w:sz="4" w:space="0" w:color="auto"/>
              <w:right w:val="single" w:sz="4" w:space="0" w:color="auto"/>
            </w:tcBorders>
            <w:hideMark/>
          </w:tcPr>
          <w:p w14:paraId="03E8D383" w14:textId="77777777" w:rsidR="00D71F4D" w:rsidRPr="00D71F4D" w:rsidRDefault="00D71F4D" w:rsidP="00D71F4D">
            <w:pPr>
              <w:spacing w:after="200" w:line="276" w:lineRule="auto"/>
            </w:pPr>
            <w:r w:rsidRPr="00D71F4D">
              <w:t>Total Cost</w:t>
            </w:r>
          </w:p>
        </w:tc>
        <w:tc>
          <w:tcPr>
            <w:tcW w:w="1440" w:type="dxa"/>
            <w:tcBorders>
              <w:top w:val="single" w:sz="4" w:space="0" w:color="auto"/>
              <w:left w:val="single" w:sz="4" w:space="0" w:color="auto"/>
              <w:bottom w:val="single" w:sz="4" w:space="0" w:color="auto"/>
              <w:right w:val="single" w:sz="4" w:space="0" w:color="auto"/>
            </w:tcBorders>
            <w:hideMark/>
          </w:tcPr>
          <w:p w14:paraId="1606EF68" w14:textId="77777777" w:rsidR="00D71F4D" w:rsidRPr="00D71F4D" w:rsidRDefault="00D71F4D" w:rsidP="00D71F4D">
            <w:pPr>
              <w:spacing w:after="200" w:line="276" w:lineRule="auto"/>
            </w:pPr>
            <w:r w:rsidRPr="00D71F4D">
              <w:t>Purpose</w:t>
            </w:r>
          </w:p>
        </w:tc>
      </w:tr>
      <w:tr w:rsidR="00D71F4D" w:rsidRPr="00D71F4D" w14:paraId="48B2EF48" w14:textId="77777777" w:rsidTr="00D71F4D">
        <w:tc>
          <w:tcPr>
            <w:tcW w:w="1440" w:type="dxa"/>
            <w:tcBorders>
              <w:top w:val="single" w:sz="4" w:space="0" w:color="auto"/>
              <w:left w:val="single" w:sz="4" w:space="0" w:color="auto"/>
              <w:bottom w:val="single" w:sz="4" w:space="0" w:color="auto"/>
              <w:right w:val="single" w:sz="4" w:space="0" w:color="auto"/>
            </w:tcBorders>
            <w:hideMark/>
          </w:tcPr>
          <w:p w14:paraId="629C1BB3" w14:textId="77777777" w:rsidR="00D71F4D" w:rsidRPr="00D71F4D" w:rsidRDefault="00D71F4D" w:rsidP="00D71F4D">
            <w:pPr>
              <w:spacing w:after="200" w:line="276" w:lineRule="auto"/>
            </w:pPr>
            <w:r w:rsidRPr="00D71F4D">
              <w:t>Software</w:t>
            </w:r>
          </w:p>
        </w:tc>
        <w:tc>
          <w:tcPr>
            <w:tcW w:w="1440" w:type="dxa"/>
            <w:tcBorders>
              <w:top w:val="single" w:sz="4" w:space="0" w:color="auto"/>
              <w:left w:val="single" w:sz="4" w:space="0" w:color="auto"/>
              <w:bottom w:val="single" w:sz="4" w:space="0" w:color="auto"/>
              <w:right w:val="single" w:sz="4" w:space="0" w:color="auto"/>
            </w:tcBorders>
            <w:hideMark/>
          </w:tcPr>
          <w:p w14:paraId="19DF7DAB" w14:textId="77777777" w:rsidR="00D71F4D" w:rsidRPr="00D71F4D" w:rsidRDefault="00D71F4D" w:rsidP="00D71F4D">
            <w:pPr>
              <w:spacing w:after="200" w:line="276" w:lineRule="auto"/>
            </w:pPr>
            <w:r w:rsidRPr="00D71F4D">
              <w:t>Zoom Pro License</w:t>
            </w:r>
          </w:p>
        </w:tc>
        <w:tc>
          <w:tcPr>
            <w:tcW w:w="1440" w:type="dxa"/>
            <w:tcBorders>
              <w:top w:val="single" w:sz="4" w:space="0" w:color="auto"/>
              <w:left w:val="single" w:sz="4" w:space="0" w:color="auto"/>
              <w:bottom w:val="single" w:sz="4" w:space="0" w:color="auto"/>
              <w:right w:val="single" w:sz="4" w:space="0" w:color="auto"/>
            </w:tcBorders>
            <w:hideMark/>
          </w:tcPr>
          <w:p w14:paraId="2DE4C238" w14:textId="77777777" w:rsidR="00D71F4D" w:rsidRPr="00D71F4D" w:rsidRDefault="00D71F4D" w:rsidP="00D71F4D">
            <w:pPr>
              <w:spacing w:after="200" w:line="276" w:lineRule="auto"/>
            </w:pPr>
            <w:r w:rsidRPr="00D71F4D">
              <w:t>$15/month</w:t>
            </w:r>
          </w:p>
        </w:tc>
        <w:tc>
          <w:tcPr>
            <w:tcW w:w="1440" w:type="dxa"/>
            <w:tcBorders>
              <w:top w:val="single" w:sz="4" w:space="0" w:color="auto"/>
              <w:left w:val="single" w:sz="4" w:space="0" w:color="auto"/>
              <w:bottom w:val="single" w:sz="4" w:space="0" w:color="auto"/>
              <w:right w:val="single" w:sz="4" w:space="0" w:color="auto"/>
            </w:tcBorders>
            <w:hideMark/>
          </w:tcPr>
          <w:p w14:paraId="3BFBA18E" w14:textId="77777777" w:rsidR="00D71F4D" w:rsidRPr="00D71F4D" w:rsidRDefault="00D71F4D" w:rsidP="00D71F4D">
            <w:pPr>
              <w:spacing w:after="200" w:line="276" w:lineRule="auto"/>
            </w:pPr>
            <w:r w:rsidRPr="00D71F4D">
              <w:t>5</w:t>
            </w:r>
          </w:p>
        </w:tc>
        <w:tc>
          <w:tcPr>
            <w:tcW w:w="1440" w:type="dxa"/>
            <w:tcBorders>
              <w:top w:val="single" w:sz="4" w:space="0" w:color="auto"/>
              <w:left w:val="single" w:sz="4" w:space="0" w:color="auto"/>
              <w:bottom w:val="single" w:sz="4" w:space="0" w:color="auto"/>
              <w:right w:val="single" w:sz="4" w:space="0" w:color="auto"/>
            </w:tcBorders>
            <w:hideMark/>
          </w:tcPr>
          <w:p w14:paraId="3F719BCE" w14:textId="77777777" w:rsidR="00D71F4D" w:rsidRPr="00D71F4D" w:rsidRDefault="00D71F4D" w:rsidP="00D71F4D">
            <w:pPr>
              <w:spacing w:after="200" w:line="276" w:lineRule="auto"/>
            </w:pPr>
            <w:r w:rsidRPr="00D71F4D">
              <w:t>$75</w:t>
            </w:r>
          </w:p>
        </w:tc>
        <w:tc>
          <w:tcPr>
            <w:tcW w:w="1440" w:type="dxa"/>
            <w:tcBorders>
              <w:top w:val="single" w:sz="4" w:space="0" w:color="auto"/>
              <w:left w:val="single" w:sz="4" w:space="0" w:color="auto"/>
              <w:bottom w:val="single" w:sz="4" w:space="0" w:color="auto"/>
              <w:right w:val="single" w:sz="4" w:space="0" w:color="auto"/>
            </w:tcBorders>
            <w:hideMark/>
          </w:tcPr>
          <w:p w14:paraId="0472F1CD" w14:textId="77777777" w:rsidR="00D71F4D" w:rsidRPr="00D71F4D" w:rsidRDefault="00D71F4D" w:rsidP="00D71F4D">
            <w:pPr>
              <w:spacing w:after="200" w:line="276" w:lineRule="auto"/>
            </w:pPr>
            <w:r w:rsidRPr="00D71F4D">
              <w:t>Video conferencing for remote meetings</w:t>
            </w:r>
          </w:p>
        </w:tc>
      </w:tr>
      <w:tr w:rsidR="00D71F4D" w:rsidRPr="00D71F4D" w14:paraId="0E9E2D5B" w14:textId="77777777" w:rsidTr="00D71F4D">
        <w:tc>
          <w:tcPr>
            <w:tcW w:w="1440" w:type="dxa"/>
            <w:tcBorders>
              <w:top w:val="single" w:sz="4" w:space="0" w:color="auto"/>
              <w:left w:val="single" w:sz="4" w:space="0" w:color="auto"/>
              <w:bottom w:val="single" w:sz="4" w:space="0" w:color="auto"/>
              <w:right w:val="single" w:sz="4" w:space="0" w:color="auto"/>
            </w:tcBorders>
            <w:hideMark/>
          </w:tcPr>
          <w:p w14:paraId="139284A3" w14:textId="77777777" w:rsidR="00D71F4D" w:rsidRPr="00D71F4D" w:rsidRDefault="00D71F4D" w:rsidP="00D71F4D">
            <w:pPr>
              <w:spacing w:after="200" w:line="276" w:lineRule="auto"/>
            </w:pPr>
            <w:r w:rsidRPr="00D71F4D">
              <w:t>Hardware</w:t>
            </w:r>
          </w:p>
        </w:tc>
        <w:tc>
          <w:tcPr>
            <w:tcW w:w="1440" w:type="dxa"/>
            <w:tcBorders>
              <w:top w:val="single" w:sz="4" w:space="0" w:color="auto"/>
              <w:left w:val="single" w:sz="4" w:space="0" w:color="auto"/>
              <w:bottom w:val="single" w:sz="4" w:space="0" w:color="auto"/>
              <w:right w:val="single" w:sz="4" w:space="0" w:color="auto"/>
            </w:tcBorders>
            <w:hideMark/>
          </w:tcPr>
          <w:p w14:paraId="76F70EC5" w14:textId="77777777" w:rsidR="00D71F4D" w:rsidRPr="00D71F4D" w:rsidRDefault="00D71F4D" w:rsidP="00D71F4D">
            <w:pPr>
              <w:spacing w:after="200" w:line="276" w:lineRule="auto"/>
            </w:pPr>
            <w:r w:rsidRPr="00D71F4D">
              <w:t>Helpdesk Chairs</w:t>
            </w:r>
          </w:p>
        </w:tc>
        <w:tc>
          <w:tcPr>
            <w:tcW w:w="1440" w:type="dxa"/>
            <w:tcBorders>
              <w:top w:val="single" w:sz="4" w:space="0" w:color="auto"/>
              <w:left w:val="single" w:sz="4" w:space="0" w:color="auto"/>
              <w:bottom w:val="single" w:sz="4" w:space="0" w:color="auto"/>
              <w:right w:val="single" w:sz="4" w:space="0" w:color="auto"/>
            </w:tcBorders>
            <w:hideMark/>
          </w:tcPr>
          <w:p w14:paraId="7EFE8630" w14:textId="77777777" w:rsidR="00D71F4D" w:rsidRPr="00D71F4D" w:rsidRDefault="00D71F4D" w:rsidP="00D71F4D">
            <w:pPr>
              <w:spacing w:after="200" w:line="276" w:lineRule="auto"/>
            </w:pPr>
            <w:r w:rsidRPr="00D71F4D">
              <w:t>$120 each</w:t>
            </w:r>
          </w:p>
        </w:tc>
        <w:tc>
          <w:tcPr>
            <w:tcW w:w="1440" w:type="dxa"/>
            <w:tcBorders>
              <w:top w:val="single" w:sz="4" w:space="0" w:color="auto"/>
              <w:left w:val="single" w:sz="4" w:space="0" w:color="auto"/>
              <w:bottom w:val="single" w:sz="4" w:space="0" w:color="auto"/>
              <w:right w:val="single" w:sz="4" w:space="0" w:color="auto"/>
            </w:tcBorders>
            <w:hideMark/>
          </w:tcPr>
          <w:p w14:paraId="056ECB90" w14:textId="77777777" w:rsidR="00D71F4D" w:rsidRPr="00D71F4D" w:rsidRDefault="00D71F4D" w:rsidP="00D71F4D">
            <w:pPr>
              <w:spacing w:after="200" w:line="276" w:lineRule="auto"/>
            </w:pPr>
            <w:r w:rsidRPr="00D71F4D">
              <w:t>3</w:t>
            </w:r>
          </w:p>
        </w:tc>
        <w:tc>
          <w:tcPr>
            <w:tcW w:w="1440" w:type="dxa"/>
            <w:tcBorders>
              <w:top w:val="single" w:sz="4" w:space="0" w:color="auto"/>
              <w:left w:val="single" w:sz="4" w:space="0" w:color="auto"/>
              <w:bottom w:val="single" w:sz="4" w:space="0" w:color="auto"/>
              <w:right w:val="single" w:sz="4" w:space="0" w:color="auto"/>
            </w:tcBorders>
            <w:hideMark/>
          </w:tcPr>
          <w:p w14:paraId="06840AFD" w14:textId="77777777" w:rsidR="00D71F4D" w:rsidRPr="00D71F4D" w:rsidRDefault="00D71F4D" w:rsidP="00D71F4D">
            <w:pPr>
              <w:spacing w:after="200" w:line="276" w:lineRule="auto"/>
            </w:pPr>
            <w:r w:rsidRPr="00D71F4D">
              <w:t>$360</w:t>
            </w:r>
          </w:p>
        </w:tc>
        <w:tc>
          <w:tcPr>
            <w:tcW w:w="1440" w:type="dxa"/>
            <w:tcBorders>
              <w:top w:val="single" w:sz="4" w:space="0" w:color="auto"/>
              <w:left w:val="single" w:sz="4" w:space="0" w:color="auto"/>
              <w:bottom w:val="single" w:sz="4" w:space="0" w:color="auto"/>
              <w:right w:val="single" w:sz="4" w:space="0" w:color="auto"/>
            </w:tcBorders>
            <w:hideMark/>
          </w:tcPr>
          <w:p w14:paraId="12A63DD1" w14:textId="77777777" w:rsidR="00D71F4D" w:rsidRPr="00D71F4D" w:rsidRDefault="00D71F4D" w:rsidP="00D71F4D">
            <w:pPr>
              <w:spacing w:after="200" w:line="276" w:lineRule="auto"/>
            </w:pPr>
            <w:r w:rsidRPr="00D71F4D">
              <w:t>Ergonomic seating to improve productivity</w:t>
            </w:r>
          </w:p>
        </w:tc>
      </w:tr>
      <w:tr w:rsidR="00D71F4D" w:rsidRPr="00D71F4D" w14:paraId="74E04FEE" w14:textId="77777777" w:rsidTr="00D71F4D">
        <w:tc>
          <w:tcPr>
            <w:tcW w:w="1440" w:type="dxa"/>
            <w:tcBorders>
              <w:top w:val="single" w:sz="4" w:space="0" w:color="auto"/>
              <w:left w:val="single" w:sz="4" w:space="0" w:color="auto"/>
              <w:bottom w:val="single" w:sz="4" w:space="0" w:color="auto"/>
              <w:right w:val="single" w:sz="4" w:space="0" w:color="auto"/>
            </w:tcBorders>
            <w:hideMark/>
          </w:tcPr>
          <w:p w14:paraId="653EB8E6" w14:textId="77777777" w:rsidR="00D71F4D" w:rsidRPr="00D71F4D" w:rsidRDefault="00D71F4D" w:rsidP="00D71F4D">
            <w:pPr>
              <w:spacing w:after="200" w:line="276" w:lineRule="auto"/>
            </w:pPr>
            <w:r w:rsidRPr="00D71F4D">
              <w:t>Training</w:t>
            </w:r>
          </w:p>
        </w:tc>
        <w:tc>
          <w:tcPr>
            <w:tcW w:w="1440" w:type="dxa"/>
            <w:tcBorders>
              <w:top w:val="single" w:sz="4" w:space="0" w:color="auto"/>
              <w:left w:val="single" w:sz="4" w:space="0" w:color="auto"/>
              <w:bottom w:val="single" w:sz="4" w:space="0" w:color="auto"/>
              <w:right w:val="single" w:sz="4" w:space="0" w:color="auto"/>
            </w:tcBorders>
            <w:hideMark/>
          </w:tcPr>
          <w:p w14:paraId="32483C47" w14:textId="77777777" w:rsidR="00D71F4D" w:rsidRPr="00D71F4D" w:rsidRDefault="00D71F4D" w:rsidP="00D71F4D">
            <w:pPr>
              <w:spacing w:after="200" w:line="276" w:lineRule="auto"/>
            </w:pPr>
            <w:r w:rsidRPr="00D71F4D">
              <w:t>ITIL Certification</w:t>
            </w:r>
          </w:p>
        </w:tc>
        <w:tc>
          <w:tcPr>
            <w:tcW w:w="1440" w:type="dxa"/>
            <w:tcBorders>
              <w:top w:val="single" w:sz="4" w:space="0" w:color="auto"/>
              <w:left w:val="single" w:sz="4" w:space="0" w:color="auto"/>
              <w:bottom w:val="single" w:sz="4" w:space="0" w:color="auto"/>
              <w:right w:val="single" w:sz="4" w:space="0" w:color="auto"/>
            </w:tcBorders>
            <w:hideMark/>
          </w:tcPr>
          <w:p w14:paraId="183D38C7" w14:textId="77777777" w:rsidR="00D71F4D" w:rsidRPr="00D71F4D" w:rsidRDefault="00D71F4D" w:rsidP="00D71F4D">
            <w:pPr>
              <w:spacing w:after="200" w:line="276" w:lineRule="auto"/>
            </w:pPr>
            <w:r w:rsidRPr="00D71F4D">
              <w:t>$300/person</w:t>
            </w:r>
          </w:p>
        </w:tc>
        <w:tc>
          <w:tcPr>
            <w:tcW w:w="1440" w:type="dxa"/>
            <w:tcBorders>
              <w:top w:val="single" w:sz="4" w:space="0" w:color="auto"/>
              <w:left w:val="single" w:sz="4" w:space="0" w:color="auto"/>
              <w:bottom w:val="single" w:sz="4" w:space="0" w:color="auto"/>
              <w:right w:val="single" w:sz="4" w:space="0" w:color="auto"/>
            </w:tcBorders>
            <w:hideMark/>
          </w:tcPr>
          <w:p w14:paraId="7FB7DA9E" w14:textId="77777777" w:rsidR="00D71F4D" w:rsidRPr="00D71F4D" w:rsidRDefault="00D71F4D" w:rsidP="00D71F4D">
            <w:pPr>
              <w:spacing w:after="200" w:line="276" w:lineRule="auto"/>
            </w:pPr>
            <w:r w:rsidRPr="00D71F4D">
              <w:t>2</w:t>
            </w:r>
          </w:p>
        </w:tc>
        <w:tc>
          <w:tcPr>
            <w:tcW w:w="1440" w:type="dxa"/>
            <w:tcBorders>
              <w:top w:val="single" w:sz="4" w:space="0" w:color="auto"/>
              <w:left w:val="single" w:sz="4" w:space="0" w:color="auto"/>
              <w:bottom w:val="single" w:sz="4" w:space="0" w:color="auto"/>
              <w:right w:val="single" w:sz="4" w:space="0" w:color="auto"/>
            </w:tcBorders>
            <w:hideMark/>
          </w:tcPr>
          <w:p w14:paraId="4B4AE5AB" w14:textId="77777777" w:rsidR="00D71F4D" w:rsidRPr="00D71F4D" w:rsidRDefault="00D71F4D" w:rsidP="00D71F4D">
            <w:pPr>
              <w:spacing w:after="200" w:line="276" w:lineRule="auto"/>
            </w:pPr>
            <w:r w:rsidRPr="00D71F4D">
              <w:t>$600</w:t>
            </w:r>
          </w:p>
        </w:tc>
        <w:tc>
          <w:tcPr>
            <w:tcW w:w="1440" w:type="dxa"/>
            <w:tcBorders>
              <w:top w:val="single" w:sz="4" w:space="0" w:color="auto"/>
              <w:left w:val="single" w:sz="4" w:space="0" w:color="auto"/>
              <w:bottom w:val="single" w:sz="4" w:space="0" w:color="auto"/>
              <w:right w:val="single" w:sz="4" w:space="0" w:color="auto"/>
            </w:tcBorders>
            <w:hideMark/>
          </w:tcPr>
          <w:p w14:paraId="1359BE25" w14:textId="05CC9277" w:rsidR="00D71F4D" w:rsidRPr="00D71F4D" w:rsidRDefault="00361962" w:rsidP="00D71F4D">
            <w:pPr>
              <w:spacing w:after="200" w:line="276" w:lineRule="auto"/>
            </w:pPr>
            <w:r w:rsidRPr="00D71F4D">
              <w:t>Upskilled</w:t>
            </w:r>
            <w:r w:rsidR="00D71F4D" w:rsidRPr="00D71F4D">
              <w:t xml:space="preserve"> staff in IT service management</w:t>
            </w:r>
          </w:p>
        </w:tc>
      </w:tr>
      <w:tr w:rsidR="00D71F4D" w:rsidRPr="00D71F4D" w14:paraId="3FB9668A" w14:textId="77777777" w:rsidTr="00D71F4D">
        <w:tc>
          <w:tcPr>
            <w:tcW w:w="1440" w:type="dxa"/>
            <w:tcBorders>
              <w:top w:val="single" w:sz="4" w:space="0" w:color="auto"/>
              <w:left w:val="single" w:sz="4" w:space="0" w:color="auto"/>
              <w:bottom w:val="single" w:sz="4" w:space="0" w:color="auto"/>
              <w:right w:val="single" w:sz="4" w:space="0" w:color="auto"/>
            </w:tcBorders>
            <w:hideMark/>
          </w:tcPr>
          <w:p w14:paraId="5C674A08" w14:textId="77777777" w:rsidR="00D71F4D" w:rsidRPr="00D71F4D" w:rsidRDefault="00D71F4D" w:rsidP="00D71F4D">
            <w:pPr>
              <w:spacing w:after="200" w:line="276" w:lineRule="auto"/>
            </w:pPr>
            <w:r w:rsidRPr="00D71F4D">
              <w:t>Tools</w:t>
            </w:r>
          </w:p>
        </w:tc>
        <w:tc>
          <w:tcPr>
            <w:tcW w:w="1440" w:type="dxa"/>
            <w:tcBorders>
              <w:top w:val="single" w:sz="4" w:space="0" w:color="auto"/>
              <w:left w:val="single" w:sz="4" w:space="0" w:color="auto"/>
              <w:bottom w:val="single" w:sz="4" w:space="0" w:color="auto"/>
              <w:right w:val="single" w:sz="4" w:space="0" w:color="auto"/>
            </w:tcBorders>
            <w:hideMark/>
          </w:tcPr>
          <w:p w14:paraId="018FF664" w14:textId="77777777" w:rsidR="00D71F4D" w:rsidRPr="00D71F4D" w:rsidRDefault="00D71F4D" w:rsidP="00D71F4D">
            <w:pPr>
              <w:spacing w:after="200" w:line="276" w:lineRule="auto"/>
            </w:pPr>
            <w:r w:rsidRPr="00D71F4D">
              <w:t>TeamViewer License</w:t>
            </w:r>
          </w:p>
        </w:tc>
        <w:tc>
          <w:tcPr>
            <w:tcW w:w="1440" w:type="dxa"/>
            <w:tcBorders>
              <w:top w:val="single" w:sz="4" w:space="0" w:color="auto"/>
              <w:left w:val="single" w:sz="4" w:space="0" w:color="auto"/>
              <w:bottom w:val="single" w:sz="4" w:space="0" w:color="auto"/>
              <w:right w:val="single" w:sz="4" w:space="0" w:color="auto"/>
            </w:tcBorders>
            <w:hideMark/>
          </w:tcPr>
          <w:p w14:paraId="0AEC19DF" w14:textId="77777777" w:rsidR="00D71F4D" w:rsidRPr="00D71F4D" w:rsidRDefault="00D71F4D" w:rsidP="00D71F4D">
            <w:pPr>
              <w:spacing w:after="200" w:line="276" w:lineRule="auto"/>
            </w:pPr>
            <w:r w:rsidRPr="00D71F4D">
              <w:t>$50/month</w:t>
            </w:r>
          </w:p>
        </w:tc>
        <w:tc>
          <w:tcPr>
            <w:tcW w:w="1440" w:type="dxa"/>
            <w:tcBorders>
              <w:top w:val="single" w:sz="4" w:space="0" w:color="auto"/>
              <w:left w:val="single" w:sz="4" w:space="0" w:color="auto"/>
              <w:bottom w:val="single" w:sz="4" w:space="0" w:color="auto"/>
              <w:right w:val="single" w:sz="4" w:space="0" w:color="auto"/>
            </w:tcBorders>
            <w:hideMark/>
          </w:tcPr>
          <w:p w14:paraId="1EA934B1" w14:textId="77777777" w:rsidR="00D71F4D" w:rsidRPr="00D71F4D" w:rsidRDefault="00D71F4D" w:rsidP="00D71F4D">
            <w:pPr>
              <w:spacing w:after="200" w:line="276" w:lineRule="auto"/>
            </w:pPr>
            <w:r w:rsidRPr="00D71F4D">
              <w:t>1</w:t>
            </w:r>
          </w:p>
        </w:tc>
        <w:tc>
          <w:tcPr>
            <w:tcW w:w="1440" w:type="dxa"/>
            <w:tcBorders>
              <w:top w:val="single" w:sz="4" w:space="0" w:color="auto"/>
              <w:left w:val="single" w:sz="4" w:space="0" w:color="auto"/>
              <w:bottom w:val="single" w:sz="4" w:space="0" w:color="auto"/>
              <w:right w:val="single" w:sz="4" w:space="0" w:color="auto"/>
            </w:tcBorders>
            <w:hideMark/>
          </w:tcPr>
          <w:p w14:paraId="5C571D83" w14:textId="77777777" w:rsidR="00D71F4D" w:rsidRPr="00D71F4D" w:rsidRDefault="00D71F4D" w:rsidP="00D71F4D">
            <w:pPr>
              <w:spacing w:after="200" w:line="276" w:lineRule="auto"/>
            </w:pPr>
            <w:r w:rsidRPr="00D71F4D">
              <w:t>$50</w:t>
            </w:r>
          </w:p>
        </w:tc>
        <w:tc>
          <w:tcPr>
            <w:tcW w:w="1440" w:type="dxa"/>
            <w:tcBorders>
              <w:top w:val="single" w:sz="4" w:space="0" w:color="auto"/>
              <w:left w:val="single" w:sz="4" w:space="0" w:color="auto"/>
              <w:bottom w:val="single" w:sz="4" w:space="0" w:color="auto"/>
              <w:right w:val="single" w:sz="4" w:space="0" w:color="auto"/>
            </w:tcBorders>
            <w:hideMark/>
          </w:tcPr>
          <w:p w14:paraId="15141D6C" w14:textId="77777777" w:rsidR="00D71F4D" w:rsidRPr="00D71F4D" w:rsidRDefault="00D71F4D" w:rsidP="00D71F4D">
            <w:pPr>
              <w:spacing w:after="200" w:line="276" w:lineRule="auto"/>
            </w:pPr>
            <w:r w:rsidRPr="00D71F4D">
              <w:t>Remote support for troubleshooting</w:t>
            </w:r>
          </w:p>
        </w:tc>
      </w:tr>
      <w:tr w:rsidR="00D71F4D" w:rsidRPr="00D71F4D" w14:paraId="1575E1EC" w14:textId="77777777" w:rsidTr="00D71F4D">
        <w:tc>
          <w:tcPr>
            <w:tcW w:w="1440" w:type="dxa"/>
            <w:tcBorders>
              <w:top w:val="single" w:sz="4" w:space="0" w:color="auto"/>
              <w:left w:val="single" w:sz="4" w:space="0" w:color="auto"/>
              <w:bottom w:val="single" w:sz="4" w:space="0" w:color="auto"/>
              <w:right w:val="single" w:sz="4" w:space="0" w:color="auto"/>
            </w:tcBorders>
            <w:hideMark/>
          </w:tcPr>
          <w:p w14:paraId="469F9FB6" w14:textId="77777777" w:rsidR="00D71F4D" w:rsidRPr="00D71F4D" w:rsidRDefault="00D71F4D" w:rsidP="00D71F4D">
            <w:pPr>
              <w:spacing w:after="200" w:line="276" w:lineRule="auto"/>
            </w:pPr>
            <w:r w:rsidRPr="00D71F4D">
              <w:t>Total</w:t>
            </w:r>
          </w:p>
        </w:tc>
        <w:tc>
          <w:tcPr>
            <w:tcW w:w="1440" w:type="dxa"/>
            <w:tcBorders>
              <w:top w:val="single" w:sz="4" w:space="0" w:color="auto"/>
              <w:left w:val="single" w:sz="4" w:space="0" w:color="auto"/>
              <w:bottom w:val="single" w:sz="4" w:space="0" w:color="auto"/>
              <w:right w:val="single" w:sz="4" w:space="0" w:color="auto"/>
            </w:tcBorders>
          </w:tcPr>
          <w:p w14:paraId="74BEF250" w14:textId="77777777" w:rsidR="00D71F4D" w:rsidRPr="00D71F4D" w:rsidRDefault="00D71F4D" w:rsidP="00D71F4D">
            <w:pPr>
              <w:spacing w:after="200" w:line="276" w:lineRule="auto"/>
            </w:pPr>
          </w:p>
        </w:tc>
        <w:tc>
          <w:tcPr>
            <w:tcW w:w="1440" w:type="dxa"/>
            <w:tcBorders>
              <w:top w:val="single" w:sz="4" w:space="0" w:color="auto"/>
              <w:left w:val="single" w:sz="4" w:space="0" w:color="auto"/>
              <w:bottom w:val="single" w:sz="4" w:space="0" w:color="auto"/>
              <w:right w:val="single" w:sz="4" w:space="0" w:color="auto"/>
            </w:tcBorders>
          </w:tcPr>
          <w:p w14:paraId="5C62E82A" w14:textId="77777777" w:rsidR="00D71F4D" w:rsidRPr="00D71F4D" w:rsidRDefault="00D71F4D" w:rsidP="00D71F4D">
            <w:pPr>
              <w:spacing w:after="200" w:line="276" w:lineRule="auto"/>
            </w:pPr>
          </w:p>
        </w:tc>
        <w:tc>
          <w:tcPr>
            <w:tcW w:w="1440" w:type="dxa"/>
            <w:tcBorders>
              <w:top w:val="single" w:sz="4" w:space="0" w:color="auto"/>
              <w:left w:val="single" w:sz="4" w:space="0" w:color="auto"/>
              <w:bottom w:val="single" w:sz="4" w:space="0" w:color="auto"/>
              <w:right w:val="single" w:sz="4" w:space="0" w:color="auto"/>
            </w:tcBorders>
          </w:tcPr>
          <w:p w14:paraId="59716BE6" w14:textId="77777777" w:rsidR="00D71F4D" w:rsidRPr="00D71F4D" w:rsidRDefault="00D71F4D" w:rsidP="00D71F4D">
            <w:pPr>
              <w:spacing w:after="200" w:line="276" w:lineRule="auto"/>
            </w:pPr>
          </w:p>
        </w:tc>
        <w:tc>
          <w:tcPr>
            <w:tcW w:w="1440" w:type="dxa"/>
            <w:tcBorders>
              <w:top w:val="single" w:sz="4" w:space="0" w:color="auto"/>
              <w:left w:val="single" w:sz="4" w:space="0" w:color="auto"/>
              <w:bottom w:val="single" w:sz="4" w:space="0" w:color="auto"/>
              <w:right w:val="single" w:sz="4" w:space="0" w:color="auto"/>
            </w:tcBorders>
            <w:hideMark/>
          </w:tcPr>
          <w:p w14:paraId="6F452BD2" w14:textId="77777777" w:rsidR="00D71F4D" w:rsidRPr="00D71F4D" w:rsidRDefault="00D71F4D" w:rsidP="00D71F4D">
            <w:pPr>
              <w:spacing w:after="200" w:line="276" w:lineRule="auto"/>
            </w:pPr>
            <w:r w:rsidRPr="00D71F4D">
              <w:t>$1,085</w:t>
            </w:r>
          </w:p>
        </w:tc>
        <w:tc>
          <w:tcPr>
            <w:tcW w:w="1440" w:type="dxa"/>
            <w:tcBorders>
              <w:top w:val="single" w:sz="4" w:space="0" w:color="auto"/>
              <w:left w:val="single" w:sz="4" w:space="0" w:color="auto"/>
              <w:bottom w:val="single" w:sz="4" w:space="0" w:color="auto"/>
              <w:right w:val="single" w:sz="4" w:space="0" w:color="auto"/>
            </w:tcBorders>
          </w:tcPr>
          <w:p w14:paraId="4BAF0C40" w14:textId="77777777" w:rsidR="00D71F4D" w:rsidRPr="00D71F4D" w:rsidRDefault="00D71F4D" w:rsidP="00D71F4D">
            <w:pPr>
              <w:spacing w:after="200" w:line="276" w:lineRule="auto"/>
            </w:pPr>
          </w:p>
        </w:tc>
      </w:tr>
    </w:tbl>
    <w:p w14:paraId="4DF3CB90" w14:textId="77777777" w:rsidR="00200E0D" w:rsidRDefault="00200E0D" w:rsidP="00D71F4D">
      <w:pPr>
        <w:jc w:val="both"/>
      </w:pPr>
    </w:p>
    <w:p w14:paraId="6668D913" w14:textId="36EA19FD" w:rsidR="00D71F4D" w:rsidRPr="00D71F4D" w:rsidRDefault="00D71F4D" w:rsidP="00D71F4D">
      <w:pPr>
        <w:jc w:val="both"/>
      </w:pPr>
      <w:r w:rsidRPr="00D71F4D">
        <w:t>Investing in certifications such as ITIL not only boosts employee skills but also aligns service practices with global IT standards. A study by Axelos (2021) revealed that teams trained in ITIL showed a 30% improvement in service efficiency.</w:t>
      </w:r>
    </w:p>
    <w:p w14:paraId="7C884D6A" w14:textId="1CD52630" w:rsidR="00D71F4D" w:rsidRPr="00D71F4D" w:rsidRDefault="00D71F4D" w:rsidP="00200E0D">
      <w:r w:rsidRPr="00D71F4D">
        <w:br w:type="page"/>
      </w:r>
      <w:r w:rsidRPr="00D71F4D">
        <w:rPr>
          <w:b/>
          <w:bCs/>
        </w:rPr>
        <w:lastRenderedPageBreak/>
        <w:t>Monthly Supervisor Summary Report – July 2025</w:t>
      </w:r>
    </w:p>
    <w:p w14:paraId="140EE00F" w14:textId="77777777" w:rsidR="00D71F4D" w:rsidRPr="00D71F4D" w:rsidRDefault="00D71F4D" w:rsidP="00D71F4D">
      <w:pPr>
        <w:jc w:val="both"/>
      </w:pPr>
      <w:r w:rsidRPr="00D71F4D">
        <w:t>To: Director of IT Operations</w:t>
      </w:r>
    </w:p>
    <w:p w14:paraId="19B65F5E" w14:textId="77777777" w:rsidR="00D71F4D" w:rsidRPr="00D71F4D" w:rsidRDefault="00D71F4D" w:rsidP="00D71F4D">
      <w:pPr>
        <w:jc w:val="both"/>
      </w:pPr>
      <w:r w:rsidRPr="00D71F4D">
        <w:t>From: Mohd Abraar Uddin, IT Supervisor</w:t>
      </w:r>
    </w:p>
    <w:p w14:paraId="04754A4E" w14:textId="77777777" w:rsidR="00D71F4D" w:rsidRPr="00D71F4D" w:rsidRDefault="00D71F4D" w:rsidP="00D71F4D">
      <w:pPr>
        <w:jc w:val="both"/>
      </w:pPr>
      <w:r w:rsidRPr="00D71F4D">
        <w:t>Date: July 31, 2025</w:t>
      </w:r>
    </w:p>
    <w:p w14:paraId="22B04BCF" w14:textId="77777777" w:rsidR="00D71F4D" w:rsidRPr="00D71F4D" w:rsidRDefault="00D71F4D" w:rsidP="00D71F4D">
      <w:pPr>
        <w:jc w:val="both"/>
      </w:pPr>
      <w:r w:rsidRPr="00D71F4D">
        <w:t>Subject: Monthly Team Performance &amp; Budget Summary</w:t>
      </w:r>
    </w:p>
    <w:p w14:paraId="605903E3" w14:textId="2CF58705" w:rsidR="00D71F4D" w:rsidRPr="00D71F4D" w:rsidRDefault="00D71F4D" w:rsidP="00D71F4D">
      <w:pPr>
        <w:jc w:val="both"/>
      </w:pPr>
      <w:r w:rsidRPr="00D71F4D">
        <w:t>This month, our IT support team made significant strides in service delivery and efficiency. Our average ticket resolution time decreased from 5.2 hours to 3.9 hours, closely approaching the industry benchmark of under 4 hours (HDI, 2023). Customer satisfaction improved from 85% to 92%, reflecting our commitment to high-quality support.</w:t>
      </w:r>
      <w:r w:rsidRPr="00D71F4D">
        <w:br/>
      </w:r>
      <w:r w:rsidRPr="00D71F4D">
        <w:br/>
        <w:t>The budget allocation of $1,085 was directed towards essential tools, ergonomic upgrades, and staff training. Notably, two team members enrolled in ITIL certification training, which is expected to improve our incident management and service quality (Axelos,2021).</w:t>
      </w:r>
      <w:r w:rsidRPr="00D71F4D">
        <w:br/>
      </w:r>
      <w:r w:rsidRPr="00D71F4D">
        <w:br/>
        <w:t>Areas for improvement include enhancing initial ticket triage to consistently meet the average resolution time goal. Next steps involve implementing automated categorization for incoming requests and conducting a team workshop on knowledge base optimization. These efforts will support continued KPI improvements and operational excellence.</w:t>
      </w:r>
    </w:p>
    <w:p w14:paraId="51F70470" w14:textId="77777777" w:rsidR="00D71F4D" w:rsidRPr="00D71F4D" w:rsidRDefault="00D71F4D" w:rsidP="00D71F4D">
      <w:pPr>
        <w:rPr>
          <w:b/>
          <w:bCs/>
        </w:rPr>
      </w:pPr>
      <w:r w:rsidRPr="00D71F4D">
        <w:rPr>
          <w:b/>
          <w:bCs/>
        </w:rPr>
        <w:t>References</w:t>
      </w:r>
    </w:p>
    <w:p w14:paraId="0C7228E3" w14:textId="4451A069" w:rsidR="00D71F4D" w:rsidRPr="00D71F4D" w:rsidRDefault="00D71F4D" w:rsidP="00D71F4D">
      <w:r w:rsidRPr="00D71F4D">
        <w:t xml:space="preserve">Axelos. (2021). </w:t>
      </w:r>
      <w:r>
        <w:t>“</w:t>
      </w:r>
      <w:r w:rsidRPr="00D71F4D">
        <w:t>The Impact of ITIL 4 on IT Service Teams</w:t>
      </w:r>
      <w:r>
        <w:t>”</w:t>
      </w:r>
      <w:r w:rsidRPr="00D71F4D">
        <w:t>. https://www.axelos.com/news/itil-4-impact</w:t>
      </w:r>
    </w:p>
    <w:p w14:paraId="12974B08" w14:textId="260DE70B" w:rsidR="00D71F4D" w:rsidRPr="00D71F4D" w:rsidRDefault="00D71F4D" w:rsidP="00D71F4D">
      <w:r w:rsidRPr="00D71F4D">
        <w:t xml:space="preserve">HDI. (2023). </w:t>
      </w:r>
      <w:r>
        <w:t>“</w:t>
      </w:r>
      <w:r w:rsidRPr="00D71F4D">
        <w:t>Technical Support Practices &amp; Salary Report</w:t>
      </w:r>
      <w:r>
        <w:t>”</w:t>
      </w:r>
      <w:r w:rsidRPr="00D71F4D">
        <w:t>. https://www.thinkhdi.com/resources/research.aspx</w:t>
      </w:r>
    </w:p>
    <w:p w14:paraId="13ED05D7" w14:textId="77777777" w:rsidR="00D71F4D" w:rsidRDefault="00D71F4D"/>
    <w:p w14:paraId="6C0615CC" w14:textId="77777777" w:rsidR="00D500FC" w:rsidRDefault="00000000">
      <w:r>
        <w:br w:type="page"/>
      </w:r>
    </w:p>
    <w:sectPr w:rsidR="00D500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8806196">
    <w:abstractNumId w:val="8"/>
  </w:num>
  <w:num w:numId="2" w16cid:durableId="266623389">
    <w:abstractNumId w:val="6"/>
  </w:num>
  <w:num w:numId="3" w16cid:durableId="522978483">
    <w:abstractNumId w:val="5"/>
  </w:num>
  <w:num w:numId="4" w16cid:durableId="2143421937">
    <w:abstractNumId w:val="4"/>
  </w:num>
  <w:num w:numId="5" w16cid:durableId="529992157">
    <w:abstractNumId w:val="7"/>
  </w:num>
  <w:num w:numId="6" w16cid:durableId="1206893">
    <w:abstractNumId w:val="3"/>
  </w:num>
  <w:num w:numId="7" w16cid:durableId="865412414">
    <w:abstractNumId w:val="2"/>
  </w:num>
  <w:num w:numId="8" w16cid:durableId="1876774855">
    <w:abstractNumId w:val="1"/>
  </w:num>
  <w:num w:numId="9" w16cid:durableId="108093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0E0D"/>
    <w:rsid w:val="0029639D"/>
    <w:rsid w:val="00326F90"/>
    <w:rsid w:val="00361962"/>
    <w:rsid w:val="00AA1D8D"/>
    <w:rsid w:val="00B47730"/>
    <w:rsid w:val="00B938A9"/>
    <w:rsid w:val="00CB0664"/>
    <w:rsid w:val="00D500FC"/>
    <w:rsid w:val="00D71F4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77E7E3"/>
  <w14:defaultImageDpi w14:val="300"/>
  <w15:docId w15:val="{56A67B9D-C3C5-48D8-995B-39EC2FB45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9933002">
      <w:bodyDiv w:val="1"/>
      <w:marLeft w:val="0"/>
      <w:marRight w:val="0"/>
      <w:marTop w:val="0"/>
      <w:marBottom w:val="0"/>
      <w:divBdr>
        <w:top w:val="none" w:sz="0" w:space="0" w:color="auto"/>
        <w:left w:val="none" w:sz="0" w:space="0" w:color="auto"/>
        <w:bottom w:val="none" w:sz="0" w:space="0" w:color="auto"/>
        <w:right w:val="none" w:sz="0" w:space="0" w:color="auto"/>
      </w:divBdr>
    </w:div>
    <w:div w:id="20060124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AMohd23</cp:lastModifiedBy>
  <cp:revision>4</cp:revision>
  <dcterms:created xsi:type="dcterms:W3CDTF">2013-12-23T23:15:00Z</dcterms:created>
  <dcterms:modified xsi:type="dcterms:W3CDTF">2025-07-07T00:34:00Z</dcterms:modified>
  <cp:category/>
</cp:coreProperties>
</file>