
<file path=[Content_Types].xml><?xml version="1.0" encoding="utf-8"?>
<Types xmlns="http://schemas.openxmlformats.org/package/2006/content-types">
  <Default Extension="rels" ContentType="application/vnd.openxml-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Small"/>
      </w:pPr>
      <w:r>
        <w:rPr>
          <w:b/>
          <w:color w:val="8A5A2B"/>
        </w:rPr>
        <w:t xml:space="preserve">ANAY CONSULTANTS &amp; ENGINEERS</w:t>
      </w:r>
      <w:r>
        <w:rPr>
          <w:color w:val="8A5A2B"/>
        </w:rPr>
        <w:t xml:space="preserve"/>
      </w:r>
    </w:p>
    <w:p>
      <w:pPr>
        <w:pStyle w:val="Small"/>
      </w:pPr>
      <w:r>
        <w:rPr>
          <w:color w:val="5A6469"/>
        </w:rPr>
        <w:t xml:space="preserve">06  |  ACE SERVICE GUIDE</w:t>
      </w:r>
    </w:p>
    <w:p>
      <w:pPr>
        <w:pStyle w:val="Title"/>
      </w:pPr>
      <w:r>
        <w:t xml:space="preserve">Environmental Services</w:t>
      </w:r>
    </w:p>
    <w:p>
      <w:pPr>
        <w:pStyle w:val="Subtitle"/>
      </w:pPr>
      <w:r>
        <w:t xml:space="preserve">Baseline studies, monitoring and compliance support for projects that need evidence from field to filing.</w:t>
      </w:r>
    </w:p>
    <w:p>
      <w:pPr>
        <w:pStyle w:val="Small"/>
      </w:pPr>
      <w:r>
        <w:t xml:space="preserve">Prepared for service communication, technical briefing and project scoping</w:t>
      </w:r>
    </w:p>
    <w:p>
      <w:pPr>
        <w:pStyle w:val="Small"/>
      </w:pPr>
      <w:r>
        <w:t xml:space="preserve">Version 1.0  |  17 October 2026  |  Indore, Madhya Pradesh</w:t>
      </w:r>
    </w:p>
    <w:p>
      <w:pPr>
        <w:pStyle w:val="Note"/>
      </w:pPr>
      <w:r>
        <w:rPr>
          <w:b/>
          <w:color w:val="8A5A2B"/>
        </w:rPr>
        <w:t>Important: </w:t>
      </w:r>
      <w:r>
        <w:rPr>
          <w:i/>
          <w:color w:val="5A4635"/>
        </w:rPr>
        <w:t xml:space="preserve">This guide is a detailed service description, not a statutory approval, accreditation certificate, legal opinion or guarantee of project outcome. Applicable standards, permissions, accreditation scope and deliverables must be confirmed for the specific assignment.</w:t>
      </w:r>
    </w:p>
    <w:p>
      <w:pPr>
        <w:pStyle w:val="Normal"/>
      </w:pPr>
      <w:r>
        <w:br w:type="page"/>
      </w:r>
    </w:p>
    <w:p>
      <w:pPr>
        <w:pStyle w:val="Heading1"/>
        <w:keepNext/>
      </w:pPr>
      <w:r>
        <w:t xml:space="preserve">1. Service overview</w:t>
      </w:r>
    </w:p>
    <w:p>
      <w:pPr>
        <w:pStyle w:val="Normal"/>
      </w:pPr>
      <w:r>
        <w:t xml:space="preserve">Environmental work is useful when field observations, laboratory results, project assumptions and approval conditions describe the same project. ACE supports clients with monitoring, baseline information, environmental data packs, EIA/EMP technical inputs and consent-condition organization through the project life cycle.</w:t>
      </w:r>
    </w:p>
    <w:p>
      <w:pPr>
        <w:pStyle w:val="Normal"/>
      </w:pPr>
      <w:r>
        <w:t xml:space="preserve">The service can include ambient air, stack or source, water, wastewater, soil, noise and waste-related monitoring; laboratory coordination; baseline studies; compliance calendars; consent-to-establish or consent-to-operate support; and technical reporting for industry, mining, highways, urban works, energy and infrastructure.</w:t>
      </w:r>
    </w:p>
    <w:p>
      <w:pPr>
        <w:pStyle w:val="Normal"/>
      </w:pPr>
      <w:r>
        <w:t xml:space="preserve">Environmental clearances, consents, authorizations and statutory certifications are not automatically issued by a consultant. The responsible project proponent, competent authority or appropriately qualified and recognized consultant retains the legal responsibility for the relevant submission and approval.</w:t>
      </w:r>
    </w:p>
    <w:p>
      <w:pPr>
        <w:pStyle w:val="Heading1"/>
        <w:keepNext/>
      </w:pPr>
      <w:r>
        <w:t xml:space="preserve">2. Scope of work</w:t>
      </w:r>
    </w:p>
    <w:p>
      <w:pPr>
        <w:pStyle w:val="Normal"/>
      </w:pPr>
      <w:r>
        <w:t xml:space="preserve">The scope is set against the project stage and approval pathway: site selection, baseline study, construction monitoring, operational compliance, expansion, renewal, lender due diligence or investigation of a complaint or non-conformance.</w:t>
      </w:r>
    </w:p>
    <w:p>
      <w:pPr>
        <w:pStyle w:val="Normal"/>
      </w:pPr>
      <w:r>
        <w:t xml:space="preserve">Field and technical work may include monitoring plans, sampling locations and frequencies, air, water, noise, soil, stack, waste or emissions data, laboratory coordination, baseline interpretation, consent-condition registers, compliance calendars and follow-up action tracking.</w:t>
      </w:r>
    </w:p>
    <w:p>
      <w:pPr>
        <w:pStyle w:val="Normal"/>
      </w:pPr>
      <w:r>
        <w:t xml:space="preserve">The final reporting format should distinguish measured data, calculated values, assumptions, limitations, laboratory status, applicable standard and the project condition or decision the result supports.</w:t>
      </w:r>
    </w:p>
    <w:p>
      <w:pPr>
        <w:pStyle w:val="Heading1"/>
        <w:keepNext/>
      </w:pPr>
      <w:r>
        <w:t xml:space="preserve">3. Detailed service components</w:t>
      </w:r>
    </w:p>
    <w:tbl>
      <w:tblPr>
        <w:tblStyle w:val="GuideTable"/>
        <w:tblW w:w="0" w:type="auto"/>
        <w:tblBorders>
          <w:top w:val="single" w:sz="6" w:color="D8D1C5"/>
          <w:left w:val="single" w:sz="6" w:color="D8D1C5"/>
          <w:bottom w:val="single" w:sz="6" w:color="D8D1C5"/>
          <w:right w:val="single" w:sz="6" w:color="D8D1C5"/>
          <w:insideH w:val="single" w:sz="4" w:color="E6E0D7"/>
          <w:insideV w:val="single" w:sz="4" w:color="E6E0D7"/>
        </w:tblBorders>
      </w:tblPr>
      <w:tblGrid>
        <w:gridCol w:w="3000"/>
        <w:gridCol w:w="6900"/>
      </w:tblGrid>
      <w:tr>
        <w:tc>
          <w:tcPr>
            <w:tcW w:w="3000" w:type="dxa"/>
            <w:shd w:fill="193B4A"/>
          </w:tcPr>
          <w:p>
            <w:pPr>
              <w:pStyle w:val="TableHeader"/>
            </w:pPr>
            <w:r>
              <w:rPr>
                <w:color w:val="FFFFFF"/>
              </w:rPr>
              <w:t xml:space="preserve">Service component</w:t>
            </w:r>
          </w:p>
        </w:tc>
        <w:tc>
          <w:tcPr>
            <w:tcW w:w="6900" w:type="dxa"/>
            <w:shd w:fill="193B4A"/>
          </w:tcPr>
          <w:p>
            <w:pPr>
              <w:pStyle w:val="TableHeader"/>
            </w:pPr>
            <w:r>
              <w:rPr>
                <w:color w:val="FFFFFF"/>
              </w:rPr>
              <w:t xml:space="preserve">What the assignment may include</w:t>
            </w:r>
          </w:p>
        </w:tc>
      </w:tr>
      <w:tr>
        <w:tc>
          <w:tcPr>
            <w:tcW w:w="3000" w:type="dxa"/>
          </w:tcPr>
          <w:p>
            <w:pPr>
              <w:pStyle w:val="TableText"/>
            </w:pPr>
            <w:r>
              <w:rPr>
                <w:color w:val="25323A"/>
              </w:rPr>
              <w:t xml:space="preserve">Ambient-air monitoring</w:t>
            </w:r>
          </w:p>
        </w:tc>
        <w:tc>
          <w:tcPr>
            <w:tcW w:w="6900" w:type="dxa"/>
          </w:tcPr>
          <w:p>
            <w:pPr>
              <w:pStyle w:val="TableText"/>
            </w:pPr>
            <w:r>
              <w:rPr>
                <w:color w:val="25323A"/>
              </w:rPr>
              <w:t xml:space="preserve">Plan and coordinate sampling for PM10, PM2.5 and applicable gaseous parameters against the required monitoring method, location, frequency and authority criterion.</w:t>
            </w:r>
          </w:p>
        </w:tc>
      </w:tr>
      <w:tr>
        <w:tc>
          <w:tcPr>
            <w:tcW w:w="3000" w:type="dxa"/>
          </w:tcPr>
          <w:p>
            <w:pPr>
              <w:pStyle w:val="TableText"/>
            </w:pPr>
            <w:r>
              <w:rPr>
                <w:color w:val="25323A"/>
              </w:rPr>
              <w:t xml:space="preserve">Stack and source monitoring</w:t>
            </w:r>
          </w:p>
        </w:tc>
        <w:tc>
          <w:tcPr>
            <w:tcW w:w="6900" w:type="dxa"/>
          </w:tcPr>
          <w:p>
            <w:pPr>
              <w:pStyle w:val="TableText"/>
            </w:pPr>
            <w:r>
              <w:rPr>
                <w:color w:val="25323A"/>
              </w:rPr>
              <w:t xml:space="preserve">Support stack, process-emission, fugitive-emission or source monitoring where the equipment, method, access and qualified personnel are confirmed.</w:t>
            </w:r>
          </w:p>
        </w:tc>
      </w:tr>
      <w:tr>
        <w:tc>
          <w:tcPr>
            <w:tcW w:w="3000" w:type="dxa"/>
          </w:tcPr>
          <w:p>
            <w:pPr>
              <w:pStyle w:val="TableText"/>
            </w:pPr>
            <w:r>
              <w:rPr>
                <w:color w:val="25323A"/>
              </w:rPr>
              <w:t xml:space="preserve">Water, effluent and soil</w:t>
            </w:r>
          </w:p>
        </w:tc>
        <w:tc>
          <w:tcPr>
            <w:tcW w:w="6900" w:type="dxa"/>
          </w:tcPr>
          <w:p>
            <w:pPr>
              <w:pStyle w:val="TableText"/>
            </w:pPr>
            <w:r>
              <w:rPr>
                <w:color w:val="25323A"/>
              </w:rPr>
              <w:t xml:space="preserve">Coordinate surface-water, groundwater, drinking-water, effluent, soil and waste sampling with representative locations, preservation and laboratory records.</w:t>
            </w:r>
          </w:p>
        </w:tc>
      </w:tr>
      <w:tr>
        <w:tc>
          <w:tcPr>
            <w:tcW w:w="3000" w:type="dxa"/>
          </w:tcPr>
          <w:p>
            <w:pPr>
              <w:pStyle w:val="TableText"/>
            </w:pPr>
            <w:r>
              <w:rPr>
                <w:color w:val="25323A"/>
              </w:rPr>
              <w:t xml:space="preserve">Environmental-noise surveys</w:t>
            </w:r>
          </w:p>
        </w:tc>
        <w:tc>
          <w:tcPr>
            <w:tcW w:w="6900" w:type="dxa"/>
          </w:tcPr>
          <w:p>
            <w:pPr>
              <w:pStyle w:val="TableText"/>
            </w:pPr>
            <w:r>
              <w:rPr>
                <w:color w:val="25323A"/>
              </w:rPr>
              <w:t xml:space="preserve">Measure construction, industrial or boundary noise at agreed locations and periods using the applicable method and reporting basis.</w:t>
            </w:r>
          </w:p>
        </w:tc>
      </w:tr>
      <w:tr>
        <w:tc>
          <w:tcPr>
            <w:tcW w:w="3000" w:type="dxa"/>
          </w:tcPr>
          <w:p>
            <w:pPr>
              <w:pStyle w:val="TableText"/>
            </w:pPr>
            <w:r>
              <w:rPr>
                <w:color w:val="25323A"/>
              </w:rPr>
              <w:t xml:space="preserve">Baseline and EIA/EMP technical inputs</w:t>
            </w:r>
          </w:p>
        </w:tc>
        <w:tc>
          <w:tcPr>
            <w:tcW w:w="6900" w:type="dxa"/>
          </w:tcPr>
          <w:p>
            <w:pPr>
              <w:pStyle w:val="TableText"/>
            </w:pPr>
            <w:r>
              <w:rPr>
                <w:color w:val="25323A"/>
              </w:rPr>
              <w:t xml:space="preserve">Support baseline design, data review, impact or mitigation inputs and environmental-management records for the appointed project and qualified consultant pathway.</w:t>
            </w:r>
          </w:p>
        </w:tc>
      </w:tr>
      <w:tr>
        <w:tc>
          <w:tcPr>
            <w:tcW w:w="3000" w:type="dxa"/>
          </w:tcPr>
          <w:p>
            <w:pPr>
              <w:pStyle w:val="TableText"/>
            </w:pPr>
            <w:r>
              <w:rPr>
                <w:color w:val="25323A"/>
              </w:rPr>
              <w:t xml:space="preserve">Consent and compliance support</w:t>
            </w:r>
          </w:p>
        </w:tc>
        <w:tc>
          <w:tcPr>
            <w:tcW w:w="6900" w:type="dxa"/>
          </w:tcPr>
          <w:p>
            <w:pPr>
              <w:pStyle w:val="TableText"/>
            </w:pPr>
            <w:r>
              <w:rPr>
                <w:color w:val="25323A"/>
              </w:rPr>
              <w:t xml:space="preserve">Organize consent-to-establish or consent-to-operate information, condition registers, monitoring calendars, renewal evidence and technical responses.</w:t>
            </w:r>
          </w:p>
        </w:tc>
      </w:tr>
      <w:tr>
        <w:tc>
          <w:tcPr>
            <w:tcW w:w="3000" w:type="dxa"/>
          </w:tcPr>
          <w:p>
            <w:pPr>
              <w:pStyle w:val="TableText"/>
            </w:pPr>
            <w:r>
              <w:rPr>
                <w:color w:val="25323A"/>
              </w:rPr>
              <w:t xml:space="preserve">Reporting and action tracking</w:t>
            </w:r>
          </w:p>
        </w:tc>
        <w:tc>
          <w:tcPr>
            <w:tcW w:w="6900" w:type="dxa"/>
          </w:tcPr>
          <w:p>
            <w:pPr>
              <w:pStyle w:val="TableText"/>
            </w:pPr>
            <w:r>
              <w:rPr>
                <w:color w:val="25323A"/>
              </w:rPr>
              <w:t xml:space="preserve">Prepare CPCB, MPPCB, lender or client data packs, identify gaps, assign follow-up actions and maintain a traceable record from field to review.</w:t>
            </w:r>
          </w:p>
        </w:tc>
      </w:tr>
    </w:tbl>
    <w:p>
      <w:pPr>
        <w:pStyle w:val="Heading1"/>
        <w:keepNext/>
      </w:pPr>
      <w:r>
        <w:t xml:space="preserve">4. Standards, codes and government guidance</w:t>
      </w:r>
    </w:p>
    <w:p>
      <w:pPr>
        <w:pStyle w:val="Normal"/>
      </w:pPr>
      <w:r>
        <w:t xml:space="preserve">The following references are commonly relevant to this service. The controlling edition, amendment, method, authority requirement and contract specification must be checked before issue or execution.</w:t>
      </w:r>
    </w:p>
    <w:tbl>
      <w:tblPr>
        <w:tblStyle w:val="GuideTable"/>
        <w:tblW w:w="0" w:type="auto"/>
        <w:tblBorders>
          <w:top w:val="single" w:sz="6" w:color="D8D1C5"/>
          <w:left w:val="single" w:sz="6" w:color="D8D1C5"/>
          <w:bottom w:val="single" w:sz="6" w:color="D8D1C5"/>
          <w:right w:val="single" w:sz="6" w:color="D8D1C5"/>
          <w:insideH w:val="single" w:sz="4" w:color="E6E0D7"/>
          <w:insideV w:val="single" w:sz="4" w:color="E6E0D7"/>
        </w:tblBorders>
      </w:tblPr>
      <w:tblGrid>
        <w:gridCol w:w="2600"/>
        <w:gridCol w:w="7300"/>
      </w:tblGrid>
      <w:tr>
        <w:tc>
          <w:tcPr>
            <w:tcW w:w="2600" w:type="dxa"/>
            <w:shd w:fill="193B4A"/>
          </w:tcPr>
          <w:p>
            <w:pPr>
              <w:pStyle w:val="TableHeader"/>
            </w:pPr>
            <w:r>
              <w:rPr>
                <w:color w:val="FFFFFF"/>
              </w:rPr>
              <w:t xml:space="preserve">Reference area</w:t>
            </w:r>
          </w:p>
        </w:tc>
        <w:tc>
          <w:tcPr>
            <w:tcW w:w="7300" w:type="dxa"/>
            <w:shd w:fill="193B4A"/>
          </w:tcPr>
          <w:p>
            <w:pPr>
              <w:pStyle w:val="TableHeader"/>
            </w:pPr>
            <w:r>
              <w:rPr>
                <w:color w:val="FFFFFF"/>
              </w:rPr>
              <w:t xml:space="preserve">Applicable references and use</w:t>
            </w:r>
          </w:p>
        </w:tc>
      </w:tr>
      <w:tr>
        <w:tc>
          <w:tcPr>
            <w:tcW w:w="2600" w:type="dxa"/>
          </w:tcPr>
          <w:p>
            <w:pPr>
              <w:pStyle w:val="TableText"/>
            </w:pPr>
            <w:r>
              <w:rPr>
                <w:color w:val="25323A"/>
              </w:rPr>
              <w:t xml:space="preserve">Legal framework</w:t>
            </w:r>
          </w:p>
        </w:tc>
        <w:tc>
          <w:tcPr>
            <w:tcW w:w="7300" w:type="dxa"/>
          </w:tcPr>
          <w:p>
            <w:pPr>
              <w:pStyle w:val="TableText"/>
            </w:pPr>
            <w:r>
              <w:rPr>
                <w:color w:val="25323A"/>
              </w:rPr>
              <w:t xml:space="preserve">Environment (Protection) Act and Rules, Air Act, Water Act and applicable notifications or conditions for the project and activity.</w:t>
            </w:r>
          </w:p>
        </w:tc>
      </w:tr>
      <w:tr>
        <w:tc>
          <w:tcPr>
            <w:tcW w:w="2600" w:type="dxa"/>
          </w:tcPr>
          <w:p>
            <w:pPr>
              <w:pStyle w:val="TableText"/>
            </w:pPr>
            <w:r>
              <w:rPr>
                <w:color w:val="25323A"/>
              </w:rPr>
              <w:t xml:space="preserve">EIA and approvals</w:t>
            </w:r>
          </w:p>
        </w:tc>
        <w:tc>
          <w:tcPr>
            <w:tcW w:w="7300" w:type="dxa"/>
          </w:tcPr>
          <w:p>
            <w:pPr>
              <w:pStyle w:val="TableText"/>
            </w:pPr>
            <w:r>
              <w:rPr>
                <w:color w:val="25323A"/>
              </w:rPr>
              <w:t xml:space="preserve">EIA Notification, 2006 as amended, applicable Terms of Reference, environmental-clearance conditions, PARIVESH requirements and authority formats.</w:t>
            </w:r>
          </w:p>
        </w:tc>
      </w:tr>
      <w:tr>
        <w:tc>
          <w:tcPr>
            <w:tcW w:w="2600" w:type="dxa"/>
          </w:tcPr>
          <w:p>
            <w:pPr>
              <w:pStyle w:val="TableText"/>
            </w:pPr>
            <w:r>
              <w:rPr>
                <w:color w:val="25323A"/>
              </w:rPr>
              <w:t xml:space="preserve">CPCB references</w:t>
            </w:r>
          </w:p>
        </w:tc>
        <w:tc>
          <w:tcPr>
            <w:tcW w:w="7300" w:type="dxa"/>
          </w:tcPr>
          <w:p>
            <w:pPr>
              <w:pStyle w:val="TableText"/>
            </w:pPr>
            <w:r>
              <w:rPr>
                <w:color w:val="25323A"/>
              </w:rPr>
              <w:t xml:space="preserve">National Ambient Air Quality Standards, air-monitoring guidance, water-quality criteria, industry-specific emission or effluent standards and CPCB technical guidance.</w:t>
            </w:r>
          </w:p>
        </w:tc>
      </w:tr>
      <w:tr>
        <w:tc>
          <w:tcPr>
            <w:tcW w:w="2600" w:type="dxa"/>
          </w:tcPr>
          <w:p>
            <w:pPr>
              <w:pStyle w:val="TableText"/>
            </w:pPr>
            <w:r>
              <w:rPr>
                <w:color w:val="25323A"/>
              </w:rPr>
              <w:t xml:space="preserve">Indian methods</w:t>
            </w:r>
          </w:p>
        </w:tc>
        <w:tc>
          <w:tcPr>
            <w:tcW w:w="7300" w:type="dxa"/>
          </w:tcPr>
          <w:p>
            <w:pPr>
              <w:pStyle w:val="TableText"/>
            </w:pPr>
            <w:r>
              <w:rPr>
                <w:color w:val="25323A"/>
              </w:rPr>
              <w:t xml:space="preserve">IS 3025 series for water and wastewater, IS 5182 series for air-pollution measurement and authority-prescribed sampling and analysis methods.</w:t>
            </w:r>
          </w:p>
        </w:tc>
      </w:tr>
      <w:tr>
        <w:tc>
          <w:tcPr>
            <w:tcW w:w="2600" w:type="dxa"/>
          </w:tcPr>
          <w:p>
            <w:pPr>
              <w:pStyle w:val="TableText"/>
            </w:pPr>
            <w:r>
              <w:rPr>
                <w:color w:val="25323A"/>
              </w:rPr>
              <w:t xml:space="preserve">Noise and waste</w:t>
            </w:r>
          </w:p>
        </w:tc>
        <w:tc>
          <w:tcPr>
            <w:tcW w:w="7300" w:type="dxa"/>
          </w:tcPr>
          <w:p>
            <w:pPr>
              <w:pStyle w:val="TableText"/>
            </w:pPr>
            <w:r>
              <w:rPr>
                <w:color w:val="25323A"/>
              </w:rPr>
              <w:t xml:space="preserve">Noise Pollution (Regulation and Control) Rules, 2000 and current applicable Solid Waste, C&amp;D Waste, Hazardous and Other Wastes, Plastic, E-Waste and Battery Waste rules and EPR requirements.</w:t>
            </w:r>
          </w:p>
        </w:tc>
      </w:tr>
      <w:tr>
        <w:tc>
          <w:tcPr>
            <w:tcW w:w="2600" w:type="dxa"/>
          </w:tcPr>
          <w:p>
            <w:pPr>
              <w:pStyle w:val="TableText"/>
            </w:pPr>
            <w:r>
              <w:rPr>
                <w:color w:val="25323A"/>
              </w:rPr>
              <w:t xml:space="preserve">Madhya Pradesh requirements</w:t>
            </w:r>
          </w:p>
        </w:tc>
        <w:tc>
          <w:tcPr>
            <w:tcW w:w="7300" w:type="dxa"/>
          </w:tcPr>
          <w:p>
            <w:pPr>
              <w:pStyle w:val="TableText"/>
            </w:pPr>
            <w:r>
              <w:rPr>
                <w:color w:val="25323A"/>
              </w:rPr>
              <w:t xml:space="preserve">MPPCB consent-to-establish/operate, waste authorization, monitoring and reporting conditions; SEIAA-MP/SEAC-MP requirements where applicable.</w:t>
            </w:r>
          </w:p>
        </w:tc>
      </w:tr>
      <w:tr>
        <w:tc>
          <w:tcPr>
            <w:tcW w:w="2600" w:type="dxa"/>
          </w:tcPr>
          <w:p>
            <w:pPr>
              <w:pStyle w:val="TableText"/>
            </w:pPr>
            <w:r>
              <w:rPr>
                <w:color w:val="25323A"/>
              </w:rPr>
              <w:t xml:space="preserve">Recognized laboratory scope</w:t>
            </w:r>
          </w:p>
        </w:tc>
        <w:tc>
          <w:tcPr>
            <w:tcW w:w="7300" w:type="dxa"/>
          </w:tcPr>
          <w:p>
            <w:pPr>
              <w:pStyle w:val="TableText"/>
            </w:pPr>
            <w:r>
              <w:rPr>
                <w:color w:val="25323A"/>
              </w:rPr>
              <w:t xml:space="preserve">Where a regulator, lender or tender requires an accredited or recognized laboratory, confirm the legal entity and exact parameter/method scope. ACE accreditation is not implied.</w:t>
            </w:r>
          </w:p>
        </w:tc>
      </w:tr>
    </w:tbl>
    <w:p>
      <w:pPr>
        <w:pStyle w:val="Heading1"/>
        <w:keepNext/>
      </w:pPr>
      <w:r>
        <w:t xml:space="preserve">5. Target clients and project types</w:t>
      </w:r>
    </w:p>
    <w:p>
      <w:pPr>
        <w:pStyle w:val="Normal"/>
      </w:pPr>
      <w:r>
        <w:t xml:space="preserve">This service is suited to the following client groups and project situations, subject to the agreed scope and procurement route:</w:t>
      </w:r>
    </w:p>
    <w:p>
      <w:pPr>
        <w:pStyle w:val="ListParagraph"/>
        <w:numPr>
          <w:ilvl w:val="0"/>
          <w:numId w:val="1"/>
        </w:numPr>
      </w:pPr>
      <w:r>
        <w:t xml:space="preserve">Industrial and manufacturing facilities, process plants and logistics operations.</w:t>
      </w:r>
    </w:p>
    <w:p>
      <w:pPr>
        <w:pStyle w:val="ListParagraph"/>
        <w:numPr>
          <w:ilvl w:val="0"/>
          <w:numId w:val="1"/>
        </w:numPr>
      </w:pPr>
      <w:r>
        <w:t xml:space="preserve">Mining, quarrying, mineral-processing and construction-material projects.</w:t>
      </w:r>
    </w:p>
    <w:p>
      <w:pPr>
        <w:pStyle w:val="ListParagraph"/>
        <w:numPr>
          <w:ilvl w:val="0"/>
          <w:numId w:val="1"/>
        </w:numPr>
      </w:pPr>
      <w:r>
        <w:t xml:space="preserve">Highway, railway, water, urban, energy and other linear or public-infrastructure projects.</w:t>
      </w:r>
    </w:p>
    <w:p>
      <w:pPr>
        <w:pStyle w:val="ListParagraph"/>
        <w:numPr>
          <w:ilvl w:val="0"/>
          <w:numId w:val="1"/>
        </w:numPr>
      </w:pPr>
      <w:r>
        <w:t xml:space="preserve">EPC contractors, PMCs, project developers and EHS or sustainability departments.</w:t>
      </w:r>
    </w:p>
    <w:p>
      <w:pPr>
        <w:pStyle w:val="ListParagraph"/>
        <w:numPr>
          <w:ilvl w:val="0"/>
          <w:numId w:val="1"/>
        </w:numPr>
      </w:pPr>
      <w:r>
        <w:t xml:space="preserve">Municipal bodies, wastewater-treatment operators and construction or demolition projects.</w:t>
      </w:r>
    </w:p>
    <w:p>
      <w:pPr>
        <w:pStyle w:val="ListParagraph"/>
        <w:numPr>
          <w:ilvl w:val="0"/>
          <w:numId w:val="1"/>
        </w:numPr>
      </w:pPr>
      <w:r>
        <w:t xml:space="preserve">Lender’s engineers and environmental due-diligence teams.</w:t>
      </w:r>
    </w:p>
    <w:p>
      <w:pPr>
        <w:pStyle w:val="ListParagraph"/>
        <w:numPr>
          <w:ilvl w:val="0"/>
          <w:numId w:val="1"/>
        </w:numPr>
      </w:pPr>
      <w:r>
        <w:t xml:space="preserve">Project proponents coordinating statutory submissions through an appointed qualified or recognized consultant.</w:t>
      </w:r>
    </w:p>
    <w:p>
      <w:pPr>
        <w:pStyle w:val="Heading1"/>
        <w:keepNext/>
      </w:pPr>
      <w:r>
        <w:t xml:space="preserve">6. Delivery workflow</w:t>
      </w:r>
    </w:p>
    <w:p>
      <w:pPr>
        <w:pStyle w:val="Normal"/>
      </w:pPr>
      <w:r>
        <w:t xml:space="preserve">A clear brief and traceable records reduce rework. A typical engagement follows these steps:</w:t>
      </w:r>
    </w:p>
    <w:p>
      <w:pPr>
        <w:pStyle w:val="ListParagraph"/>
        <w:numPr>
          <w:ilvl w:val="0"/>
          <w:numId w:val="2"/>
        </w:numPr>
      </w:pPr>
      <w:r>
        <w:t xml:space="preserve">Confirm the project location, activity, capacity, process, fuel, approval stage, monitoring history and authority or consultant format.</w:t>
      </w:r>
    </w:p>
    <w:p>
      <w:pPr>
        <w:pStyle w:val="ListParagraph"/>
        <w:numPr>
          <w:ilvl w:val="0"/>
          <w:numId w:val="2"/>
        </w:numPr>
      </w:pPr>
      <w:r>
        <w:t xml:space="preserve">Map the applicable approval, consent, monitoring, laboratory, waste and reporting requirements and identify information gaps.</w:t>
      </w:r>
    </w:p>
    <w:p>
      <w:pPr>
        <w:pStyle w:val="ListParagraph"/>
        <w:numPr>
          <w:ilvl w:val="0"/>
          <w:numId w:val="2"/>
        </w:numPr>
      </w:pPr>
      <w:r>
        <w:t xml:space="preserve">Prepare the monitoring plan, locations, parameters, frequency, safety controls, chain of custody and field schedule.</w:t>
      </w:r>
    </w:p>
    <w:p>
      <w:pPr>
        <w:pStyle w:val="ListParagraph"/>
        <w:numPr>
          <w:ilvl w:val="0"/>
          <w:numId w:val="2"/>
        </w:numPr>
      </w:pPr>
      <w:r>
        <w:t xml:space="preserve">Collect representative field samples and observations, coordinating the appropriate laboratory and recognized pathway where required.</w:t>
      </w:r>
    </w:p>
    <w:p>
      <w:pPr>
        <w:pStyle w:val="ListParagraph"/>
        <w:numPr>
          <w:ilvl w:val="0"/>
          <w:numId w:val="2"/>
        </w:numPr>
      </w:pPr>
      <w:r>
        <w:t xml:space="preserve">Review data quality, compare results with the applicable condition or standard and record assumptions, limitations and deviations.</w:t>
      </w:r>
    </w:p>
    <w:p>
      <w:pPr>
        <w:pStyle w:val="ListParagraph"/>
        <w:numPr>
          <w:ilvl w:val="0"/>
          <w:numId w:val="2"/>
        </w:numPr>
      </w:pPr>
      <w:r>
        <w:t xml:space="preserve">Prepare the technical report, compliance register, EIA/EMP input or submission support pack within the agreed role.</w:t>
      </w:r>
    </w:p>
    <w:p>
      <w:pPr>
        <w:pStyle w:val="ListParagraph"/>
        <w:numPr>
          <w:ilvl w:val="0"/>
          <w:numId w:val="2"/>
        </w:numPr>
      </w:pPr>
      <w:r>
        <w:t xml:space="preserve">Track queries, corrective actions, renewals, monitoring periods and follow-up evidence with the project team.</w:t>
      </w:r>
    </w:p>
    <w:p>
      <w:pPr>
        <w:pStyle w:val="Heading1"/>
        <w:keepNext/>
      </w:pPr>
      <w:r>
        <w:t xml:space="preserve">7. Typical deliverables</w:t>
      </w:r>
    </w:p>
    <w:p>
      <w:pPr>
        <w:pStyle w:val="ListParagraph"/>
        <w:numPr>
          <w:ilvl w:val="0"/>
          <w:numId w:val="1"/>
        </w:numPr>
      </w:pPr>
      <w:r>
        <w:t xml:space="preserve">Baseline, monitoring and sampling plans with location, parameter and frequency schedules.</w:t>
      </w:r>
    </w:p>
    <w:p>
      <w:pPr>
        <w:pStyle w:val="ListParagraph"/>
        <w:numPr>
          <w:ilvl w:val="0"/>
          <w:numId w:val="1"/>
        </w:numPr>
      </w:pPr>
      <w:r>
        <w:t xml:space="preserve">Ambient-air, stack, water, effluent, soil, waste and environmental-noise monitoring reports.</w:t>
      </w:r>
    </w:p>
    <w:p>
      <w:pPr>
        <w:pStyle w:val="ListParagraph"/>
        <w:numPr>
          <w:ilvl w:val="0"/>
          <w:numId w:val="1"/>
        </w:numPr>
      </w:pPr>
      <w:r>
        <w:t xml:space="preserve">Laboratory coordination, sample registers, chain-of-custody and data-quality records.</w:t>
      </w:r>
    </w:p>
    <w:p>
      <w:pPr>
        <w:pStyle w:val="ListParagraph"/>
        <w:numPr>
          <w:ilvl w:val="0"/>
          <w:numId w:val="1"/>
        </w:numPr>
      </w:pPr>
      <w:r>
        <w:t xml:space="preserve">Baseline study, EIA/EMP technical inputs and environmental data packs.</w:t>
      </w:r>
    </w:p>
    <w:p>
      <w:pPr>
        <w:pStyle w:val="ListParagraph"/>
        <w:numPr>
          <w:ilvl w:val="0"/>
          <w:numId w:val="1"/>
        </w:numPr>
      </w:pPr>
      <w:r>
        <w:t xml:space="preserve">Consent-condition registers, compliance calendars, renewal evidence and action trackers.</w:t>
      </w:r>
    </w:p>
    <w:p>
      <w:pPr>
        <w:pStyle w:val="ListParagraph"/>
        <w:numPr>
          <w:ilvl w:val="0"/>
          <w:numId w:val="1"/>
        </w:numPr>
      </w:pPr>
      <w:r>
        <w:t xml:space="preserve">CPCB, MPPCB, lender or client reporting and technical response packs where included.</w:t>
      </w:r>
    </w:p>
    <w:p>
      <w:pPr>
        <w:pStyle w:val="Heading1"/>
        <w:keepNext/>
      </w:pPr>
      <w:r>
        <w:t xml:space="preserve">8. Benefits and decision value</w:t>
      </w:r>
    </w:p>
    <w:p>
      <w:pPr>
        <w:pStyle w:val="ListParagraph"/>
        <w:numPr>
          <w:ilvl w:val="0"/>
          <w:numId w:val="1"/>
        </w:numPr>
      </w:pPr>
      <w:r>
        <w:t xml:space="preserve">Earlier visibility of air, water, noise, waste and emissions risks.</w:t>
      </w:r>
    </w:p>
    <w:p>
      <w:pPr>
        <w:pStyle w:val="ListParagraph"/>
        <w:numPr>
          <w:ilvl w:val="0"/>
          <w:numId w:val="1"/>
        </w:numPr>
      </w:pPr>
      <w:r>
        <w:t xml:space="preserve">Better baseline and compliance data for project, EHS, lender and authority review.</w:t>
      </w:r>
    </w:p>
    <w:p>
      <w:pPr>
        <w:pStyle w:val="ListParagraph"/>
        <w:numPr>
          <w:ilvl w:val="0"/>
          <w:numId w:val="1"/>
        </w:numPr>
      </w:pPr>
      <w:r>
        <w:t xml:space="preserve">Fewer missed monitoring periods, incomplete records and avoidable re-submissions.</w:t>
      </w:r>
    </w:p>
    <w:p>
      <w:pPr>
        <w:pStyle w:val="ListParagraph"/>
        <w:numPr>
          <w:ilvl w:val="0"/>
          <w:numId w:val="1"/>
        </w:numPr>
      </w:pPr>
      <w:r>
        <w:t xml:space="preserve">A traceable bridge between field observations, laboratory results and consent conditions.</w:t>
      </w:r>
    </w:p>
    <w:p>
      <w:pPr>
        <w:pStyle w:val="ListParagraph"/>
        <w:numPr>
          <w:ilvl w:val="0"/>
          <w:numId w:val="1"/>
        </w:numPr>
      </w:pPr>
      <w:r>
        <w:t xml:space="preserve">Clearer assignment of follow-up actions, owners, dates and evidence.</w:t>
      </w:r>
    </w:p>
    <w:p>
      <w:pPr>
        <w:pStyle w:val="ListParagraph"/>
        <w:numPr>
          <w:ilvl w:val="0"/>
          <w:numId w:val="1"/>
        </w:numPr>
      </w:pPr>
      <w:r>
        <w:t xml:space="preserve">Better coordination between field teams, laboratories, EHS teams and statutory consultants.</w:t>
      </w:r>
    </w:p>
    <w:p>
      <w:pPr>
        <w:pStyle w:val="Heading1"/>
        <w:keepNext/>
      </w:pPr>
      <w:r>
        <w:t xml:space="preserve">9. Responsibilities and claim boundaries</w:t>
      </w:r>
    </w:p>
    <w:p>
      <w:pPr>
        <w:pStyle w:val="ListParagraph"/>
        <w:numPr>
          <w:ilvl w:val="0"/>
          <w:numId w:val="1"/>
        </w:numPr>
      </w:pPr>
      <w:r>
        <w:t xml:space="preserve">ACE can support monitoring, baseline data, technical inputs, coordination and compliance records; it does not itself issue environmental clearance, consent, authorization or statutory certification unless legally authorized and specifically appointed to do so.</w:t>
      </w:r>
    </w:p>
    <w:p>
      <w:pPr>
        <w:pStyle w:val="ListParagraph"/>
        <w:numPr>
          <w:ilvl w:val="0"/>
          <w:numId w:val="1"/>
        </w:numPr>
      </w:pPr>
      <w:r>
        <w:t xml:space="preserve">EIA/EMP authorship, statutory sign-off and regulatory representation must follow the responsible proponent, authority and appropriately qualified or recognized consultant pathway.</w:t>
      </w:r>
    </w:p>
    <w:p>
      <w:pPr>
        <w:pStyle w:val="ListParagraph"/>
        <w:numPr>
          <w:ilvl w:val="0"/>
          <w:numId w:val="1"/>
        </w:numPr>
      </w:pPr>
      <w:r>
        <w:t xml:space="preserve">Environmental conclusions depend on representative sampling, monitoring duration, laboratory method, site conditions, project configuration and applicable authority requirements.</w:t>
      </w:r>
    </w:p>
    <w:p>
      <w:pPr>
        <w:pStyle w:val="ListParagraph"/>
        <w:numPr>
          <w:ilvl w:val="0"/>
          <w:numId w:val="1"/>
        </w:numPr>
      </w:pPr>
      <w:r>
        <w:t xml:space="preserve">Applicable rules, consent conditions, emission or effluent standards and waste/EPR requirements must be checked for the activity, location and current regulatory edition.</w:t>
      </w:r>
    </w:p>
    <w:p>
      <w:pPr>
        <w:pStyle w:val="ListParagraph"/>
        <w:numPr>
          <w:ilvl w:val="0"/>
          <w:numId w:val="1"/>
        </w:numPr>
      </w:pPr>
      <w:r>
        <w:t xml:space="preserve">The client remains responsible for providing accurate process, capacity, fuel, land, production and approval information and for implementing required controls.</w:t>
      </w:r>
    </w:p>
    <w:p>
      <w:pPr>
        <w:pStyle w:val="Heading1"/>
        <w:keepNext/>
      </w:pPr>
      <w:r>
        <w:t xml:space="preserve">10. Frequently asked questions</w:t>
      </w:r>
    </w:p>
    <w:p>
      <w:pPr>
        <w:pStyle w:val="Heading3"/>
        <w:keepNext/>
      </w:pPr>
      <w:r>
        <w:t xml:space="preserve">When should environmental monitoring begin?</w:t>
      </w:r>
    </w:p>
    <w:p>
      <w:pPr>
        <w:pStyle w:val="Normal"/>
      </w:pPr>
      <w:r>
        <w:t xml:space="preserve">Bring the environmental team in during siting and planning so that monitoring periods, project assumptions and consent requirements are aligned before filing or construction.</w:t>
      </w:r>
    </w:p>
    <w:p>
      <w:pPr>
        <w:pStyle w:val="Heading3"/>
        <w:keepNext/>
      </w:pPr>
      <w:r>
        <w:t xml:space="preserve">What information is needed for an environmental-services brief?</w:t>
      </w:r>
    </w:p>
    <w:p>
      <w:pPr>
        <w:pStyle w:val="Normal"/>
      </w:pPr>
      <w:r>
        <w:t xml:space="preserve">Share the project location, activity, capacity, fuel or process details, current approval stage, monitoring history and the authority or consultant format required.</w:t>
      </w:r>
    </w:p>
    <w:p>
      <w:pPr>
        <w:pStyle w:val="Heading3"/>
        <w:keepNext/>
      </w:pPr>
      <w:r>
        <w:t xml:space="preserve">Can ACE issue an environmental clearance or consent?</w:t>
      </w:r>
    </w:p>
    <w:p>
      <w:pPr>
        <w:pStyle w:val="Normal"/>
      </w:pPr>
      <w:r>
        <w:t xml:space="preserve">No. ACE can support monitoring, baseline data, technical inputs, coordination and compliance records. The responsible project proponent, competent authority and appointed qualified or recognized consultant handle statutory applications, approvals and certifications.</w:t>
      </w:r>
    </w:p>
    <w:p>
      <w:pPr>
        <w:pStyle w:val="Heading3"/>
        <w:keepNext/>
      </w:pPr>
      <w:r>
        <w:t xml:space="preserve">How long should baseline monitoring continue?</w:t>
      </w:r>
    </w:p>
    <w:p>
      <w:pPr>
        <w:pStyle w:val="Normal"/>
      </w:pPr>
      <w:r>
        <w:t xml:space="preserve">The required period depends on the project category, authority Terms of Reference, seasonality, parameter, site and submission pathway. The monitoring plan should be agreed before fieldwork begins.</w:t>
      </w:r>
    </w:p>
    <w:p>
      <w:pPr>
        <w:pStyle w:val="Heading1"/>
        <w:keepNext/>
      </w:pPr>
      <w:r>
        <w:t xml:space="preserve">11. Suggested copyright-free image direction</w:t>
      </w:r>
    </w:p>
    <w:p>
      <w:pPr>
        <w:pStyle w:val="Normal"/>
      </w:pPr>
      <w:r>
        <w:t xml:space="preserve">Use original photography or verify the individual licence before publishing. Unsplash and Pexels are useful search sources, but the licence of the exact asset should still be checked.</w:t>
      </w:r>
    </w:p>
    <w:tbl>
      <w:tblPr>
        <w:tblStyle w:val="GuideTable"/>
        <w:tblW w:w="0" w:type="auto"/>
        <w:tblBorders>
          <w:top w:val="single" w:sz="6" w:color="D8D1C5"/>
          <w:left w:val="single" w:sz="6" w:color="D8D1C5"/>
          <w:bottom w:val="single" w:sz="6" w:color="D8D1C5"/>
          <w:right w:val="single" w:sz="6" w:color="D8D1C5"/>
          <w:insideH w:val="single" w:sz="4" w:color="E6E0D7"/>
          <w:insideV w:val="single" w:sz="4" w:color="E6E0D7"/>
        </w:tblBorders>
      </w:tblPr>
      <w:tblGrid>
        <w:gridCol w:w="2900"/>
        <w:gridCol w:w="7000"/>
      </w:tblGrid>
      <w:tr>
        <w:tc>
          <w:tcPr>
            <w:tcW w:w="2900" w:type="dxa"/>
            <w:shd w:fill="193B4A"/>
          </w:tcPr>
          <w:p>
            <w:pPr>
              <w:pStyle w:val="TableHeader"/>
            </w:pPr>
            <w:r>
              <w:rPr>
                <w:color w:val="FFFFFF"/>
              </w:rPr>
              <w:t xml:space="preserve">Image subject</w:t>
            </w:r>
          </w:p>
        </w:tc>
        <w:tc>
          <w:tcPr>
            <w:tcW w:w="7000" w:type="dxa"/>
            <w:shd w:fill="193B4A"/>
          </w:tcPr>
          <w:p>
            <w:pPr>
              <w:pStyle w:val="TableHeader"/>
            </w:pPr>
            <w:r>
              <w:rPr>
                <w:color w:val="FFFFFF"/>
              </w:rPr>
              <w:t xml:space="preserve">Description and search keywords</w:t>
            </w:r>
          </w:p>
        </w:tc>
      </w:tr>
      <w:tr>
        <w:tc>
          <w:tcPr>
            <w:tcW w:w="2900" w:type="dxa"/>
          </w:tcPr>
          <w:p>
            <w:pPr>
              <w:pStyle w:val="TableText"/>
            </w:pPr>
            <w:r>
              <w:rPr>
                <w:color w:val="25323A"/>
              </w:rPr>
              <w:t xml:space="preserve">Ambient-air monitoring in Madhya Pradesh</w:t>
            </w:r>
          </w:p>
        </w:tc>
        <w:tc>
          <w:tcPr>
            <w:tcW w:w="7000" w:type="dxa"/>
          </w:tcPr>
          <w:p>
            <w:pPr>
              <w:pStyle w:val="TableText"/>
            </w:pPr>
            <w:r>
              <w:rPr>
                <w:color w:val="25323A"/>
              </w:rPr>
              <w:t xml:space="preserve">An environmental technician in PPE operating a particulate sampler at an industrial or highway site, with realistic Indian surroundings and safe access controls. Search keywords: ambient air quality monitoring India PM2.5 field technician</w:t>
            </w:r>
          </w:p>
        </w:tc>
      </w:tr>
      <w:tr>
        <w:tc>
          <w:tcPr>
            <w:tcW w:w="2900" w:type="dxa"/>
          </w:tcPr>
          <w:p>
            <w:pPr>
              <w:pStyle w:val="TableText"/>
            </w:pPr>
            <w:r>
              <w:rPr>
                <w:color w:val="25323A"/>
              </w:rPr>
              <w:t xml:space="preserve">Water and effluent sampling</w:t>
            </w:r>
          </w:p>
        </w:tc>
        <w:tc>
          <w:tcPr>
            <w:tcW w:w="7000" w:type="dxa"/>
          </w:tcPr>
          <w:p>
            <w:pPr>
              <w:pStyle w:val="TableText"/>
            </w:pPr>
            <w:r>
              <w:rPr>
                <w:color w:val="25323A"/>
              </w:rPr>
              <w:t xml:space="preserve">A field sampler collecting a labelled water sample from an industrial drain or surface-water location with chain-of-custody materials visible. Search keywords: environmental water sampling India effluent monitoring field</w:t>
            </w:r>
          </w:p>
        </w:tc>
      </w:tr>
      <w:tr>
        <w:tc>
          <w:tcPr>
            <w:tcW w:w="2900" w:type="dxa"/>
          </w:tcPr>
          <w:p>
            <w:pPr>
              <w:pStyle w:val="TableText"/>
            </w:pPr>
            <w:r>
              <w:rPr>
                <w:color w:val="25323A"/>
              </w:rPr>
              <w:t xml:space="preserve">Environmental noise survey</w:t>
            </w:r>
          </w:p>
        </w:tc>
        <w:tc>
          <w:tcPr>
            <w:tcW w:w="7000" w:type="dxa"/>
          </w:tcPr>
          <w:p>
            <w:pPr>
              <w:pStyle w:val="TableText"/>
            </w:pPr>
            <w:r>
              <w:rPr>
                <w:color w:val="25323A"/>
              </w:rPr>
              <w:t xml:space="preserve">A technician using a sound-level meter near a construction or industrial boundary, with no staged unsafe access to machinery. Search keywords: environmental noise monitoring sound level meter India construction</w:t>
            </w:r>
          </w:p>
        </w:tc>
      </w:tr>
    </w:tbl>
    <w:p>
      <w:pPr>
        <w:pStyle w:val="Heading1"/>
        <w:keepNext/>
      </w:pPr>
      <w:r>
        <w:t xml:space="preserve">12. Official source register</w:t>
      </w:r>
    </w:p>
    <w:p>
      <w:pPr>
        <w:pStyle w:val="Normal"/>
      </w:pPr>
      <w:r>
        <w:t xml:space="preserve">The source families below should be checked against the latest official publication, notification or portal before using this guide for a tender, regulatory submission or contractual commitment.</w:t>
      </w:r>
    </w:p>
    <w:p>
      <w:pPr>
        <w:pStyle w:val="Small"/>
      </w:pPr>
      <w:r>
        <w:t xml:space="preserve">Ministry of Environment, Forest and Climate Change: https://moef.gov.in/</w:t>
      </w:r>
    </w:p>
    <w:p>
      <w:pPr>
        <w:pStyle w:val="Small"/>
      </w:pPr>
      <w:r>
        <w:t xml:space="preserve">PARIVESH: https://parivesh.nic.in/</w:t>
      </w:r>
    </w:p>
    <w:p>
      <w:pPr>
        <w:pStyle w:val="Small"/>
      </w:pPr>
      <w:r>
        <w:t xml:space="preserve">Central Pollution Control Board: https://cpcb.nic.in/</w:t>
      </w:r>
    </w:p>
    <w:p>
      <w:pPr>
        <w:pStyle w:val="Small"/>
      </w:pPr>
      <w:r>
        <w:t xml:space="preserve">CPCB effluent and emission standards: https://cpcb.nic.in/effluent-emission/</w:t>
      </w:r>
    </w:p>
    <w:p>
      <w:pPr>
        <w:pStyle w:val="Small"/>
      </w:pPr>
      <w:r>
        <w:t xml:space="preserve">Madhya Pradesh Pollution Control Board: https://www.mppcb.mp.gov.in/</w:t>
      </w:r>
    </w:p>
    <w:p>
      <w:pPr>
        <w:pStyle w:val="Small"/>
      </w:pPr>
      <w:r>
        <w:t xml:space="preserve">NABL: https://nabl-india.org/</w:t>
      </w:r>
    </w:p>
    <w:p>
      <w:pPr>
        <w:pStyle w:val="Heading1"/>
        <w:keepNext/>
      </w:pPr>
      <w:r>
        <w:t xml:space="preserve">13. Conclusion</w:t>
      </w:r>
    </w:p>
    <w:p>
      <w:pPr>
        <w:pStyle w:val="Normal"/>
      </w:pPr>
      <w:r>
        <w:t xml:space="preserve">Environmental compliance is strongest when the project described in the baseline, consent file and monitoring report is the project that is actually built and operated. Good records make that comparison possible.</w:t>
      </w:r>
    </w:p>
    <w:p>
      <w:pPr>
        <w:pStyle w:val="Normal"/>
      </w:pPr>
      <w:r>
        <w:t xml:space="preserve">Before appointment, the client should confirm the activity and capacity, site and approval stage, applicable authority, monitoring period, laboratory pathway, statutory consultant, report format and responsibility for implementing actions.</w:t>
      </w:r>
    </w:p>
    <w:sectPr>
      <w:headerReference xmlns:r="http://schemas.openxmlformats.org/officeDocument/2006/relationships" w:type="default" r:id="rId4"/>
      <w:footerReference xmlns:r="http://schemas.openxmlformats.org/officeDocument/2006/relationships" w:type="default" r:id="rId5"/>
      <w:pgSz w:w="11906" w:h="16838"/>
      <w:pgMar w:top="1080" w:right="1080" w:bottom="1080" w:left="1080" w:header="540" w:footer="540" w:gutter="0"/>
      <w:cols w:space="720"/>
      <w:docGrid w:linePitch="360"/>
    </w:sectPr>
  </w:body>
</w:document>
</file>

<file path=word/footer1.xml><?xml version="1.0" encoding="utf-8"?>
<w:ftr xmlns:w="http://schemas.openxmlformats.org/wordprocessingml/2006/main" xmlns:r="http://schemas.openxmlformats.org/officeDocument/2006/relationships">
  <w:p>
    <w:pPr>
      <w:pStyle w:val="Footer"/>
    </w:pPr>
    <w:r>
      <w:rPr>
        <w:color w:val="6B7478"/>
        <w:sz w:val="16"/>
        <w:szCs w:val="16"/>
      </w:rPr>
      <w:t xml:space="preserve">ACE  |  Detailed service guide  |  </w:t>
    </w:r>
    <w:fldSimple w:instr="PAGE">
      <w:r>
        <w:rPr>
          <w:color w:val="6B7478"/>
          <w:sz w:val="16"/>
        </w:rPr>
      </w:r>
    </w:fldSimple>
  </w:p>
</w:ftr>
</file>

<file path=word/header1.xml><?xml version="1.0" encoding="utf-8"?>
<w:hdr xmlns:w="http://schemas.openxmlformats.org/wordprocessingml/2006/main">
  <w:p>
    <w:pPr>
      <w:pStyle w:val="Header"/>
    </w:pPr>
    <w:r>
      <w:rPr>
        <w:b/>
        <w:color w:val="193B4A"/>
        <w:sz w:val="18"/>
        <w:szCs w:val="18"/>
      </w:rPr>
      <w:t xml:space="preserve">ACE  |  Anay Consultants &amp; Engineers</w:t>
    </w:r>
    <w:r>
      <w:rPr>
        <w:color w:val="8A5A2B"/>
        <w:sz w:val="16"/>
        <w:szCs w:val="16"/>
      </w:rPr>
      <w:t xml:space="preserve">  •  Engineering Data You Can Build 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220"/>
      </w:pPr>
      <w:rPr>
        <w:rFonts w:ascii="Arial" w:hAnsi="Arial"/>
      </w:rPr>
    </w:lvl>
  </w:abstractNum>
  <w:abstractNum w:abstractNumId="1">
    <w:multiLevelType w:val="singleLevel"/>
    <w:lvl w:ilvl="0">
      <w:start w:val="1"/>
      <w:numFmt w:val="decimal"/>
      <w:lvlText w:val="%1."/>
      <w:lvlJc w:val="left"/>
      <w:pPr>
        <w:ind w:left="420" w:hanging="220"/>
      </w:pPr>
    </w:lvl>
  </w:abstractNum>
  <w:num w:numId="1">
    <w:abstractNumId w:val="0"/>
  </w:num>
  <w:num w:numId="2">
    <w:abstractNumId w:val="1"/>
  </w:num>
</w:numbering>
</file>

<file path=word/settings.xml><?xml version="1.0" encoding="utf-8"?>
<w:settings xmlns:w="http://schemas.openxmlformats.org/wordprocessingml/2006/main">
  <w:zoom w:percent="100"/>
  <w:defaultTabStop w:val="720"/>
  <w:themeFontLang w:val="en-IN"/>
  <w:compat/>
  <w:doNotTrackFormatting/>
</w:settings>
</file>

<file path=word/styles.xml><?xml version="1.0" encoding="utf-8"?>
<w:styles xmlns:w="http://schemas.openxmlformats.org/wordprocessingml/2006/main">
  <w:docDefaults>
    <w:rPrDefault>
      <w:rPr>
        <w:rFonts w:ascii="Aptos" w:hAnsi="Aptos"/>
        <w:sz w:val="22"/>
        <w:szCs w:val="22"/>
        <w:color w:val="25323A"/>
      </w:rPr>
    </w:rPrDefault>
    <w:pPrDefault>
      <w:pPr>
        <w:spacing w:after="140" w:line="276" w:lineRule="auto"/>
      </w:pPr>
    </w:pPrDefault>
  </w:docDefaults>
  <w:style w:type="paragraph" w:default="1" w:styleId="Normal">
    <w:name w:val="Normal"/>
    <w:qFormat/>
  </w:style>
  <w:style w:type="paragraph" w:styleId="Title">
    <w:name w:val="Title"/>
    <w:basedOn w:val="Normal"/>
    <w:next w:val="Subtitle"/>
    <w:qFormat/>
    <w:pPr>
      <w:jc w:val="left"/>
      <w:spacing w:before="480" w:after="180"/>
    </w:pPr>
    <w:rPr>
      <w:rFonts w:ascii="Aptos Display" w:hAnsi="Aptos Display"/>
      <w:b/>
      <w:sz w:val="48"/>
      <w:szCs w:val="48"/>
      <w:color w:val="193B4A"/>
    </w:rPr>
  </w:style>
  <w:style w:type="paragraph" w:styleId="Subtitle">
    <w:name w:val="Subtitle"/>
    <w:basedOn w:val="Normal"/>
    <w:qFormat/>
    <w:pPr>
      <w:spacing w:after="300"/>
    </w:pPr>
    <w:rPr>
      <w:sz w:val="26"/>
      <w:szCs w:val="26"/>
      <w:color w:val="8A5A2B"/>
    </w:rPr>
  </w:style>
  <w:style w:type="paragraph" w:styleId="Heading1">
    <w:name w:val="heading 1"/>
    <w:basedOn w:val="Normal"/>
    <w:next w:val="Normal"/>
    <w:qFormat/>
    <w:pPr>
      <w:keepNext/>
      <w:outlineLvl w:val="0"/>
      <w:spacing w:before="420" w:after="140"/>
    </w:pPr>
    <w:rPr>
      <w:rFonts w:ascii="Aptos Display" w:hAnsi="Aptos Display"/>
      <w:b/>
      <w:sz w:val="31"/>
      <w:szCs w:val="31"/>
      <w:color w:val="193B4A"/>
    </w:rPr>
  </w:style>
  <w:style w:type="paragraph" w:styleId="Heading2">
    <w:name w:val="heading 2"/>
    <w:basedOn w:val="Normal"/>
    <w:next w:val="Normal"/>
    <w:qFormat/>
    <w:pPr>
      <w:keepNext/>
      <w:spacing w:before="260" w:after="100"/>
    </w:pPr>
    <w:rPr>
      <w:b/>
      <w:sz w:val="25"/>
      <w:szCs w:val="25"/>
      <w:color w:val="8A5A2B"/>
    </w:rPr>
  </w:style>
  <w:style w:type="paragraph" w:styleId="Heading3">
    <w:name w:val="heading 3"/>
    <w:basedOn w:val="Normal"/>
    <w:next w:val="Normal"/>
    <w:qFormat/>
    <w:pPr>
      <w:keepNext/>
      <w:spacing w:before="180" w:after="80"/>
    </w:pPr>
    <w:rPr>
      <w:b/>
      <w:sz w:val="22"/>
      <w:szCs w:val="22"/>
      <w:color w:val="193B4A"/>
    </w:rPr>
  </w:style>
  <w:style w:type="paragraph" w:styleId="ListParagraph">
    <w:name w:val="List Paragraph"/>
    <w:basedOn w:val="Normal"/>
    <w:pPr>
      <w:ind w:left="420" w:hanging="220"/>
      <w:spacing w:after="80"/>
    </w:pPr>
  </w:style>
  <w:style w:type="paragraph" w:styleId="Note">
    <w:name w:val="ACE Note"/>
    <w:basedOn w:val="Normal"/>
    <w:pPr>
      <w:shd w:fill="F4EBDD"/>
      <w:ind w:left="180" w:right="180"/>
      <w:spacing w:before="160" w:after="180"/>
    </w:pPr>
    <w:rPr>
      <w:sz w:val="20"/>
      <w:szCs w:val="20"/>
    </w:rPr>
  </w:style>
  <w:style w:type="paragraph" w:styleId="Small">
    <w:name w:val="Small"/>
    <w:basedOn w:val="Normal"/>
    <w:pPr>
      <w:spacing w:after="70"/>
    </w:pPr>
    <w:rPr>
      <w:sz w:val="18"/>
      <w:szCs w:val="18"/>
      <w:color w:val="5A6469"/>
    </w:rPr>
  </w:style>
  <w:style w:type="paragraph" w:styleId="TableText">
    <w:name w:val="Table Text"/>
    <w:basedOn w:val="Normal"/>
    <w:pPr>
      <w:spacing w:after="50" w:line="240" w:lineRule="auto"/>
    </w:pPr>
    <w:rPr>
      <w:sz w:val="18"/>
      <w:szCs w:val="18"/>
    </w:rPr>
  </w:style>
  <w:style w:type="paragraph" w:styleId="TableHeader">
    <w:name w:val="Table Header"/>
    <w:basedOn w:val="Normal"/>
    <w:pPr>
      <w:spacing w:after="50"/>
    </w:pPr>
    <w:rPr>
      <w:b/>
      <w:sz w:val="18"/>
      <w:szCs w:val="18"/>
      <w:color w:val="FFFFFF"/>
    </w:rPr>
  </w:style>
  <w:style w:type="paragraph" w:styleId="Header">
    <w:name w:val="Header"/>
    <w:basedOn w:val="Normal"/>
    <w:pPr>
      <w:pBdr>
        <w:bottom w:val="single" w:sz="6" w:space="6" w:color="D8D1C5"/>
      </w:pBdr>
      <w:spacing w:after="80"/>
    </w:pPr>
  </w:style>
  <w:style w:type="paragraph" w:styleId="Footer">
    <w:name w:val="Footer"/>
    <w:basedOn w:val="Normal"/>
    <w:pPr>
      <w:pBdr>
        <w:top w:val="single" w:sz="6" w:space="6" w:color="D8D1C5"/>
      </w:pBdr>
      <w:jc w:val="right"/>
    </w:pPr>
  </w:style>
  <w:style w:type="table" w:styleId="GuideTable">
    <w:name w:val="ACE Guide Table"/>
    <w:basedOn w:val="TableNormal"/>
    <w:tblPr>
      <w:tblCellMar>
        <w:top w:w="110" w:type="dxa"/>
        <w:start w:w="110" w:type="dxa"/>
        <w:bottom w:w="110" w:type="dxa"/>
        <w:end w:w="11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ACE Service Guide Generator</Application>
  <DocSecurity>0</DocSecurity>
  <ScaleCrop>false</ScaleCrop>
  <HeadingPairs/>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Services</dc:title>
  <dc:creator>Anay Consultants &amp; Engineers</dc:creator>
  <cp:lastModifiedBy>ACE Technical Desk</cp:lastModifiedBy>
  <dcterms:created xsi:type="dcterms:W3CDTF">2026-10-17T00:00:00Z</dcterms:created>
  <dcterms:modified xsi:type="dcterms:W3CDTF">2026-10-17T00:00:00Z</dcterms:modified>
</cp:coreProperties>
</file>