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CPEC/KKH Landslide Susceptibility Modelling</w:t>
      </w:r>
    </w:p>
    <w:p>
      <w:pPr>
        <w:spacing w:after="200"/>
      </w:pPr>
      <w:r>
        <w:rPr>
          <w:color w:val="5F5F5F"/>
          <w:sz w:val="24"/>
        </w:rPr>
        <w:t>Current 2018 V3 model structure, results, domain transferability, and next steps</w:t>
      </w:r>
    </w:p>
    <w:tbl>
      <w:tblPr>
        <w:tblStyle w:val="TableGrid"/>
        <w:tblW w:type="auto" w:w="0"/>
        <w:jc w:val="left"/>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96"/>
        <w:gridCol w:w="4896"/>
      </w:tblGrid>
      <w:tr>
        <w:trPr>
          <w:tblHeader w:val="true"/>
        </w:trPr>
        <w:tc>
          <w:tcPr>
            <w:tcW w:type="dxa" w:w="2304"/>
            <w:shd w:fill="D9EAF7"/>
            <w:vAlign w:val="center"/>
          </w:tcPr>
          <w:p>
            <w:pPr>
              <w:jc w:val="left"/>
            </w:pPr>
            <w:r/>
            <w:r>
              <w:rPr>
                <w:rFonts w:ascii="Arial" w:hAnsi="Arial"/>
                <w:b/>
                <w:color w:val="1F4E79"/>
                <w:sz w:val="18"/>
              </w:rPr>
              <w:t>Item</w:t>
            </w:r>
          </w:p>
        </w:tc>
        <w:tc>
          <w:tcPr>
            <w:tcW w:type="dxa" w:w="8208"/>
            <w:shd w:fill="D9EAF7"/>
            <w:vAlign w:val="center"/>
          </w:tcPr>
          <w:p>
            <w:pPr>
              <w:jc w:val="left"/>
            </w:pPr>
            <w:r/>
            <w:r>
              <w:rPr>
                <w:rFonts w:ascii="Arial" w:hAnsi="Arial"/>
                <w:b/>
                <w:color w:val="1F4E79"/>
                <w:sz w:val="18"/>
              </w:rPr>
              <w:t>Summary</w:t>
            </w:r>
          </w:p>
        </w:tc>
      </w:tr>
      <w:tr>
        <w:tc>
          <w:tcPr>
            <w:tcW w:type="dxa" w:w="2304"/>
            <w:vAlign w:val="center"/>
          </w:tcPr>
          <w:p>
            <w:pPr>
              <w:jc w:val="left"/>
            </w:pPr>
            <w:r/>
            <w:r>
              <w:rPr>
                <w:rFonts w:ascii="Arial" w:hAnsi="Arial"/>
                <w:b w:val="0"/>
                <w:sz w:val="18"/>
              </w:rPr>
              <w:t>Study focus</w:t>
            </w:r>
          </w:p>
        </w:tc>
        <w:tc>
          <w:tcPr>
            <w:tcW w:type="dxa" w:w="8208"/>
            <w:vAlign w:val="center"/>
          </w:tcPr>
          <w:p>
            <w:pPr>
              <w:jc w:val="left"/>
            </w:pPr>
            <w:r/>
            <w:r>
              <w:rPr>
                <w:rFonts w:ascii="Arial" w:hAnsi="Arial"/>
                <w:b w:val="0"/>
                <w:sz w:val="18"/>
              </w:rPr>
              <w:t>Landslide susceptibility for the CPEC region with special attention to KKH/CPEC infrastructure.</w:t>
            </w:r>
          </w:p>
        </w:tc>
      </w:tr>
      <w:tr>
        <w:tc>
          <w:tcPr>
            <w:tcW w:type="dxa" w:w="2304"/>
            <w:vAlign w:val="center"/>
          </w:tcPr>
          <w:p>
            <w:pPr>
              <w:jc w:val="left"/>
            </w:pPr>
            <w:r/>
            <w:r>
              <w:rPr>
                <w:rFonts w:ascii="Arial" w:hAnsi="Arial"/>
                <w:b w:val="0"/>
                <w:sz w:val="18"/>
              </w:rPr>
              <w:t>Main baseline year</w:t>
            </w:r>
          </w:p>
        </w:tc>
        <w:tc>
          <w:tcPr>
            <w:tcW w:type="dxa" w:w="8208"/>
            <w:vAlign w:val="center"/>
          </w:tcPr>
          <w:p>
            <w:pPr>
              <w:jc w:val="left"/>
            </w:pPr>
            <w:r/>
            <w:r>
              <w:rPr>
                <w:rFonts w:ascii="Arial" w:hAnsi="Arial"/>
                <w:b w:val="0"/>
                <w:sz w:val="18"/>
              </w:rPr>
              <w:t>2018, because AlphaEarth annual embeddings are available from 2017 onward and 2018 is the validated baseline comparison year.</w:t>
            </w:r>
          </w:p>
        </w:tc>
      </w:tr>
      <w:tr>
        <w:tc>
          <w:tcPr>
            <w:tcW w:type="dxa" w:w="2304"/>
            <w:vAlign w:val="center"/>
          </w:tcPr>
          <w:p>
            <w:pPr>
              <w:jc w:val="left"/>
            </w:pPr>
            <w:r/>
            <w:r>
              <w:rPr>
                <w:rFonts w:ascii="Arial" w:hAnsi="Arial"/>
                <w:b w:val="0"/>
                <w:sz w:val="18"/>
              </w:rPr>
              <w:t>Main model</w:t>
            </w:r>
          </w:p>
        </w:tc>
        <w:tc>
          <w:tcPr>
            <w:tcW w:type="dxa" w:w="8208"/>
            <w:vAlign w:val="center"/>
          </w:tcPr>
          <w:p>
            <w:pPr>
              <w:jc w:val="left"/>
            </w:pPr>
            <w:r/>
            <w:r>
              <w:rPr>
                <w:rFonts w:ascii="Arial" w:hAnsi="Arial"/>
                <w:b w:val="0"/>
                <w:sz w:val="18"/>
              </w:rPr>
              <w:t>Spatial-CV Stacked Ensemble evaluated against Logistic Regression, Random Forest, Extra Trees, XGBoost, LightGBM, and CatBoost.</w:t>
            </w:r>
          </w:p>
        </w:tc>
      </w:tr>
      <w:tr>
        <w:tc>
          <w:tcPr>
            <w:tcW w:type="dxa" w:w="2304"/>
            <w:vAlign w:val="center"/>
          </w:tcPr>
          <w:p>
            <w:pPr>
              <w:jc w:val="left"/>
            </w:pPr>
            <w:r/>
            <w:r>
              <w:rPr>
                <w:rFonts w:ascii="Arial" w:hAnsi="Arial"/>
                <w:b w:val="0"/>
                <w:sz w:val="18"/>
              </w:rPr>
              <w:t>Main feature sets</w:t>
            </w:r>
          </w:p>
        </w:tc>
        <w:tc>
          <w:tcPr>
            <w:tcW w:type="dxa" w:w="8208"/>
            <w:vAlign w:val="center"/>
          </w:tcPr>
          <w:p>
            <w:pPr>
              <w:jc w:val="left"/>
            </w:pPr>
            <w:r/>
            <w:r>
              <w:rPr>
                <w:rFonts w:ascii="Arial" w:hAnsi="Arial"/>
                <w:b w:val="0"/>
                <w:sz w:val="18"/>
              </w:rPr>
              <w:t>Conventional; AlphaEarth Embeddings; Conventional + AlphaEarth Embeddings.</w:t>
            </w:r>
          </w:p>
        </w:tc>
      </w:tr>
      <w:tr>
        <w:tc>
          <w:tcPr>
            <w:tcW w:type="dxa" w:w="2304"/>
            <w:vAlign w:val="center"/>
          </w:tcPr>
          <w:p>
            <w:pPr>
              <w:jc w:val="left"/>
            </w:pPr>
            <w:r/>
            <w:r>
              <w:rPr>
                <w:rFonts w:ascii="Arial" w:hAnsi="Arial"/>
                <w:b w:val="0"/>
                <w:sz w:val="18"/>
              </w:rPr>
              <w:t>Current status</w:t>
            </w:r>
          </w:p>
        </w:tc>
        <w:tc>
          <w:tcPr>
            <w:tcW w:type="dxa" w:w="8208"/>
            <w:vAlign w:val="center"/>
          </w:tcPr>
          <w:p>
            <w:pPr>
              <w:jc w:val="left"/>
            </w:pPr>
            <w:r/>
            <w:r>
              <w:rPr>
                <w:rFonts w:ascii="Arial" w:hAnsi="Arial"/>
                <w:b w:val="0"/>
                <w:sz w:val="18"/>
              </w:rPr>
              <w:t>Core 2018 workflow is complete. Temporal 2017-2024 extension remains planned and partly staged.</w:t>
            </w:r>
          </w:p>
        </w:tc>
      </w:tr>
      <w:tr>
        <w:tc>
          <w:tcPr>
            <w:tcW w:type="dxa" w:w="2304"/>
            <w:vAlign w:val="center"/>
          </w:tcPr>
          <w:p>
            <w:pPr>
              <w:jc w:val="left"/>
            </w:pPr>
            <w:r/>
            <w:r>
              <w:rPr>
                <w:rFonts w:ascii="Arial" w:hAnsi="Arial"/>
                <w:b w:val="0"/>
                <w:sz w:val="18"/>
              </w:rPr>
              <w:t>Prepared</w:t>
            </w:r>
          </w:p>
        </w:tc>
        <w:tc>
          <w:tcPr>
            <w:tcW w:type="dxa" w:w="8208"/>
            <w:vAlign w:val="center"/>
          </w:tcPr>
          <w:p>
            <w:pPr>
              <w:jc w:val="left"/>
            </w:pPr>
            <w:r/>
            <w:r>
              <w:rPr>
                <w:rFonts w:ascii="Arial" w:hAnsi="Arial"/>
                <w:b w:val="0"/>
                <w:sz w:val="18"/>
              </w:rPr>
              <w:t>2026-05-11</w:t>
            </w:r>
          </w:p>
        </w:tc>
      </w:tr>
    </w:tbl>
    <w:p/>
    <w:p>
      <w:pPr>
        <w:pStyle w:val="Heading1"/>
      </w:pPr>
      <w:r>
        <w:t>1. Executive Summary</w:t>
      </w:r>
    </w:p>
    <w:p>
      <w:pPr>
        <w:pStyle w:val="ListBullet"/>
        <w:spacing w:after="100"/>
      </w:pPr>
      <w:r>
        <w:t>The project has produced a complete 2018 V3 landslide susceptibility framework for the official CPEC study area.</w:t>
      </w:r>
    </w:p>
    <w:p>
      <w:pPr>
        <w:pStyle w:val="ListBullet"/>
        <w:spacing w:after="100"/>
      </w:pPr>
      <w:r>
        <w:t>The strongest result is not only high accuracy; it is a transferability-aware, explainable, reliability-aware model structure.</w:t>
      </w:r>
    </w:p>
    <w:p>
      <w:pPr>
        <w:pStyle w:val="ListBullet"/>
        <w:spacing w:after="100"/>
      </w:pPr>
      <w:r>
        <w:t>The fused feature set, Conventional + AlphaEarth Embeddings, gives the best overall balance of discrimination, calibration, and spatial transferability.</w:t>
      </w:r>
    </w:p>
    <w:p>
      <w:pPr>
        <w:pStyle w:val="ListBullet"/>
        <w:spacing w:after="100"/>
      </w:pPr>
      <w:r>
        <w:t>The domain analysis shows where the model generalizes well, where uncertainty is higher, and which controlling mechanisms dominate each subdomain.</w:t>
      </w:r>
    </w:p>
    <w:p>
      <w:pPr>
        <w:pStyle w:val="Heading1"/>
      </w:pPr>
      <w:r>
        <w:t>2. Current Model Structure</w:t>
      </w:r>
    </w:p>
    <w:p>
      <w:r>
        <w:t>The modelling design uses one validated CPEC-wide framework rather than separate regional models. This is important because it allows fair comparison among subdomains and directly tests spatial generalization.</w:t>
      </w:r>
    </w:p>
    <w:tbl>
      <w:tblPr>
        <w:tblStyle w:val="TableGrid"/>
        <w:tblW w:type="auto" w:w="0"/>
        <w:jc w:val="left"/>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64"/>
        <w:gridCol w:w="3264"/>
        <w:gridCol w:w="3264"/>
      </w:tblGrid>
      <w:tr>
        <w:trPr>
          <w:tblHeader w:val="true"/>
        </w:trPr>
        <w:tc>
          <w:tcPr>
            <w:tcW w:type="dxa" w:w="1944"/>
            <w:shd w:fill="D9EAF7"/>
            <w:vAlign w:val="center"/>
          </w:tcPr>
          <w:p>
            <w:pPr>
              <w:jc w:val="left"/>
            </w:pPr>
            <w:r/>
            <w:r>
              <w:rPr>
                <w:rFonts w:ascii="Arial" w:hAnsi="Arial"/>
                <w:b/>
                <w:color w:val="1F4E79"/>
                <w:sz w:val="18"/>
              </w:rPr>
              <w:t>Component</w:t>
            </w:r>
          </w:p>
        </w:tc>
        <w:tc>
          <w:tcPr>
            <w:tcW w:type="dxa" w:w="4320"/>
            <w:shd w:fill="D9EAF7"/>
            <w:vAlign w:val="center"/>
          </w:tcPr>
          <w:p>
            <w:pPr>
              <w:jc w:val="left"/>
            </w:pPr>
            <w:r/>
            <w:r>
              <w:rPr>
                <w:rFonts w:ascii="Arial" w:hAnsi="Arial"/>
                <w:b/>
                <w:color w:val="1F4E79"/>
                <w:sz w:val="18"/>
              </w:rPr>
              <w:t>What was done</w:t>
            </w:r>
          </w:p>
        </w:tc>
        <w:tc>
          <w:tcPr>
            <w:tcW w:type="dxa" w:w="4248"/>
            <w:shd w:fill="D9EAF7"/>
            <w:vAlign w:val="center"/>
          </w:tcPr>
          <w:p>
            <w:pPr>
              <w:jc w:val="left"/>
            </w:pPr>
            <w:r/>
            <w:r>
              <w:rPr>
                <w:rFonts w:ascii="Arial" w:hAnsi="Arial"/>
                <w:b/>
                <w:color w:val="1F4E79"/>
                <w:sz w:val="18"/>
              </w:rPr>
              <w:t>Why it matters</w:t>
            </w:r>
          </w:p>
        </w:tc>
      </w:tr>
      <w:tr>
        <w:tc>
          <w:tcPr>
            <w:tcW w:type="dxa" w:w="1944"/>
            <w:vAlign w:val="center"/>
          </w:tcPr>
          <w:p>
            <w:pPr>
              <w:jc w:val="left"/>
            </w:pPr>
            <w:r/>
            <w:r>
              <w:rPr>
                <w:rFonts w:ascii="Arial" w:hAnsi="Arial"/>
                <w:b w:val="0"/>
                <w:sz w:val="18"/>
              </w:rPr>
              <w:t>Official boundary</w:t>
            </w:r>
          </w:p>
        </w:tc>
        <w:tc>
          <w:tcPr>
            <w:tcW w:type="dxa" w:w="4320"/>
            <w:vAlign w:val="center"/>
          </w:tcPr>
          <w:p>
            <w:pPr>
              <w:jc w:val="left"/>
            </w:pPr>
            <w:r/>
            <w:r>
              <w:rPr>
                <w:rFonts w:ascii="Arial" w:hAnsi="Arial"/>
                <w:b w:val="0"/>
                <w:sz w:val="18"/>
              </w:rPr>
              <w:t>All samples and maps are clipped to the official CPEC study boundary.</w:t>
            </w:r>
          </w:p>
        </w:tc>
        <w:tc>
          <w:tcPr>
            <w:tcW w:type="dxa" w:w="4248"/>
            <w:vAlign w:val="center"/>
          </w:tcPr>
          <w:p>
            <w:pPr>
              <w:jc w:val="left"/>
            </w:pPr>
            <w:r/>
            <w:r>
              <w:rPr>
                <w:rFonts w:ascii="Arial" w:hAnsi="Arial"/>
                <w:b w:val="0"/>
                <w:sz w:val="18"/>
              </w:rPr>
              <w:t>Keeps the analysis spatially consistent.</w:t>
            </w:r>
          </w:p>
        </w:tc>
      </w:tr>
      <w:tr>
        <w:tc>
          <w:tcPr>
            <w:tcW w:type="dxa" w:w="1944"/>
            <w:vAlign w:val="center"/>
          </w:tcPr>
          <w:p>
            <w:pPr>
              <w:jc w:val="left"/>
            </w:pPr>
            <w:r/>
            <w:r>
              <w:rPr>
                <w:rFonts w:ascii="Arial" w:hAnsi="Arial"/>
                <w:b w:val="0"/>
                <w:sz w:val="18"/>
              </w:rPr>
              <w:t>Corrected factor database</w:t>
            </w:r>
          </w:p>
        </w:tc>
        <w:tc>
          <w:tcPr>
            <w:tcW w:type="dxa" w:w="4320"/>
            <w:vAlign w:val="center"/>
          </w:tcPr>
          <w:p>
            <w:pPr>
              <w:jc w:val="left"/>
            </w:pPr>
            <w:r/>
            <w:r>
              <w:rPr>
                <w:rFonts w:ascii="Arial" w:hAnsi="Arial"/>
                <w:b w:val="0"/>
                <w:sz w:val="18"/>
              </w:rPr>
              <w:t>Terrain, hydro-climate, vegetation, land cover, geology, soil, seismicity, road distance, river distance, and fault distance were included.</w:t>
            </w:r>
          </w:p>
        </w:tc>
        <w:tc>
          <w:tcPr>
            <w:tcW w:type="dxa" w:w="4248"/>
            <w:vAlign w:val="center"/>
          </w:tcPr>
          <w:p>
            <w:pPr>
              <w:jc w:val="left"/>
            </w:pPr>
            <w:r/>
            <w:r>
              <w:rPr>
                <w:rFonts w:ascii="Arial" w:hAnsi="Arial"/>
                <w:b w:val="0"/>
                <w:sz w:val="18"/>
              </w:rPr>
              <w:t>Covers physical, environmental, and infrastructure controls.</w:t>
            </w:r>
          </w:p>
        </w:tc>
      </w:tr>
      <w:tr>
        <w:tc>
          <w:tcPr>
            <w:tcW w:type="dxa" w:w="1944"/>
            <w:vAlign w:val="center"/>
          </w:tcPr>
          <w:p>
            <w:pPr>
              <w:jc w:val="left"/>
            </w:pPr>
            <w:r/>
            <w:r>
              <w:rPr>
                <w:rFonts w:ascii="Arial" w:hAnsi="Arial"/>
                <w:b w:val="0"/>
                <w:sz w:val="18"/>
              </w:rPr>
              <w:t>VIF gate</w:t>
            </w:r>
          </w:p>
        </w:tc>
        <w:tc>
          <w:tcPr>
            <w:tcW w:type="dxa" w:w="4320"/>
            <w:vAlign w:val="center"/>
          </w:tcPr>
          <w:p>
            <w:pPr>
              <w:jc w:val="left"/>
            </w:pPr>
            <w:r/>
            <w:r>
              <w:rPr>
                <w:rFonts w:ascii="Arial" w:hAnsi="Arial"/>
                <w:b w:val="0"/>
                <w:sz w:val="18"/>
              </w:rPr>
              <w:t>All final conventional factors passed global VIF screening; maximum final VIF = 3.88.</w:t>
            </w:r>
          </w:p>
        </w:tc>
        <w:tc>
          <w:tcPr>
            <w:tcW w:type="dxa" w:w="4248"/>
            <w:vAlign w:val="center"/>
          </w:tcPr>
          <w:p>
            <w:pPr>
              <w:jc w:val="left"/>
            </w:pPr>
            <w:r/>
            <w:r>
              <w:rPr>
                <w:rFonts w:ascii="Arial" w:hAnsi="Arial"/>
                <w:b w:val="0"/>
                <w:sz w:val="18"/>
              </w:rPr>
              <w:t>Reduces unstable or redundant predictors before modelling.</w:t>
            </w:r>
          </w:p>
        </w:tc>
      </w:tr>
      <w:tr>
        <w:tc>
          <w:tcPr>
            <w:tcW w:type="dxa" w:w="1944"/>
            <w:vAlign w:val="center"/>
          </w:tcPr>
          <w:p>
            <w:pPr>
              <w:jc w:val="left"/>
            </w:pPr>
            <w:r/>
            <w:r>
              <w:rPr>
                <w:rFonts w:ascii="Arial" w:hAnsi="Arial"/>
                <w:b w:val="0"/>
                <w:sz w:val="18"/>
              </w:rPr>
              <w:t>Model family</w:t>
            </w:r>
          </w:p>
        </w:tc>
        <w:tc>
          <w:tcPr>
            <w:tcW w:type="dxa" w:w="4320"/>
            <w:vAlign w:val="center"/>
          </w:tcPr>
          <w:p>
            <w:pPr>
              <w:jc w:val="left"/>
            </w:pPr>
            <w:r/>
            <w:r>
              <w:rPr>
                <w:rFonts w:ascii="Arial" w:hAnsi="Arial"/>
                <w:b w:val="0"/>
                <w:sz w:val="18"/>
              </w:rPr>
              <w:t>Seven model types were evaluated with spatial CV.</w:t>
            </w:r>
          </w:p>
        </w:tc>
        <w:tc>
          <w:tcPr>
            <w:tcW w:type="dxa" w:w="4248"/>
            <w:vAlign w:val="center"/>
          </w:tcPr>
          <w:p>
            <w:pPr>
              <w:jc w:val="left"/>
            </w:pPr>
            <w:r/>
            <w:r>
              <w:rPr>
                <w:rFonts w:ascii="Arial" w:hAnsi="Arial"/>
                <w:b w:val="0"/>
                <w:sz w:val="18"/>
              </w:rPr>
              <w:t>Shows that the chosen model is not an arbitrary single-model result.</w:t>
            </w:r>
          </w:p>
        </w:tc>
      </w:tr>
      <w:tr>
        <w:tc>
          <w:tcPr>
            <w:tcW w:type="dxa" w:w="1944"/>
            <w:vAlign w:val="center"/>
          </w:tcPr>
          <w:p>
            <w:pPr>
              <w:jc w:val="left"/>
            </w:pPr>
            <w:r/>
            <w:r>
              <w:rPr>
                <w:rFonts w:ascii="Arial" w:hAnsi="Arial"/>
                <w:b w:val="0"/>
                <w:sz w:val="18"/>
              </w:rPr>
              <w:t>Stacking</w:t>
            </w:r>
          </w:p>
        </w:tc>
        <w:tc>
          <w:tcPr>
            <w:tcW w:type="dxa" w:w="4320"/>
            <w:vAlign w:val="center"/>
          </w:tcPr>
          <w:p>
            <w:pPr>
              <w:jc w:val="left"/>
            </w:pPr>
            <w:r/>
            <w:r>
              <w:rPr>
                <w:rFonts w:ascii="Arial" w:hAnsi="Arial"/>
                <w:b w:val="0"/>
                <w:sz w:val="18"/>
              </w:rPr>
              <w:t>Base learners are combined through a Spatial-CV Stacked Ensemble.</w:t>
            </w:r>
          </w:p>
        </w:tc>
        <w:tc>
          <w:tcPr>
            <w:tcW w:type="dxa" w:w="4248"/>
            <w:vAlign w:val="center"/>
          </w:tcPr>
          <w:p>
            <w:pPr>
              <w:jc w:val="left"/>
            </w:pPr>
            <w:r/>
            <w:r>
              <w:rPr>
                <w:rFonts w:ascii="Arial" w:hAnsi="Arial"/>
                <w:b w:val="0"/>
                <w:sz w:val="18"/>
              </w:rPr>
              <w:t>Uses complementary model strengths while reducing reliance on any one learner.</w:t>
            </w:r>
          </w:p>
        </w:tc>
      </w:tr>
      <w:tr>
        <w:tc>
          <w:tcPr>
            <w:tcW w:type="dxa" w:w="1944"/>
            <w:vAlign w:val="center"/>
          </w:tcPr>
          <w:p>
            <w:pPr>
              <w:jc w:val="left"/>
            </w:pPr>
            <w:r/>
            <w:r>
              <w:rPr>
                <w:rFonts w:ascii="Arial" w:hAnsi="Arial"/>
                <w:b w:val="0"/>
                <w:sz w:val="18"/>
              </w:rPr>
              <w:t>Domain tests</w:t>
            </w:r>
          </w:p>
        </w:tc>
        <w:tc>
          <w:tcPr>
            <w:tcW w:type="dxa" w:w="4320"/>
            <w:vAlign w:val="center"/>
          </w:tcPr>
          <w:p>
            <w:pPr>
              <w:jc w:val="left"/>
            </w:pPr>
            <w:r/>
            <w:r>
              <w:rPr>
                <w:rFonts w:ascii="Arial" w:hAnsi="Arial"/>
                <w:b w:val="0"/>
                <w:sz w:val="18"/>
              </w:rPr>
              <w:t>Leave-one-domain-out tests were run for five CPEC subdomains.</w:t>
            </w:r>
          </w:p>
        </w:tc>
        <w:tc>
          <w:tcPr>
            <w:tcW w:type="dxa" w:w="4248"/>
            <w:vAlign w:val="center"/>
          </w:tcPr>
          <w:p>
            <w:pPr>
              <w:jc w:val="left"/>
            </w:pPr>
            <w:r/>
            <w:r>
              <w:rPr>
                <w:rFonts w:ascii="Arial" w:hAnsi="Arial"/>
                <w:b w:val="0"/>
                <w:sz w:val="18"/>
              </w:rPr>
              <w:t>Tests spatial transferability to withheld regions.</w:t>
            </w:r>
          </w:p>
        </w:tc>
      </w:tr>
      <w:tr>
        <w:tc>
          <w:tcPr>
            <w:tcW w:type="dxa" w:w="1944"/>
            <w:vAlign w:val="center"/>
          </w:tcPr>
          <w:p>
            <w:pPr>
              <w:jc w:val="left"/>
            </w:pPr>
            <w:r/>
            <w:r>
              <w:rPr>
                <w:rFonts w:ascii="Arial" w:hAnsi="Arial"/>
                <w:b w:val="0"/>
                <w:sz w:val="18"/>
              </w:rPr>
              <w:t>AOA</w:t>
            </w:r>
          </w:p>
        </w:tc>
        <w:tc>
          <w:tcPr>
            <w:tcW w:type="dxa" w:w="4320"/>
            <w:vAlign w:val="center"/>
          </w:tcPr>
          <w:p>
            <w:pPr>
              <w:jc w:val="left"/>
            </w:pPr>
            <w:r/>
            <w:r>
              <w:rPr>
                <w:rFonts w:ascii="Arial" w:hAnsi="Arial"/>
                <w:b w:val="0"/>
                <w:sz w:val="18"/>
              </w:rPr>
              <w:t>Area of Applicability and transfer confidence were generated.</w:t>
            </w:r>
          </w:p>
        </w:tc>
        <w:tc>
          <w:tcPr>
            <w:tcW w:type="dxa" w:w="4248"/>
            <w:vAlign w:val="center"/>
          </w:tcPr>
          <w:p>
            <w:pPr>
              <w:jc w:val="left"/>
            </w:pPr>
            <w:r/>
            <w:r>
              <w:rPr>
                <w:rFonts w:ascii="Arial" w:hAnsi="Arial"/>
                <w:b w:val="0"/>
                <w:sz w:val="18"/>
              </w:rPr>
              <w:t>Separates reliable predictions from extrapolated predictions.</w:t>
            </w:r>
          </w:p>
        </w:tc>
      </w:tr>
      <w:tr>
        <w:tc>
          <w:tcPr>
            <w:tcW w:type="dxa" w:w="1944"/>
            <w:vAlign w:val="center"/>
          </w:tcPr>
          <w:p>
            <w:pPr>
              <w:jc w:val="left"/>
            </w:pPr>
            <w:r/>
            <w:r>
              <w:rPr>
                <w:rFonts w:ascii="Arial" w:hAnsi="Arial"/>
                <w:b w:val="0"/>
                <w:sz w:val="18"/>
              </w:rPr>
              <w:t>Explainability</w:t>
            </w:r>
          </w:p>
        </w:tc>
        <w:tc>
          <w:tcPr>
            <w:tcW w:type="dxa" w:w="4320"/>
            <w:vAlign w:val="center"/>
          </w:tcPr>
          <w:p>
            <w:pPr>
              <w:jc w:val="left"/>
            </w:pPr>
            <w:r/>
            <w:r>
              <w:rPr>
                <w:rFonts w:ascii="Arial" w:hAnsi="Arial"/>
                <w:b w:val="0"/>
                <w:sz w:val="18"/>
              </w:rPr>
              <w:t>SHAP and TreeSHAP summaries were created globally and by domain.</w:t>
            </w:r>
          </w:p>
        </w:tc>
        <w:tc>
          <w:tcPr>
            <w:tcW w:type="dxa" w:w="4248"/>
            <w:vAlign w:val="center"/>
          </w:tcPr>
          <w:p>
            <w:pPr>
              <w:jc w:val="left"/>
            </w:pPr>
            <w:r/>
            <w:r>
              <w:rPr>
                <w:rFonts w:ascii="Arial" w:hAnsi="Arial"/>
                <w:b w:val="0"/>
                <w:sz w:val="18"/>
              </w:rPr>
              <w:t>Provides process interpretation, not just accuracy numbers.</w:t>
            </w:r>
          </w:p>
        </w:tc>
      </w:tr>
    </w:tbl>
    <w:p/>
    <w:p>
      <w:pPr>
        <w:pStyle w:val="Heading1"/>
      </w:pPr>
      <w:r>
        <w:t>3. Model Performance</w:t>
      </w:r>
    </w:p>
    <w:p>
      <w:r>
        <w:t>The fused feature set produced the best overall performance. XGBoost and CatBoost gave the highest raw AUC values, while the Spatial-CV Stacked Ensemble gave the strongest balanced classification and lowest Brier score among fused models.</w:t>
      </w:r>
    </w:p>
    <w:tbl>
      <w:tblPr>
        <w:tblStyle w:val="TableGrid"/>
        <w:tblW w:type="auto" w:w="0"/>
        <w:jc w:val="left"/>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99"/>
        <w:gridCol w:w="1399"/>
        <w:gridCol w:w="1399"/>
        <w:gridCol w:w="1399"/>
        <w:gridCol w:w="1399"/>
        <w:gridCol w:w="1399"/>
        <w:gridCol w:w="1399"/>
      </w:tblGrid>
      <w:tr>
        <w:trPr>
          <w:tblHeader w:val="true"/>
        </w:trPr>
        <w:tc>
          <w:tcPr>
            <w:tcW w:type="dxa" w:w="2736"/>
            <w:shd w:fill="D9EAF7"/>
            <w:vAlign w:val="center"/>
          </w:tcPr>
          <w:p>
            <w:pPr>
              <w:jc w:val="left"/>
            </w:pPr>
            <w:r/>
            <w:r>
              <w:rPr>
                <w:rFonts w:ascii="Arial" w:hAnsi="Arial"/>
                <w:b/>
                <w:color w:val="1F4E79"/>
                <w:sz w:val="18"/>
              </w:rPr>
              <w:t>Feature set</w:t>
            </w:r>
          </w:p>
        </w:tc>
        <w:tc>
          <w:tcPr>
            <w:tcW w:type="dxa" w:w="2232"/>
            <w:shd w:fill="D9EAF7"/>
            <w:vAlign w:val="center"/>
          </w:tcPr>
          <w:p>
            <w:pPr>
              <w:jc w:val="left"/>
            </w:pPr>
            <w:r/>
            <w:r>
              <w:rPr>
                <w:rFonts w:ascii="Arial" w:hAnsi="Arial"/>
                <w:b/>
                <w:color w:val="1F4E79"/>
                <w:sz w:val="18"/>
              </w:rPr>
              <w:t>Model</w:t>
            </w:r>
          </w:p>
        </w:tc>
        <w:tc>
          <w:tcPr>
            <w:tcW w:type="dxa" w:w="1008"/>
            <w:shd w:fill="D9EAF7"/>
            <w:vAlign w:val="center"/>
          </w:tcPr>
          <w:p>
            <w:pPr>
              <w:jc w:val="left"/>
            </w:pPr>
            <w:r/>
            <w:r>
              <w:rPr>
                <w:rFonts w:ascii="Arial" w:hAnsi="Arial"/>
                <w:b/>
                <w:color w:val="1F4E79"/>
                <w:sz w:val="18"/>
              </w:rPr>
              <w:t>ROC-AUC</w:t>
            </w:r>
          </w:p>
        </w:tc>
        <w:tc>
          <w:tcPr>
            <w:tcW w:type="dxa" w:w="1008"/>
            <w:shd w:fill="D9EAF7"/>
            <w:vAlign w:val="center"/>
          </w:tcPr>
          <w:p>
            <w:pPr>
              <w:jc w:val="left"/>
            </w:pPr>
            <w:r/>
            <w:r>
              <w:rPr>
                <w:rFonts w:ascii="Arial" w:hAnsi="Arial"/>
                <w:b/>
                <w:color w:val="1F4E79"/>
                <w:sz w:val="18"/>
              </w:rPr>
              <w:t>PR-AUC</w:t>
            </w:r>
          </w:p>
        </w:tc>
        <w:tc>
          <w:tcPr>
            <w:tcW w:type="dxa" w:w="1080"/>
            <w:shd w:fill="D9EAF7"/>
            <w:vAlign w:val="center"/>
          </w:tcPr>
          <w:p>
            <w:pPr>
              <w:jc w:val="left"/>
            </w:pPr>
            <w:r/>
            <w:r>
              <w:rPr>
                <w:rFonts w:ascii="Arial" w:hAnsi="Arial"/>
                <w:b/>
                <w:color w:val="1F4E79"/>
                <w:sz w:val="18"/>
              </w:rPr>
              <w:t>Bal. acc.</w:t>
            </w:r>
          </w:p>
        </w:tc>
        <w:tc>
          <w:tcPr>
            <w:tcW w:type="dxa" w:w="936"/>
            <w:shd w:fill="D9EAF7"/>
            <w:vAlign w:val="center"/>
          </w:tcPr>
          <w:p>
            <w:pPr>
              <w:jc w:val="left"/>
            </w:pPr>
            <w:r/>
            <w:r>
              <w:rPr>
                <w:rFonts w:ascii="Arial" w:hAnsi="Arial"/>
                <w:b/>
                <w:color w:val="1F4E79"/>
                <w:sz w:val="18"/>
              </w:rPr>
              <w:t>F1</w:t>
            </w:r>
          </w:p>
        </w:tc>
        <w:tc>
          <w:tcPr>
            <w:tcW w:type="dxa" w:w="936"/>
            <w:shd w:fill="D9EAF7"/>
            <w:vAlign w:val="center"/>
          </w:tcPr>
          <w:p>
            <w:pPr>
              <w:jc w:val="left"/>
            </w:pPr>
            <w:r/>
            <w:r>
              <w:rPr>
                <w:rFonts w:ascii="Arial" w:hAnsi="Arial"/>
                <w:b/>
                <w:color w:val="1F4E79"/>
                <w:sz w:val="18"/>
              </w:rPr>
              <w:t>Brier</w:t>
            </w:r>
          </w:p>
        </w:tc>
      </w:tr>
      <w:tr>
        <w:tc>
          <w:tcPr>
            <w:tcW w:type="dxa" w:w="2736"/>
            <w:vAlign w:val="center"/>
          </w:tcPr>
          <w:p>
            <w:pPr>
              <w:jc w:val="left"/>
            </w:pPr>
            <w:r/>
            <w:r>
              <w:rPr>
                <w:rFonts w:ascii="Arial" w:hAnsi="Arial"/>
                <w:b w:val="0"/>
                <w:sz w:val="18"/>
              </w:rPr>
              <w:t>Conventional + AlphaEarth Embeddings</w:t>
            </w:r>
          </w:p>
        </w:tc>
        <w:tc>
          <w:tcPr>
            <w:tcW w:type="dxa" w:w="2232"/>
            <w:vAlign w:val="center"/>
          </w:tcPr>
          <w:p>
            <w:pPr>
              <w:jc w:val="left"/>
            </w:pPr>
            <w:r/>
            <w:r>
              <w:rPr>
                <w:rFonts w:ascii="Arial" w:hAnsi="Arial"/>
                <w:b w:val="0"/>
                <w:sz w:val="18"/>
              </w:rPr>
              <w:t>XGBoost</w:t>
            </w:r>
          </w:p>
        </w:tc>
        <w:tc>
          <w:tcPr>
            <w:tcW w:type="dxa" w:w="1008"/>
            <w:vAlign w:val="center"/>
          </w:tcPr>
          <w:p>
            <w:pPr>
              <w:jc w:val="left"/>
            </w:pPr>
            <w:r/>
            <w:r>
              <w:rPr>
                <w:rFonts w:ascii="Arial" w:hAnsi="Arial"/>
                <w:b w:val="0"/>
                <w:sz w:val="18"/>
              </w:rPr>
              <w:t>0.973</w:t>
            </w:r>
          </w:p>
        </w:tc>
        <w:tc>
          <w:tcPr>
            <w:tcW w:type="dxa" w:w="1008"/>
            <w:vAlign w:val="center"/>
          </w:tcPr>
          <w:p>
            <w:pPr>
              <w:jc w:val="left"/>
            </w:pPr>
            <w:r/>
            <w:r>
              <w:rPr>
                <w:rFonts w:ascii="Arial" w:hAnsi="Arial"/>
                <w:b w:val="0"/>
                <w:sz w:val="18"/>
              </w:rPr>
              <w:t>0.960</w:t>
            </w:r>
          </w:p>
        </w:tc>
        <w:tc>
          <w:tcPr>
            <w:tcW w:type="dxa" w:w="1080"/>
            <w:vAlign w:val="center"/>
          </w:tcPr>
          <w:p>
            <w:pPr>
              <w:jc w:val="left"/>
            </w:pPr>
            <w:r/>
            <w:r>
              <w:rPr>
                <w:rFonts w:ascii="Arial" w:hAnsi="Arial"/>
                <w:b w:val="0"/>
                <w:sz w:val="18"/>
              </w:rPr>
              <w:t>0.906</w:t>
            </w:r>
          </w:p>
        </w:tc>
        <w:tc>
          <w:tcPr>
            <w:tcW w:type="dxa" w:w="936"/>
            <w:vAlign w:val="center"/>
          </w:tcPr>
          <w:p>
            <w:pPr>
              <w:jc w:val="left"/>
            </w:pPr>
            <w:r/>
            <w:r>
              <w:rPr>
                <w:rFonts w:ascii="Arial" w:hAnsi="Arial"/>
                <w:b w:val="0"/>
                <w:sz w:val="18"/>
              </w:rPr>
              <w:t>0.890</w:t>
            </w:r>
          </w:p>
        </w:tc>
        <w:tc>
          <w:tcPr>
            <w:tcW w:type="dxa" w:w="936"/>
            <w:vAlign w:val="center"/>
          </w:tcPr>
          <w:p>
            <w:pPr>
              <w:jc w:val="left"/>
            </w:pPr>
            <w:r/>
            <w:r>
              <w:rPr>
                <w:rFonts w:ascii="Arial" w:hAnsi="Arial"/>
                <w:b w:val="0"/>
                <w:sz w:val="18"/>
              </w:rPr>
              <w:t>0.062</w:t>
            </w:r>
          </w:p>
        </w:tc>
      </w:tr>
      <w:tr>
        <w:tc>
          <w:tcPr>
            <w:tcW w:type="dxa" w:w="2736"/>
            <w:vAlign w:val="center"/>
          </w:tcPr>
          <w:p>
            <w:pPr>
              <w:jc w:val="left"/>
            </w:pPr>
            <w:r/>
            <w:r>
              <w:rPr>
                <w:rFonts w:ascii="Arial" w:hAnsi="Arial"/>
                <w:b w:val="0"/>
                <w:sz w:val="18"/>
              </w:rPr>
              <w:t>Conventional + AlphaEarth Embeddings</w:t>
            </w:r>
          </w:p>
        </w:tc>
        <w:tc>
          <w:tcPr>
            <w:tcW w:type="dxa" w:w="2232"/>
            <w:vAlign w:val="center"/>
          </w:tcPr>
          <w:p>
            <w:pPr>
              <w:jc w:val="left"/>
            </w:pPr>
            <w:r/>
            <w:r>
              <w:rPr>
                <w:rFonts w:ascii="Arial" w:hAnsi="Arial"/>
                <w:b w:val="0"/>
                <w:sz w:val="18"/>
              </w:rPr>
              <w:t>CatBoost</w:t>
            </w:r>
          </w:p>
        </w:tc>
        <w:tc>
          <w:tcPr>
            <w:tcW w:type="dxa" w:w="1008"/>
            <w:vAlign w:val="center"/>
          </w:tcPr>
          <w:p>
            <w:pPr>
              <w:jc w:val="left"/>
            </w:pPr>
            <w:r/>
            <w:r>
              <w:rPr>
                <w:rFonts w:ascii="Arial" w:hAnsi="Arial"/>
                <w:b w:val="0"/>
                <w:sz w:val="18"/>
              </w:rPr>
              <w:t>0.972</w:t>
            </w:r>
          </w:p>
        </w:tc>
        <w:tc>
          <w:tcPr>
            <w:tcW w:type="dxa" w:w="1008"/>
            <w:vAlign w:val="center"/>
          </w:tcPr>
          <w:p>
            <w:pPr>
              <w:jc w:val="left"/>
            </w:pPr>
            <w:r/>
            <w:r>
              <w:rPr>
                <w:rFonts w:ascii="Arial" w:hAnsi="Arial"/>
                <w:b w:val="0"/>
                <w:sz w:val="18"/>
              </w:rPr>
              <w:t>0.959</w:t>
            </w:r>
          </w:p>
        </w:tc>
        <w:tc>
          <w:tcPr>
            <w:tcW w:type="dxa" w:w="1080"/>
            <w:vAlign w:val="center"/>
          </w:tcPr>
          <w:p>
            <w:pPr>
              <w:jc w:val="left"/>
            </w:pPr>
            <w:r/>
            <w:r>
              <w:rPr>
                <w:rFonts w:ascii="Arial" w:hAnsi="Arial"/>
                <w:b w:val="0"/>
                <w:sz w:val="18"/>
              </w:rPr>
              <w:t>0.900</w:t>
            </w:r>
          </w:p>
        </w:tc>
        <w:tc>
          <w:tcPr>
            <w:tcW w:type="dxa" w:w="936"/>
            <w:vAlign w:val="center"/>
          </w:tcPr>
          <w:p>
            <w:pPr>
              <w:jc w:val="left"/>
            </w:pPr>
            <w:r/>
            <w:r>
              <w:rPr>
                <w:rFonts w:ascii="Arial" w:hAnsi="Arial"/>
                <w:b w:val="0"/>
                <w:sz w:val="18"/>
              </w:rPr>
              <w:t>0.880</w:t>
            </w:r>
          </w:p>
        </w:tc>
        <w:tc>
          <w:tcPr>
            <w:tcW w:type="dxa" w:w="936"/>
            <w:vAlign w:val="center"/>
          </w:tcPr>
          <w:p>
            <w:pPr>
              <w:jc w:val="left"/>
            </w:pPr>
            <w:r/>
            <w:r>
              <w:rPr>
                <w:rFonts w:ascii="Arial" w:hAnsi="Arial"/>
                <w:b w:val="0"/>
                <w:sz w:val="18"/>
              </w:rPr>
              <w:t>0.062</w:t>
            </w:r>
          </w:p>
        </w:tc>
      </w:tr>
      <w:tr>
        <w:tc>
          <w:tcPr>
            <w:tcW w:type="dxa" w:w="2736"/>
            <w:vAlign w:val="center"/>
          </w:tcPr>
          <w:p>
            <w:pPr>
              <w:jc w:val="left"/>
            </w:pPr>
            <w:r/>
            <w:r>
              <w:rPr>
                <w:rFonts w:ascii="Arial" w:hAnsi="Arial"/>
                <w:b w:val="0"/>
                <w:sz w:val="18"/>
              </w:rPr>
              <w:t>Conventional + AlphaEarth Embeddings</w:t>
            </w:r>
          </w:p>
        </w:tc>
        <w:tc>
          <w:tcPr>
            <w:tcW w:type="dxa" w:w="2232"/>
            <w:vAlign w:val="center"/>
          </w:tcPr>
          <w:p>
            <w:pPr>
              <w:jc w:val="left"/>
            </w:pPr>
            <w:r/>
            <w:r>
              <w:rPr>
                <w:rFonts w:ascii="Arial" w:hAnsi="Arial"/>
                <w:b w:val="0"/>
                <w:sz w:val="18"/>
              </w:rPr>
              <w:t>Spatial-CV Stacked Ensemble</w:t>
            </w:r>
          </w:p>
        </w:tc>
        <w:tc>
          <w:tcPr>
            <w:tcW w:type="dxa" w:w="1008"/>
            <w:vAlign w:val="center"/>
          </w:tcPr>
          <w:p>
            <w:pPr>
              <w:jc w:val="left"/>
            </w:pPr>
            <w:r/>
            <w:r>
              <w:rPr>
                <w:rFonts w:ascii="Arial" w:hAnsi="Arial"/>
                <w:b w:val="0"/>
                <w:sz w:val="18"/>
              </w:rPr>
              <w:t>0.972</w:t>
            </w:r>
          </w:p>
        </w:tc>
        <w:tc>
          <w:tcPr>
            <w:tcW w:type="dxa" w:w="1008"/>
            <w:vAlign w:val="center"/>
          </w:tcPr>
          <w:p>
            <w:pPr>
              <w:jc w:val="left"/>
            </w:pPr>
            <w:r/>
            <w:r>
              <w:rPr>
                <w:rFonts w:ascii="Arial" w:hAnsi="Arial"/>
                <w:b w:val="0"/>
                <w:sz w:val="18"/>
              </w:rPr>
              <w:t>0.957</w:t>
            </w:r>
          </w:p>
        </w:tc>
        <w:tc>
          <w:tcPr>
            <w:tcW w:type="dxa" w:w="1080"/>
            <w:vAlign w:val="center"/>
          </w:tcPr>
          <w:p>
            <w:pPr>
              <w:jc w:val="left"/>
            </w:pPr>
            <w:r/>
            <w:r>
              <w:rPr>
                <w:rFonts w:ascii="Arial" w:hAnsi="Arial"/>
                <w:b w:val="0"/>
                <w:sz w:val="18"/>
              </w:rPr>
              <w:t>0.914</w:t>
            </w:r>
          </w:p>
        </w:tc>
        <w:tc>
          <w:tcPr>
            <w:tcW w:type="dxa" w:w="936"/>
            <w:vAlign w:val="center"/>
          </w:tcPr>
          <w:p>
            <w:pPr>
              <w:jc w:val="left"/>
            </w:pPr>
            <w:r/>
            <w:r>
              <w:rPr>
                <w:rFonts w:ascii="Arial" w:hAnsi="Arial"/>
                <w:b w:val="0"/>
                <w:sz w:val="18"/>
              </w:rPr>
              <w:t>0.897</w:t>
            </w:r>
          </w:p>
        </w:tc>
        <w:tc>
          <w:tcPr>
            <w:tcW w:type="dxa" w:w="936"/>
            <w:vAlign w:val="center"/>
          </w:tcPr>
          <w:p>
            <w:pPr>
              <w:jc w:val="left"/>
            </w:pPr>
            <w:r/>
            <w:r>
              <w:rPr>
                <w:rFonts w:ascii="Arial" w:hAnsi="Arial"/>
                <w:b w:val="0"/>
                <w:sz w:val="18"/>
              </w:rPr>
              <w:t>0.060</w:t>
            </w:r>
          </w:p>
        </w:tc>
      </w:tr>
      <w:tr>
        <w:tc>
          <w:tcPr>
            <w:tcW w:type="dxa" w:w="2736"/>
            <w:vAlign w:val="center"/>
          </w:tcPr>
          <w:p>
            <w:pPr>
              <w:jc w:val="left"/>
            </w:pPr>
            <w:r/>
            <w:r>
              <w:rPr>
                <w:rFonts w:ascii="Arial" w:hAnsi="Arial"/>
                <w:b w:val="0"/>
                <w:sz w:val="18"/>
              </w:rPr>
              <w:t>Conventional</w:t>
            </w:r>
          </w:p>
        </w:tc>
        <w:tc>
          <w:tcPr>
            <w:tcW w:type="dxa" w:w="2232"/>
            <w:vAlign w:val="center"/>
          </w:tcPr>
          <w:p>
            <w:pPr>
              <w:jc w:val="left"/>
            </w:pPr>
            <w:r/>
            <w:r>
              <w:rPr>
                <w:rFonts w:ascii="Arial" w:hAnsi="Arial"/>
                <w:b w:val="0"/>
                <w:sz w:val="18"/>
              </w:rPr>
              <w:t>Spatial-CV Stacked Ensemble</w:t>
            </w:r>
          </w:p>
        </w:tc>
        <w:tc>
          <w:tcPr>
            <w:tcW w:type="dxa" w:w="1008"/>
            <w:vAlign w:val="center"/>
          </w:tcPr>
          <w:p>
            <w:pPr>
              <w:jc w:val="left"/>
            </w:pPr>
            <w:r/>
            <w:r>
              <w:rPr>
                <w:rFonts w:ascii="Arial" w:hAnsi="Arial"/>
                <w:b w:val="0"/>
                <w:sz w:val="18"/>
              </w:rPr>
              <w:t>0.961</w:t>
            </w:r>
          </w:p>
        </w:tc>
        <w:tc>
          <w:tcPr>
            <w:tcW w:type="dxa" w:w="1008"/>
            <w:vAlign w:val="center"/>
          </w:tcPr>
          <w:p>
            <w:pPr>
              <w:jc w:val="left"/>
            </w:pPr>
            <w:r/>
            <w:r>
              <w:rPr>
                <w:rFonts w:ascii="Arial" w:hAnsi="Arial"/>
                <w:b w:val="0"/>
                <w:sz w:val="18"/>
              </w:rPr>
              <w:t>0.945</w:t>
            </w:r>
          </w:p>
        </w:tc>
        <w:tc>
          <w:tcPr>
            <w:tcW w:type="dxa" w:w="1080"/>
            <w:vAlign w:val="center"/>
          </w:tcPr>
          <w:p>
            <w:pPr>
              <w:jc w:val="left"/>
            </w:pPr>
            <w:r/>
            <w:r>
              <w:rPr>
                <w:rFonts w:ascii="Arial" w:hAnsi="Arial"/>
                <w:b w:val="0"/>
                <w:sz w:val="18"/>
              </w:rPr>
              <w:t>0.895</w:t>
            </w:r>
          </w:p>
        </w:tc>
        <w:tc>
          <w:tcPr>
            <w:tcW w:type="dxa" w:w="936"/>
            <w:vAlign w:val="center"/>
          </w:tcPr>
          <w:p>
            <w:pPr>
              <w:jc w:val="left"/>
            </w:pPr>
            <w:r/>
            <w:r>
              <w:rPr>
                <w:rFonts w:ascii="Arial" w:hAnsi="Arial"/>
                <w:b w:val="0"/>
                <w:sz w:val="18"/>
              </w:rPr>
              <w:t>0.878</w:t>
            </w:r>
          </w:p>
        </w:tc>
        <w:tc>
          <w:tcPr>
            <w:tcW w:type="dxa" w:w="936"/>
            <w:vAlign w:val="center"/>
          </w:tcPr>
          <w:p>
            <w:pPr>
              <w:jc w:val="left"/>
            </w:pPr>
            <w:r/>
            <w:r>
              <w:rPr>
                <w:rFonts w:ascii="Arial" w:hAnsi="Arial"/>
                <w:b w:val="0"/>
                <w:sz w:val="18"/>
              </w:rPr>
              <w:t>0.075</w:t>
            </w:r>
          </w:p>
        </w:tc>
      </w:tr>
      <w:tr>
        <w:tc>
          <w:tcPr>
            <w:tcW w:type="dxa" w:w="2736"/>
            <w:vAlign w:val="center"/>
          </w:tcPr>
          <w:p>
            <w:pPr>
              <w:jc w:val="left"/>
            </w:pPr>
            <w:r/>
            <w:r>
              <w:rPr>
                <w:rFonts w:ascii="Arial" w:hAnsi="Arial"/>
                <w:b w:val="0"/>
                <w:sz w:val="18"/>
              </w:rPr>
              <w:t>AlphaEarth Embeddings</w:t>
            </w:r>
          </w:p>
        </w:tc>
        <w:tc>
          <w:tcPr>
            <w:tcW w:type="dxa" w:w="2232"/>
            <w:vAlign w:val="center"/>
          </w:tcPr>
          <w:p>
            <w:pPr>
              <w:jc w:val="left"/>
            </w:pPr>
            <w:r/>
            <w:r>
              <w:rPr>
                <w:rFonts w:ascii="Arial" w:hAnsi="Arial"/>
                <w:b w:val="0"/>
                <w:sz w:val="18"/>
              </w:rPr>
              <w:t>Spatial-CV Stacked Ensemble</w:t>
            </w:r>
          </w:p>
        </w:tc>
        <w:tc>
          <w:tcPr>
            <w:tcW w:type="dxa" w:w="1008"/>
            <w:vAlign w:val="center"/>
          </w:tcPr>
          <w:p>
            <w:pPr>
              <w:jc w:val="left"/>
            </w:pPr>
            <w:r/>
            <w:r>
              <w:rPr>
                <w:rFonts w:ascii="Arial" w:hAnsi="Arial"/>
                <w:b w:val="0"/>
                <w:sz w:val="18"/>
              </w:rPr>
              <w:t>0.951</w:t>
            </w:r>
          </w:p>
        </w:tc>
        <w:tc>
          <w:tcPr>
            <w:tcW w:type="dxa" w:w="1008"/>
            <w:vAlign w:val="center"/>
          </w:tcPr>
          <w:p>
            <w:pPr>
              <w:jc w:val="left"/>
            </w:pPr>
            <w:r/>
            <w:r>
              <w:rPr>
                <w:rFonts w:ascii="Arial" w:hAnsi="Arial"/>
                <w:b w:val="0"/>
                <w:sz w:val="18"/>
              </w:rPr>
              <w:t>0.922</w:t>
            </w:r>
          </w:p>
        </w:tc>
        <w:tc>
          <w:tcPr>
            <w:tcW w:type="dxa" w:w="1080"/>
            <w:vAlign w:val="center"/>
          </w:tcPr>
          <w:p>
            <w:pPr>
              <w:jc w:val="left"/>
            </w:pPr>
            <w:r/>
            <w:r>
              <w:rPr>
                <w:rFonts w:ascii="Arial" w:hAnsi="Arial"/>
                <w:b w:val="0"/>
                <w:sz w:val="18"/>
              </w:rPr>
              <w:t>0.879</w:t>
            </w:r>
          </w:p>
        </w:tc>
        <w:tc>
          <w:tcPr>
            <w:tcW w:type="dxa" w:w="936"/>
            <w:vAlign w:val="center"/>
          </w:tcPr>
          <w:p>
            <w:pPr>
              <w:jc w:val="left"/>
            </w:pPr>
            <w:r/>
            <w:r>
              <w:rPr>
                <w:rFonts w:ascii="Arial" w:hAnsi="Arial"/>
                <w:b w:val="0"/>
                <w:sz w:val="18"/>
              </w:rPr>
              <w:t>0.860</w:t>
            </w:r>
          </w:p>
        </w:tc>
        <w:tc>
          <w:tcPr>
            <w:tcW w:type="dxa" w:w="936"/>
            <w:vAlign w:val="center"/>
          </w:tcPr>
          <w:p>
            <w:pPr>
              <w:jc w:val="left"/>
            </w:pPr>
            <w:r/>
            <w:r>
              <w:rPr>
                <w:rFonts w:ascii="Arial" w:hAnsi="Arial"/>
                <w:b w:val="0"/>
                <w:sz w:val="18"/>
              </w:rPr>
              <w:t>0.082</w:t>
            </w:r>
          </w:p>
        </w:tc>
      </w:tr>
    </w:tbl>
    <w:p/>
    <w:p>
      <w:r>
        <w:t>Interpretation: the fused model improves over the conventional-only and embedding-only structures, showing that AlphaEarth provides complementary information rather than duplicating conventional factors.</w:t>
      </w:r>
    </w:p>
    <w:p>
      <w:r>
        <w:br w:type="page"/>
      </w:r>
    </w:p>
    <w:p>
      <w:pPr>
        <w:pStyle w:val="Heading1"/>
      </w:pPr>
      <w:r>
        <w:t>4. Domain Transferability</w:t>
      </w:r>
    </w:p>
    <w:p>
      <w:r>
        <w:t>Leave-one-domain-out means the model is trained on all other CPEC domains and tested only on the withheld domain. The values below therefore measure spatial generalization rather than ordinary random-split accuracy.</w:t>
      </w:r>
    </w:p>
    <w:tbl>
      <w:tblPr>
        <w:tblStyle w:val="TableGrid"/>
        <w:tblW w:type="auto" w:w="0"/>
        <w:jc w:val="left"/>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99"/>
        <w:gridCol w:w="1399"/>
        <w:gridCol w:w="1399"/>
        <w:gridCol w:w="1399"/>
        <w:gridCol w:w="1399"/>
        <w:gridCol w:w="1399"/>
        <w:gridCol w:w="1399"/>
      </w:tblGrid>
      <w:tr>
        <w:trPr>
          <w:tblHeader w:val="true"/>
        </w:trPr>
        <w:tc>
          <w:tcPr>
            <w:tcW w:type="dxa" w:w="3168"/>
            <w:shd w:fill="D9EAF7"/>
            <w:vAlign w:val="center"/>
          </w:tcPr>
          <w:p>
            <w:pPr>
              <w:jc w:val="left"/>
            </w:pPr>
            <w:r/>
            <w:r>
              <w:rPr>
                <w:rFonts w:ascii="Arial" w:hAnsi="Arial"/>
                <w:b/>
                <w:color w:val="1F4E79"/>
                <w:sz w:val="18"/>
              </w:rPr>
              <w:t>Held-out domain</w:t>
            </w:r>
          </w:p>
        </w:tc>
        <w:tc>
          <w:tcPr>
            <w:tcW w:type="dxa" w:w="1080"/>
            <w:shd w:fill="D9EAF7"/>
            <w:vAlign w:val="center"/>
          </w:tcPr>
          <w:p>
            <w:pPr>
              <w:jc w:val="left"/>
            </w:pPr>
            <w:r/>
            <w:r>
              <w:rPr>
                <w:rFonts w:ascii="Arial" w:hAnsi="Arial"/>
                <w:b/>
                <w:color w:val="1F4E79"/>
                <w:sz w:val="18"/>
              </w:rPr>
              <w:t>Fused AUC</w:t>
            </w:r>
          </w:p>
        </w:tc>
        <w:tc>
          <w:tcPr>
            <w:tcW w:type="dxa" w:w="1152"/>
            <w:shd w:fill="D9EAF7"/>
            <w:vAlign w:val="center"/>
          </w:tcPr>
          <w:p>
            <w:pPr>
              <w:jc w:val="left"/>
            </w:pPr>
            <w:r/>
            <w:r>
              <w:rPr>
                <w:rFonts w:ascii="Arial" w:hAnsi="Arial"/>
                <w:b/>
                <w:color w:val="1F4E79"/>
                <w:sz w:val="18"/>
              </w:rPr>
              <w:t>Fused PR-AUC</w:t>
            </w:r>
          </w:p>
        </w:tc>
        <w:tc>
          <w:tcPr>
            <w:tcW w:type="dxa" w:w="864"/>
            <w:shd w:fill="D9EAF7"/>
            <w:vAlign w:val="center"/>
          </w:tcPr>
          <w:p>
            <w:pPr>
              <w:jc w:val="left"/>
            </w:pPr>
            <w:r/>
            <w:r>
              <w:rPr>
                <w:rFonts w:ascii="Arial" w:hAnsi="Arial"/>
                <w:b/>
                <w:color w:val="1F4E79"/>
                <w:sz w:val="18"/>
              </w:rPr>
              <w:t>F1</w:t>
            </w:r>
          </w:p>
        </w:tc>
        <w:tc>
          <w:tcPr>
            <w:tcW w:type="dxa" w:w="936"/>
            <w:shd w:fill="D9EAF7"/>
            <w:vAlign w:val="center"/>
          </w:tcPr>
          <w:p>
            <w:pPr>
              <w:jc w:val="left"/>
            </w:pPr>
            <w:r/>
            <w:r>
              <w:rPr>
                <w:rFonts w:ascii="Arial" w:hAnsi="Arial"/>
                <w:b/>
                <w:color w:val="1F4E79"/>
                <w:sz w:val="18"/>
              </w:rPr>
              <w:t>Brier</w:t>
            </w:r>
          </w:p>
        </w:tc>
        <w:tc>
          <w:tcPr>
            <w:tcW w:type="dxa" w:w="936"/>
            <w:shd w:fill="D9EAF7"/>
            <w:vAlign w:val="center"/>
          </w:tcPr>
          <w:p>
            <w:pPr>
              <w:jc w:val="left"/>
            </w:pPr>
            <w:r/>
            <w:r>
              <w:rPr>
                <w:rFonts w:ascii="Arial" w:hAnsi="Arial"/>
                <w:b/>
                <w:color w:val="1F4E79"/>
                <w:sz w:val="18"/>
              </w:rPr>
              <w:t>AOA</w:t>
            </w:r>
          </w:p>
        </w:tc>
        <w:tc>
          <w:tcPr>
            <w:tcW w:type="dxa" w:w="1296"/>
            <w:shd w:fill="D9EAF7"/>
            <w:vAlign w:val="center"/>
          </w:tcPr>
          <w:p>
            <w:pPr>
              <w:jc w:val="left"/>
            </w:pPr>
            <w:r/>
            <w:r>
              <w:rPr>
                <w:rFonts w:ascii="Arial" w:hAnsi="Arial"/>
                <w:b/>
                <w:color w:val="1F4E79"/>
                <w:sz w:val="18"/>
              </w:rPr>
              <w:t>Uncertain high</w:t>
            </w:r>
          </w:p>
        </w:tc>
      </w:tr>
      <w:tr>
        <w:tc>
          <w:tcPr>
            <w:tcW w:type="dxa" w:w="3168"/>
            <w:vAlign w:val="center"/>
          </w:tcPr>
          <w:p>
            <w:pPr>
              <w:jc w:val="left"/>
            </w:pPr>
            <w:r/>
            <w:r>
              <w:rPr>
                <w:rFonts w:ascii="Arial" w:hAnsi="Arial"/>
                <w:b w:val="0"/>
                <w:sz w:val="18"/>
              </w:rPr>
              <w:t>Balochistan</w:t>
            </w:r>
          </w:p>
        </w:tc>
        <w:tc>
          <w:tcPr>
            <w:tcW w:type="dxa" w:w="1080"/>
            <w:vAlign w:val="center"/>
          </w:tcPr>
          <w:p>
            <w:pPr>
              <w:jc w:val="left"/>
            </w:pPr>
            <w:r/>
            <w:r>
              <w:rPr>
                <w:rFonts w:ascii="Arial" w:hAnsi="Arial"/>
                <w:b w:val="0"/>
                <w:sz w:val="18"/>
              </w:rPr>
              <w:t>0.913</w:t>
            </w:r>
          </w:p>
        </w:tc>
        <w:tc>
          <w:tcPr>
            <w:tcW w:type="dxa" w:w="1152"/>
            <w:vAlign w:val="center"/>
          </w:tcPr>
          <w:p>
            <w:pPr>
              <w:jc w:val="left"/>
            </w:pPr>
            <w:r/>
            <w:r>
              <w:rPr>
                <w:rFonts w:ascii="Arial" w:hAnsi="Arial"/>
                <w:b w:val="0"/>
                <w:sz w:val="18"/>
              </w:rPr>
              <w:t>0.919</w:t>
            </w:r>
          </w:p>
        </w:tc>
        <w:tc>
          <w:tcPr>
            <w:tcW w:type="dxa" w:w="864"/>
            <w:vAlign w:val="center"/>
          </w:tcPr>
          <w:p>
            <w:pPr>
              <w:jc w:val="left"/>
            </w:pPr>
            <w:r/>
            <w:r>
              <w:rPr>
                <w:rFonts w:ascii="Arial" w:hAnsi="Arial"/>
                <w:b w:val="0"/>
                <w:sz w:val="18"/>
              </w:rPr>
              <w:t>0.835</w:t>
            </w:r>
          </w:p>
        </w:tc>
        <w:tc>
          <w:tcPr>
            <w:tcW w:type="dxa" w:w="936"/>
            <w:vAlign w:val="center"/>
          </w:tcPr>
          <w:p>
            <w:pPr>
              <w:jc w:val="left"/>
            </w:pPr>
            <w:r/>
            <w:r>
              <w:rPr>
                <w:rFonts w:ascii="Arial" w:hAnsi="Arial"/>
                <w:b w:val="0"/>
                <w:sz w:val="18"/>
              </w:rPr>
              <w:t>0.121</w:t>
            </w:r>
          </w:p>
        </w:tc>
        <w:tc>
          <w:tcPr>
            <w:tcW w:type="dxa" w:w="936"/>
            <w:vAlign w:val="center"/>
          </w:tcPr>
          <w:p>
            <w:pPr>
              <w:jc w:val="left"/>
            </w:pPr>
            <w:r/>
            <w:r>
              <w:rPr>
                <w:rFonts w:ascii="Arial" w:hAnsi="Arial"/>
                <w:b w:val="0"/>
                <w:sz w:val="18"/>
              </w:rPr>
              <w:t>98.9%</w:t>
            </w:r>
          </w:p>
        </w:tc>
        <w:tc>
          <w:tcPr>
            <w:tcW w:type="dxa" w:w="1296"/>
            <w:vAlign w:val="center"/>
          </w:tcPr>
          <w:p>
            <w:pPr>
              <w:jc w:val="left"/>
            </w:pPr>
            <w:r/>
            <w:r>
              <w:rPr>
                <w:rFonts w:ascii="Arial" w:hAnsi="Arial"/>
                <w:b w:val="0"/>
                <w:sz w:val="18"/>
              </w:rPr>
              <w:t>28.5%</w:t>
            </w:r>
          </w:p>
        </w:tc>
      </w:tr>
      <w:tr>
        <w:tc>
          <w:tcPr>
            <w:tcW w:type="dxa" w:w="3168"/>
            <w:vAlign w:val="center"/>
          </w:tcPr>
          <w:p>
            <w:pPr>
              <w:jc w:val="left"/>
            </w:pPr>
            <w:r/>
            <w:r>
              <w:rPr>
                <w:rFonts w:ascii="Arial" w:hAnsi="Arial"/>
                <w:b w:val="0"/>
                <w:sz w:val="18"/>
              </w:rPr>
              <w:t>Gilgit-Baltistan</w:t>
            </w:r>
          </w:p>
        </w:tc>
        <w:tc>
          <w:tcPr>
            <w:tcW w:type="dxa" w:w="1080"/>
            <w:vAlign w:val="center"/>
          </w:tcPr>
          <w:p>
            <w:pPr>
              <w:jc w:val="left"/>
            </w:pPr>
            <w:r/>
            <w:r>
              <w:rPr>
                <w:rFonts w:ascii="Arial" w:hAnsi="Arial"/>
                <w:b w:val="0"/>
                <w:sz w:val="18"/>
              </w:rPr>
              <w:t>0.979</w:t>
            </w:r>
          </w:p>
        </w:tc>
        <w:tc>
          <w:tcPr>
            <w:tcW w:type="dxa" w:w="1152"/>
            <w:vAlign w:val="center"/>
          </w:tcPr>
          <w:p>
            <w:pPr>
              <w:jc w:val="left"/>
            </w:pPr>
            <w:r/>
            <w:r>
              <w:rPr>
                <w:rFonts w:ascii="Arial" w:hAnsi="Arial"/>
                <w:b w:val="0"/>
                <w:sz w:val="18"/>
              </w:rPr>
              <w:t>0.984</w:t>
            </w:r>
          </w:p>
        </w:tc>
        <w:tc>
          <w:tcPr>
            <w:tcW w:type="dxa" w:w="864"/>
            <w:vAlign w:val="center"/>
          </w:tcPr>
          <w:p>
            <w:pPr>
              <w:jc w:val="left"/>
            </w:pPr>
            <w:r/>
            <w:r>
              <w:rPr>
                <w:rFonts w:ascii="Arial" w:hAnsi="Arial"/>
                <w:b w:val="0"/>
                <w:sz w:val="18"/>
              </w:rPr>
              <w:t>0.956</w:t>
            </w:r>
          </w:p>
        </w:tc>
        <w:tc>
          <w:tcPr>
            <w:tcW w:type="dxa" w:w="936"/>
            <w:vAlign w:val="center"/>
          </w:tcPr>
          <w:p>
            <w:pPr>
              <w:jc w:val="left"/>
            </w:pPr>
            <w:r/>
            <w:r>
              <w:rPr>
                <w:rFonts w:ascii="Arial" w:hAnsi="Arial"/>
                <w:b w:val="0"/>
                <w:sz w:val="18"/>
              </w:rPr>
              <w:t>0.042</w:t>
            </w:r>
          </w:p>
        </w:tc>
        <w:tc>
          <w:tcPr>
            <w:tcW w:type="dxa" w:w="936"/>
            <w:vAlign w:val="center"/>
          </w:tcPr>
          <w:p>
            <w:pPr>
              <w:jc w:val="left"/>
            </w:pPr>
            <w:r/>
            <w:r>
              <w:rPr>
                <w:rFonts w:ascii="Arial" w:hAnsi="Arial"/>
                <w:b w:val="0"/>
                <w:sz w:val="18"/>
              </w:rPr>
              <w:t>97.8%</w:t>
            </w:r>
          </w:p>
        </w:tc>
        <w:tc>
          <w:tcPr>
            <w:tcW w:type="dxa" w:w="1296"/>
            <w:vAlign w:val="center"/>
          </w:tcPr>
          <w:p>
            <w:pPr>
              <w:jc w:val="left"/>
            </w:pPr>
            <w:r/>
            <w:r>
              <w:rPr>
                <w:rFonts w:ascii="Arial" w:hAnsi="Arial"/>
                <w:b w:val="0"/>
                <w:sz w:val="18"/>
              </w:rPr>
              <w:t>21.5%</w:t>
            </w:r>
          </w:p>
        </w:tc>
      </w:tr>
      <w:tr>
        <w:tc>
          <w:tcPr>
            <w:tcW w:type="dxa" w:w="3168"/>
            <w:vAlign w:val="center"/>
          </w:tcPr>
          <w:p>
            <w:pPr>
              <w:jc w:val="left"/>
            </w:pPr>
            <w:r/>
            <w:r>
              <w:rPr>
                <w:rFonts w:ascii="Arial" w:hAnsi="Arial"/>
                <w:b w:val="0"/>
                <w:sz w:val="18"/>
              </w:rPr>
              <w:t>KP-AJK</w:t>
            </w:r>
          </w:p>
        </w:tc>
        <w:tc>
          <w:tcPr>
            <w:tcW w:type="dxa" w:w="1080"/>
            <w:vAlign w:val="center"/>
          </w:tcPr>
          <w:p>
            <w:pPr>
              <w:jc w:val="left"/>
            </w:pPr>
            <w:r/>
            <w:r>
              <w:rPr>
                <w:rFonts w:ascii="Arial" w:hAnsi="Arial"/>
                <w:b w:val="0"/>
                <w:sz w:val="18"/>
              </w:rPr>
              <w:t>0.976</w:t>
            </w:r>
          </w:p>
        </w:tc>
        <w:tc>
          <w:tcPr>
            <w:tcW w:type="dxa" w:w="1152"/>
            <w:vAlign w:val="center"/>
          </w:tcPr>
          <w:p>
            <w:pPr>
              <w:jc w:val="left"/>
            </w:pPr>
            <w:r/>
            <w:r>
              <w:rPr>
                <w:rFonts w:ascii="Arial" w:hAnsi="Arial"/>
                <w:b w:val="0"/>
                <w:sz w:val="18"/>
              </w:rPr>
              <w:t>0.973</w:t>
            </w:r>
          </w:p>
        </w:tc>
        <w:tc>
          <w:tcPr>
            <w:tcW w:type="dxa" w:w="864"/>
            <w:vAlign w:val="center"/>
          </w:tcPr>
          <w:p>
            <w:pPr>
              <w:jc w:val="left"/>
            </w:pPr>
            <w:r/>
            <w:r>
              <w:rPr>
                <w:rFonts w:ascii="Arial" w:hAnsi="Arial"/>
                <w:b w:val="0"/>
                <w:sz w:val="18"/>
              </w:rPr>
              <w:t>0.929</w:t>
            </w:r>
          </w:p>
        </w:tc>
        <w:tc>
          <w:tcPr>
            <w:tcW w:type="dxa" w:w="936"/>
            <w:vAlign w:val="center"/>
          </w:tcPr>
          <w:p>
            <w:pPr>
              <w:jc w:val="left"/>
            </w:pPr>
            <w:r/>
            <w:r>
              <w:rPr>
                <w:rFonts w:ascii="Arial" w:hAnsi="Arial"/>
                <w:b w:val="0"/>
                <w:sz w:val="18"/>
              </w:rPr>
              <w:t>0.057</w:t>
            </w:r>
          </w:p>
        </w:tc>
        <w:tc>
          <w:tcPr>
            <w:tcW w:type="dxa" w:w="936"/>
            <w:vAlign w:val="center"/>
          </w:tcPr>
          <w:p>
            <w:pPr>
              <w:jc w:val="left"/>
            </w:pPr>
            <w:r/>
            <w:r>
              <w:rPr>
                <w:rFonts w:ascii="Arial" w:hAnsi="Arial"/>
                <w:b w:val="0"/>
                <w:sz w:val="18"/>
              </w:rPr>
              <w:t>90.7%</w:t>
            </w:r>
          </w:p>
        </w:tc>
        <w:tc>
          <w:tcPr>
            <w:tcW w:type="dxa" w:w="1296"/>
            <w:vAlign w:val="center"/>
          </w:tcPr>
          <w:p>
            <w:pPr>
              <w:jc w:val="left"/>
            </w:pPr>
            <w:r/>
            <w:r>
              <w:rPr>
                <w:rFonts w:ascii="Arial" w:hAnsi="Arial"/>
                <w:b w:val="0"/>
                <w:sz w:val="18"/>
              </w:rPr>
              <w:t>30.8%</w:t>
            </w:r>
          </w:p>
        </w:tc>
      </w:tr>
      <w:tr>
        <w:tc>
          <w:tcPr>
            <w:tcW w:type="dxa" w:w="3168"/>
            <w:vAlign w:val="center"/>
          </w:tcPr>
          <w:p>
            <w:pPr>
              <w:jc w:val="left"/>
            </w:pPr>
            <w:r/>
            <w:r>
              <w:rPr>
                <w:rFonts w:ascii="Arial" w:hAnsi="Arial"/>
                <w:b w:val="0"/>
                <w:sz w:val="18"/>
              </w:rPr>
              <w:t>Kashgar (Xinjiang, China)</w:t>
            </w:r>
          </w:p>
        </w:tc>
        <w:tc>
          <w:tcPr>
            <w:tcW w:type="dxa" w:w="1080"/>
            <w:vAlign w:val="center"/>
          </w:tcPr>
          <w:p>
            <w:pPr>
              <w:jc w:val="left"/>
            </w:pPr>
            <w:r/>
            <w:r>
              <w:rPr>
                <w:rFonts w:ascii="Arial" w:hAnsi="Arial"/>
                <w:b w:val="0"/>
                <w:sz w:val="18"/>
              </w:rPr>
              <w:t>0.965</w:t>
            </w:r>
          </w:p>
        </w:tc>
        <w:tc>
          <w:tcPr>
            <w:tcW w:type="dxa" w:w="1152"/>
            <w:vAlign w:val="center"/>
          </w:tcPr>
          <w:p>
            <w:pPr>
              <w:jc w:val="left"/>
            </w:pPr>
            <w:r/>
            <w:r>
              <w:rPr>
                <w:rFonts w:ascii="Arial" w:hAnsi="Arial"/>
                <w:b w:val="0"/>
                <w:sz w:val="18"/>
              </w:rPr>
              <w:t>0.957</w:t>
            </w:r>
          </w:p>
        </w:tc>
        <w:tc>
          <w:tcPr>
            <w:tcW w:type="dxa" w:w="864"/>
            <w:vAlign w:val="center"/>
          </w:tcPr>
          <w:p>
            <w:pPr>
              <w:jc w:val="left"/>
            </w:pPr>
            <w:r/>
            <w:r>
              <w:rPr>
                <w:rFonts w:ascii="Arial" w:hAnsi="Arial"/>
                <w:b w:val="0"/>
                <w:sz w:val="18"/>
              </w:rPr>
              <w:t>0.880</w:t>
            </w:r>
          </w:p>
        </w:tc>
        <w:tc>
          <w:tcPr>
            <w:tcW w:type="dxa" w:w="936"/>
            <w:vAlign w:val="center"/>
          </w:tcPr>
          <w:p>
            <w:pPr>
              <w:jc w:val="left"/>
            </w:pPr>
            <w:r/>
            <w:r>
              <w:rPr>
                <w:rFonts w:ascii="Arial" w:hAnsi="Arial"/>
                <w:b w:val="0"/>
                <w:sz w:val="18"/>
              </w:rPr>
              <w:t>0.065</w:t>
            </w:r>
          </w:p>
        </w:tc>
        <w:tc>
          <w:tcPr>
            <w:tcW w:type="dxa" w:w="936"/>
            <w:vAlign w:val="center"/>
          </w:tcPr>
          <w:p>
            <w:pPr>
              <w:jc w:val="left"/>
            </w:pPr>
            <w:r/>
            <w:r>
              <w:rPr>
                <w:rFonts w:ascii="Arial" w:hAnsi="Arial"/>
                <w:b w:val="0"/>
                <w:sz w:val="18"/>
              </w:rPr>
              <w:t>98.9%</w:t>
            </w:r>
          </w:p>
        </w:tc>
        <w:tc>
          <w:tcPr>
            <w:tcW w:type="dxa" w:w="1296"/>
            <w:vAlign w:val="center"/>
          </w:tcPr>
          <w:p>
            <w:pPr>
              <w:jc w:val="left"/>
            </w:pPr>
            <w:r/>
            <w:r>
              <w:rPr>
                <w:rFonts w:ascii="Arial" w:hAnsi="Arial"/>
                <w:b w:val="0"/>
                <w:sz w:val="18"/>
              </w:rPr>
              <w:t>10.5%</w:t>
            </w:r>
          </w:p>
        </w:tc>
      </w:tr>
      <w:tr>
        <w:tc>
          <w:tcPr>
            <w:tcW w:type="dxa" w:w="3168"/>
            <w:vAlign w:val="center"/>
          </w:tcPr>
          <w:p>
            <w:pPr>
              <w:jc w:val="left"/>
            </w:pPr>
            <w:r/>
            <w:r>
              <w:rPr>
                <w:rFonts w:ascii="Arial" w:hAnsi="Arial"/>
                <w:b w:val="0"/>
                <w:sz w:val="18"/>
              </w:rPr>
              <w:t>Punjab-Sindh lowland corridor</w:t>
            </w:r>
          </w:p>
        </w:tc>
        <w:tc>
          <w:tcPr>
            <w:tcW w:type="dxa" w:w="1080"/>
            <w:vAlign w:val="center"/>
          </w:tcPr>
          <w:p>
            <w:pPr>
              <w:jc w:val="left"/>
            </w:pPr>
            <w:r/>
            <w:r>
              <w:rPr>
                <w:rFonts w:ascii="Arial" w:hAnsi="Arial"/>
                <w:b w:val="0"/>
                <w:sz w:val="18"/>
              </w:rPr>
              <w:t>0.990</w:t>
            </w:r>
          </w:p>
        </w:tc>
        <w:tc>
          <w:tcPr>
            <w:tcW w:type="dxa" w:w="1152"/>
            <w:vAlign w:val="center"/>
          </w:tcPr>
          <w:p>
            <w:pPr>
              <w:jc w:val="left"/>
            </w:pPr>
            <w:r/>
            <w:r>
              <w:rPr>
                <w:rFonts w:ascii="Arial" w:hAnsi="Arial"/>
                <w:b w:val="0"/>
                <w:sz w:val="18"/>
              </w:rPr>
              <w:t>0.954</w:t>
            </w:r>
          </w:p>
        </w:tc>
        <w:tc>
          <w:tcPr>
            <w:tcW w:type="dxa" w:w="864"/>
            <w:vAlign w:val="center"/>
          </w:tcPr>
          <w:p>
            <w:pPr>
              <w:jc w:val="left"/>
            </w:pPr>
            <w:r/>
            <w:r>
              <w:rPr>
                <w:rFonts w:ascii="Arial" w:hAnsi="Arial"/>
                <w:b w:val="0"/>
                <w:sz w:val="18"/>
              </w:rPr>
              <w:t>0.878</w:t>
            </w:r>
          </w:p>
        </w:tc>
        <w:tc>
          <w:tcPr>
            <w:tcW w:type="dxa" w:w="936"/>
            <w:vAlign w:val="center"/>
          </w:tcPr>
          <w:p>
            <w:pPr>
              <w:jc w:val="left"/>
            </w:pPr>
            <w:r/>
            <w:r>
              <w:rPr>
                <w:rFonts w:ascii="Arial" w:hAnsi="Arial"/>
                <w:b w:val="0"/>
                <w:sz w:val="18"/>
              </w:rPr>
              <w:t>0.033</w:t>
            </w:r>
          </w:p>
        </w:tc>
        <w:tc>
          <w:tcPr>
            <w:tcW w:type="dxa" w:w="936"/>
            <w:vAlign w:val="center"/>
          </w:tcPr>
          <w:p>
            <w:pPr>
              <w:jc w:val="left"/>
            </w:pPr>
            <w:r/>
            <w:r>
              <w:rPr>
                <w:rFonts w:ascii="Arial" w:hAnsi="Arial"/>
                <w:b w:val="0"/>
                <w:sz w:val="18"/>
              </w:rPr>
              <w:t>98.2%</w:t>
            </w:r>
          </w:p>
        </w:tc>
        <w:tc>
          <w:tcPr>
            <w:tcW w:type="dxa" w:w="1296"/>
            <w:vAlign w:val="center"/>
          </w:tcPr>
          <w:p>
            <w:pPr>
              <w:jc w:val="left"/>
            </w:pPr>
            <w:r/>
            <w:r>
              <w:rPr>
                <w:rFonts w:ascii="Arial" w:hAnsi="Arial"/>
                <w:b w:val="0"/>
                <w:sz w:val="18"/>
              </w:rPr>
              <w:t>5.2%</w:t>
            </w:r>
          </w:p>
        </w:tc>
      </w:tr>
    </w:tbl>
    <w:p/>
    <w:p>
      <w:r>
        <w:t>The fused model transferred strongly to all domains. Balochistan has the lowest AUC, which indicates that it is the most difficult transfer domain and likely has more distinct geomorphic or environmental controls. Punjab-Sindh has the highest AUC, but this should be interpreted with its simpler lowland contrast and smaller landslide-prone footprint in mind.</w:t>
      </w:r>
    </w:p>
    <w:p>
      <w:pPr>
        <w:jc w:val="center"/>
      </w:pPr>
      <w:r>
        <w:drawing>
          <wp:inline xmlns:a="http://schemas.openxmlformats.org/drawingml/2006/main" xmlns:pic="http://schemas.openxmlformats.org/drawingml/2006/picture">
            <wp:extent cx="6217920" cy="3169920"/>
            <wp:docPr id="1" name="Picture 1"/>
            <wp:cNvGraphicFramePr>
              <a:graphicFrameLocks noChangeAspect="1"/>
            </wp:cNvGraphicFramePr>
            <a:graphic>
              <a:graphicData uri="http://schemas.openxmlformats.org/drawingml/2006/picture">
                <pic:pic>
                  <pic:nvPicPr>
                    <pic:cNvPr id="0" name="figure_domain_transferability_reliability_comparison_heatmap.png"/>
                    <pic:cNvPicPr/>
                  </pic:nvPicPr>
                  <pic:blipFill>
                    <a:blip r:embed="rId11"/>
                    <a:stretch>
                      <a:fillRect/>
                    </a:stretch>
                  </pic:blipFill>
                  <pic:spPr>
                    <a:xfrm>
                      <a:off x="0" y="0"/>
                      <a:ext cx="6217920" cy="3169920"/>
                    </a:xfrm>
                    <a:prstGeom prst="rect"/>
                  </pic:spPr>
                </pic:pic>
              </a:graphicData>
            </a:graphic>
          </wp:inline>
        </w:drawing>
      </w:r>
    </w:p>
    <w:p>
      <w:pPr>
        <w:spacing w:before="40" w:after="160"/>
        <w:jc w:val="center"/>
      </w:pPr>
      <w:r>
        <w:rPr>
          <w:i/>
          <w:color w:val="5F5F5F"/>
          <w:sz w:val="18"/>
        </w:rPr>
        <w:t>Figure 1. Domain transferability, Area of Applicability, and uncertainty comparison.</w:t>
      </w:r>
    </w:p>
    <w:p>
      <w:r>
        <w:br w:type="page"/>
      </w:r>
    </w:p>
    <w:p>
      <w:pPr>
        <w:pStyle w:val="Heading1"/>
      </w:pPr>
      <w:r>
        <w:t>5. Area of Applicability and Reliability</w:t>
      </w:r>
    </w:p>
    <w:p>
      <w:r>
        <w:t>ROC-AUC and PR-AUC evaluate ranking skill at sample points. Area of Applicability evaluates whether each mapped pixel is similar enough to the training data for the prediction to be trusted. This is why AOA is essential for a large corridor such as CPEC: a model can predict everywhere, but some locations are extrapolations.</w:t>
      </w:r>
    </w:p>
    <w:p>
      <w:pPr>
        <w:pStyle w:val="ListBullet"/>
        <w:spacing w:after="100"/>
      </w:pPr>
      <w:r>
        <w:t>High probability inside AOA: stronger candidate for susceptibility interpretation and planning.</w:t>
      </w:r>
    </w:p>
    <w:p>
      <w:pPr>
        <w:pStyle w:val="ListBullet"/>
        <w:spacing w:after="100"/>
      </w:pPr>
      <w:r>
        <w:t>High probability outside AOA: possible hotspot, but should be treated as uncertain and prioritized for field verification.</w:t>
      </w:r>
    </w:p>
    <w:p>
      <w:pPr>
        <w:pStyle w:val="ListBullet"/>
        <w:spacing w:after="100"/>
      </w:pPr>
      <w:r>
        <w:t>Reliability-weighted probability is probability multiplied by transfer confidence; it is a secondary confidence-adjusted product, not the raw susceptibility probability map.</w:t>
      </w:r>
    </w:p>
    <w:p>
      <w:pPr>
        <w:pStyle w:val="ListBullet"/>
        <w:spacing w:after="100"/>
      </w:pPr>
      <w:r>
        <w:t>Conventional reliability-weighted maps can look near zero where transfer confidence is low; this is expected and documented separately.</w:t>
      </w:r>
    </w:p>
    <w:p>
      <w:pPr>
        <w:pStyle w:val="Heading1"/>
      </w:pPr>
      <w:r>
        <w:t>6. Domain Mechanisms From TreeSHAP</w:t>
      </w:r>
    </w:p>
    <w:p>
      <w:r>
        <w:t>The domain-wise TreeSHAP analysis explains the XGBoost base learner within each feature set. It is used to identify dominant conditioning mechanisms while the Spatial-CV Stacked Ensemble remains the main predictive model.</w:t>
      </w:r>
    </w:p>
    <w:tbl>
      <w:tblPr>
        <w:tblStyle w:val="TableGrid"/>
        <w:tblW w:type="auto" w:w="0"/>
        <w:jc w:val="left"/>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96"/>
        <w:gridCol w:w="4896"/>
      </w:tblGrid>
      <w:tr>
        <w:trPr>
          <w:tblHeader w:val="true"/>
        </w:trPr>
        <w:tc>
          <w:tcPr>
            <w:tcW w:type="dxa" w:w="3312"/>
            <w:shd w:fill="D9EAF7"/>
            <w:vAlign w:val="center"/>
          </w:tcPr>
          <w:p>
            <w:pPr>
              <w:jc w:val="left"/>
            </w:pPr>
            <w:r/>
            <w:r>
              <w:rPr>
                <w:rFonts w:ascii="Arial" w:hAnsi="Arial"/>
                <w:b/>
                <w:color w:val="1F4E79"/>
                <w:sz w:val="18"/>
              </w:rPr>
              <w:t>Domain</w:t>
            </w:r>
          </w:p>
        </w:tc>
        <w:tc>
          <w:tcPr>
            <w:tcW w:type="dxa" w:w="7200"/>
            <w:shd w:fill="D9EAF7"/>
            <w:vAlign w:val="center"/>
          </w:tcPr>
          <w:p>
            <w:pPr>
              <w:jc w:val="left"/>
            </w:pPr>
            <w:r/>
            <w:r>
              <w:rPr>
                <w:rFonts w:ascii="Arial" w:hAnsi="Arial"/>
                <w:b/>
                <w:color w:val="1F4E79"/>
                <w:sz w:val="18"/>
              </w:rPr>
              <w:t>Dominant fused-model mechanism groups</w:t>
            </w:r>
          </w:p>
        </w:tc>
      </w:tr>
      <w:tr>
        <w:tc>
          <w:tcPr>
            <w:tcW w:type="dxa" w:w="3312"/>
            <w:vAlign w:val="center"/>
          </w:tcPr>
          <w:p>
            <w:pPr>
              <w:jc w:val="left"/>
            </w:pPr>
            <w:r/>
            <w:r>
              <w:rPr>
                <w:rFonts w:ascii="Arial" w:hAnsi="Arial"/>
                <w:b w:val="0"/>
                <w:sz w:val="18"/>
              </w:rPr>
              <w:t>Balochistan</w:t>
            </w:r>
          </w:p>
        </w:tc>
        <w:tc>
          <w:tcPr>
            <w:tcW w:type="dxa" w:w="7200"/>
            <w:vAlign w:val="center"/>
          </w:tcPr>
          <w:p>
            <w:pPr>
              <w:jc w:val="left"/>
            </w:pPr>
            <w:r/>
            <w:r>
              <w:rPr>
                <w:rFonts w:ascii="Arial" w:hAnsi="Arial"/>
                <w:b w:val="0"/>
                <w:sz w:val="18"/>
              </w:rPr>
              <w:t>AlphaEarth embeddings (57.8%); Topography/morphometry (18.4%)</w:t>
            </w:r>
          </w:p>
        </w:tc>
      </w:tr>
      <w:tr>
        <w:tc>
          <w:tcPr>
            <w:tcW w:type="dxa" w:w="3312"/>
            <w:vAlign w:val="center"/>
          </w:tcPr>
          <w:p>
            <w:pPr>
              <w:jc w:val="left"/>
            </w:pPr>
            <w:r/>
            <w:r>
              <w:rPr>
                <w:rFonts w:ascii="Arial" w:hAnsi="Arial"/>
                <w:b w:val="0"/>
                <w:sz w:val="18"/>
              </w:rPr>
              <w:t>Gilgit-Baltistan</w:t>
            </w:r>
          </w:p>
        </w:tc>
        <w:tc>
          <w:tcPr>
            <w:tcW w:type="dxa" w:w="7200"/>
            <w:vAlign w:val="center"/>
          </w:tcPr>
          <w:p>
            <w:pPr>
              <w:jc w:val="left"/>
            </w:pPr>
            <w:r/>
            <w:r>
              <w:rPr>
                <w:rFonts w:ascii="Arial" w:hAnsi="Arial"/>
                <w:b w:val="0"/>
                <w:sz w:val="18"/>
              </w:rPr>
              <w:t>AlphaEarth embeddings (55.5%); Proximity controls (19.6%)</w:t>
            </w:r>
          </w:p>
        </w:tc>
      </w:tr>
      <w:tr>
        <w:tc>
          <w:tcPr>
            <w:tcW w:type="dxa" w:w="3312"/>
            <w:vAlign w:val="center"/>
          </w:tcPr>
          <w:p>
            <w:pPr>
              <w:jc w:val="left"/>
            </w:pPr>
            <w:r/>
            <w:r>
              <w:rPr>
                <w:rFonts w:ascii="Arial" w:hAnsi="Arial"/>
                <w:b w:val="0"/>
                <w:sz w:val="18"/>
              </w:rPr>
              <w:t>KP-AJK</w:t>
            </w:r>
          </w:p>
        </w:tc>
        <w:tc>
          <w:tcPr>
            <w:tcW w:type="dxa" w:w="7200"/>
            <w:vAlign w:val="center"/>
          </w:tcPr>
          <w:p>
            <w:pPr>
              <w:jc w:val="left"/>
            </w:pPr>
            <w:r/>
            <w:r>
              <w:rPr>
                <w:rFonts w:ascii="Arial" w:hAnsi="Arial"/>
                <w:b w:val="0"/>
                <w:sz w:val="18"/>
              </w:rPr>
              <w:t>AlphaEarth embeddings (57.3%); Proximity controls (16.9%)</w:t>
            </w:r>
          </w:p>
        </w:tc>
      </w:tr>
      <w:tr>
        <w:tc>
          <w:tcPr>
            <w:tcW w:type="dxa" w:w="3312"/>
            <w:vAlign w:val="center"/>
          </w:tcPr>
          <w:p>
            <w:pPr>
              <w:jc w:val="left"/>
            </w:pPr>
            <w:r/>
            <w:r>
              <w:rPr>
                <w:rFonts w:ascii="Arial" w:hAnsi="Arial"/>
                <w:b w:val="0"/>
                <w:sz w:val="18"/>
              </w:rPr>
              <w:t>Kashgar (Xinjiang, China)</w:t>
            </w:r>
          </w:p>
        </w:tc>
        <w:tc>
          <w:tcPr>
            <w:tcW w:type="dxa" w:w="7200"/>
            <w:vAlign w:val="center"/>
          </w:tcPr>
          <w:p>
            <w:pPr>
              <w:jc w:val="left"/>
            </w:pPr>
            <w:r/>
            <w:r>
              <w:rPr>
                <w:rFonts w:ascii="Arial" w:hAnsi="Arial"/>
                <w:b w:val="0"/>
                <w:sz w:val="18"/>
              </w:rPr>
              <w:t>AlphaEarth embeddings (53.8%); Proximity controls (20.7%)</w:t>
            </w:r>
          </w:p>
        </w:tc>
      </w:tr>
      <w:tr>
        <w:tc>
          <w:tcPr>
            <w:tcW w:type="dxa" w:w="3312"/>
            <w:vAlign w:val="center"/>
          </w:tcPr>
          <w:p>
            <w:pPr>
              <w:jc w:val="left"/>
            </w:pPr>
            <w:r/>
            <w:r>
              <w:rPr>
                <w:rFonts w:ascii="Arial" w:hAnsi="Arial"/>
                <w:b w:val="0"/>
                <w:sz w:val="18"/>
              </w:rPr>
              <w:t>Punjab-Sindh lowland corridor</w:t>
            </w:r>
          </w:p>
        </w:tc>
        <w:tc>
          <w:tcPr>
            <w:tcW w:type="dxa" w:w="7200"/>
            <w:vAlign w:val="center"/>
          </w:tcPr>
          <w:p>
            <w:pPr>
              <w:jc w:val="left"/>
            </w:pPr>
            <w:r/>
            <w:r>
              <w:rPr>
                <w:rFonts w:ascii="Arial" w:hAnsi="Arial"/>
                <w:b w:val="0"/>
                <w:sz w:val="18"/>
              </w:rPr>
              <w:t>AlphaEarth embeddings (60.6%); Topography/morphometry (21.7%)</w:t>
            </w:r>
          </w:p>
        </w:tc>
      </w:tr>
    </w:tbl>
    <w:p/>
    <w:p>
      <w:pPr>
        <w:jc w:val="center"/>
      </w:pPr>
      <w:r>
        <w:drawing>
          <wp:inline xmlns:a="http://schemas.openxmlformats.org/drawingml/2006/main" xmlns:pic="http://schemas.openxmlformats.org/drawingml/2006/picture">
            <wp:extent cx="6217920" cy="2487168"/>
            <wp:docPr id="2" name="Picture 2"/>
            <wp:cNvGraphicFramePr>
              <a:graphicFrameLocks noChangeAspect="1"/>
            </wp:cNvGraphicFramePr>
            <a:graphic>
              <a:graphicData uri="http://schemas.openxmlformats.org/drawingml/2006/picture">
                <pic:pic>
                  <pic:nvPicPr>
                    <pic:cNvPr id="0" name="figure_domain_top_factor_shap_heatmap_fused.png"/>
                    <pic:cNvPicPr/>
                  </pic:nvPicPr>
                  <pic:blipFill>
                    <a:blip r:embed="rId12"/>
                    <a:stretch>
                      <a:fillRect/>
                    </a:stretch>
                  </pic:blipFill>
                  <pic:spPr>
                    <a:xfrm>
                      <a:off x="0" y="0"/>
                      <a:ext cx="6217920" cy="2487168"/>
                    </a:xfrm>
                    <a:prstGeom prst="rect"/>
                  </pic:spPr>
                </pic:pic>
              </a:graphicData>
            </a:graphic>
          </wp:inline>
        </w:drawing>
      </w:r>
    </w:p>
    <w:p>
      <w:pPr>
        <w:spacing w:before="40" w:after="160"/>
        <w:jc w:val="center"/>
      </w:pPr>
      <w:r>
        <w:rPr>
          <w:i/>
          <w:color w:val="5F5F5F"/>
          <w:sz w:val="18"/>
        </w:rPr>
        <w:t>Figure 2. Domain-specific top TreeSHAP factors for the fused model.</w:t>
      </w:r>
    </w:p>
    <w:p>
      <w:pPr>
        <w:jc w:val="center"/>
      </w:pPr>
      <w:r>
        <w:drawing>
          <wp:inline xmlns:a="http://schemas.openxmlformats.org/drawingml/2006/main" xmlns:pic="http://schemas.openxmlformats.org/drawingml/2006/picture">
            <wp:extent cx="6217920" cy="2842478"/>
            <wp:docPr id="3" name="Picture 3"/>
            <wp:cNvGraphicFramePr>
              <a:graphicFrameLocks noChangeAspect="1"/>
            </wp:cNvGraphicFramePr>
            <a:graphic>
              <a:graphicData uri="http://schemas.openxmlformats.org/drawingml/2006/picture">
                <pic:pic>
                  <pic:nvPicPr>
                    <pic:cNvPr id="0" name="figure_domain_mechanism_group_heatmap_fused.png"/>
                    <pic:cNvPicPr/>
                  </pic:nvPicPr>
                  <pic:blipFill>
                    <a:blip r:embed="rId13"/>
                    <a:stretch>
                      <a:fillRect/>
                    </a:stretch>
                  </pic:blipFill>
                  <pic:spPr>
                    <a:xfrm>
                      <a:off x="0" y="0"/>
                      <a:ext cx="6217920" cy="2842478"/>
                    </a:xfrm>
                    <a:prstGeom prst="rect"/>
                  </pic:spPr>
                </pic:pic>
              </a:graphicData>
            </a:graphic>
          </wp:inline>
        </w:drawing>
      </w:r>
    </w:p>
    <w:p>
      <w:pPr>
        <w:spacing w:before="40" w:after="160"/>
        <w:jc w:val="center"/>
      </w:pPr>
      <w:r>
        <w:rPr>
          <w:i/>
          <w:color w:val="5F5F5F"/>
          <w:sz w:val="18"/>
        </w:rPr>
        <w:t>Figure 3. Domain mechanism groups from fused-model TreeSHAP importance.</w:t>
      </w:r>
    </w:p>
    <w:p>
      <w:pPr>
        <w:pStyle w:val="Heading1"/>
      </w:pPr>
      <w:r>
        <w:t>7. Scientific Meaning of the Current Results</w:t>
      </w:r>
    </w:p>
    <w:p>
      <w:pPr>
        <w:pStyle w:val="ListNumber"/>
        <w:spacing w:after="100"/>
      </w:pPr>
      <w:r>
        <w:t>The framework shows that AlphaEarth embeddings add useful surface-condition information to conventional landslide factors.</w:t>
      </w:r>
    </w:p>
    <w:p>
      <w:pPr>
        <w:pStyle w:val="ListNumber"/>
        <w:spacing w:after="100"/>
      </w:pPr>
      <w:r>
        <w:t>The fused model is not only accurate; it is spatially tested through leave-one-domain-out validation.</w:t>
      </w:r>
    </w:p>
    <w:p>
      <w:pPr>
        <w:pStyle w:val="ListNumber"/>
        <w:spacing w:after="100"/>
      </w:pPr>
      <w:r>
        <w:t>AOA and transfer-confidence maps show where predictions are reliable versus extrapolated.</w:t>
      </w:r>
    </w:p>
    <w:p>
      <w:pPr>
        <w:pStyle w:val="ListNumber"/>
        <w:spacing w:after="100"/>
      </w:pPr>
      <w:r>
        <w:t>Domain-wise SHAP shows that the same CPEC-wide model can have different controlling mechanisms in different regions.</w:t>
      </w:r>
    </w:p>
    <w:p>
      <w:pPr>
        <w:pStyle w:val="ListNumber"/>
        <w:spacing w:after="100"/>
      </w:pPr>
      <w:r>
        <w:t>Road exposure outputs turn susceptibility modelling into an infrastructure-relevant CPEC/KKH product.</w:t>
      </w:r>
    </w:p>
    <w:p>
      <w:pPr>
        <w:pStyle w:val="Heading1"/>
      </w:pPr>
      <w:r>
        <w:t>8. Main Innovation</w:t>
      </w:r>
    </w:p>
    <w:p>
      <w:r>
        <w:rPr>
          <w:b/>
        </w:rPr>
        <w:t xml:space="preserve">Proposed contribution: </w:t>
      </w:r>
      <w:r>
        <w:t>a transferability-aware, explainable, AlphaEarth-enhanced landslide susceptibility framework for the CPEC/KKH corridor.</w:t>
      </w:r>
    </w:p>
    <w:p>
      <w:r>
        <w:t>This is stronger than a standard model-comparison paper because the workflow evaluates accuracy, spatial generalization, model applicability, factor mechanisms, reliability, and infrastructure exposure together.</w:t>
      </w:r>
    </w:p>
    <w:p>
      <w:r>
        <w:br w:type="page"/>
      </w:r>
    </w:p>
    <w:p>
      <w:pPr>
        <w:pStyle w:val="Heading1"/>
      </w:pPr>
      <w:r>
        <w:t>9. Remaining Work</w:t>
      </w:r>
    </w:p>
    <w:tbl>
      <w:tblPr>
        <w:tblStyle w:val="TableGrid"/>
        <w:tblW w:type="auto" w:w="0"/>
        <w:jc w:val="left"/>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264"/>
        <w:gridCol w:w="3264"/>
        <w:gridCol w:w="3264"/>
      </w:tblGrid>
      <w:tr>
        <w:trPr>
          <w:tblHeader w:val="true"/>
        </w:trPr>
        <w:tc>
          <w:tcPr>
            <w:tcW w:type="dxa" w:w="2880"/>
            <w:shd w:fill="D9EAF7"/>
            <w:vAlign w:val="center"/>
          </w:tcPr>
          <w:p>
            <w:pPr>
              <w:jc w:val="left"/>
            </w:pPr>
            <w:r/>
            <w:r>
              <w:rPr>
                <w:rFonts w:ascii="Arial" w:hAnsi="Arial"/>
                <w:b/>
                <w:color w:val="1F4E79"/>
                <w:sz w:val="18"/>
              </w:rPr>
              <w:t>Task</w:t>
            </w:r>
          </w:p>
        </w:tc>
        <w:tc>
          <w:tcPr>
            <w:tcW w:type="dxa" w:w="2016"/>
            <w:shd w:fill="D9EAF7"/>
            <w:vAlign w:val="center"/>
          </w:tcPr>
          <w:p>
            <w:pPr>
              <w:jc w:val="left"/>
            </w:pPr>
            <w:r/>
            <w:r>
              <w:rPr>
                <w:rFonts w:ascii="Arial" w:hAnsi="Arial"/>
                <w:b/>
                <w:color w:val="1F4E79"/>
                <w:sz w:val="18"/>
              </w:rPr>
              <w:t>Status</w:t>
            </w:r>
          </w:p>
        </w:tc>
        <w:tc>
          <w:tcPr>
            <w:tcW w:type="dxa" w:w="5616"/>
            <w:shd w:fill="D9EAF7"/>
            <w:vAlign w:val="center"/>
          </w:tcPr>
          <w:p>
            <w:pPr>
              <w:jc w:val="left"/>
            </w:pPr>
            <w:r/>
            <w:r>
              <w:rPr>
                <w:rFonts w:ascii="Arial" w:hAnsi="Arial"/>
                <w:b/>
                <w:color w:val="1F4E79"/>
                <w:sz w:val="18"/>
              </w:rPr>
              <w:t>Recommended action</w:t>
            </w:r>
          </w:p>
        </w:tc>
      </w:tr>
      <w:tr>
        <w:tc>
          <w:tcPr>
            <w:tcW w:type="dxa" w:w="2880"/>
            <w:vAlign w:val="center"/>
          </w:tcPr>
          <w:p>
            <w:pPr>
              <w:jc w:val="left"/>
            </w:pPr>
            <w:r/>
            <w:r>
              <w:rPr>
                <w:rFonts w:ascii="Arial" w:hAnsi="Arial"/>
                <w:b w:val="0"/>
                <w:sz w:val="18"/>
              </w:rPr>
              <w:t>2018 core results</w:t>
            </w:r>
          </w:p>
        </w:tc>
        <w:tc>
          <w:tcPr>
            <w:tcW w:type="dxa" w:w="2016"/>
            <w:vAlign w:val="center"/>
          </w:tcPr>
          <w:p>
            <w:pPr>
              <w:jc w:val="left"/>
            </w:pPr>
            <w:r/>
            <w:r>
              <w:rPr>
                <w:rFonts w:ascii="Arial" w:hAnsi="Arial"/>
                <w:b w:val="0"/>
                <w:sz w:val="18"/>
              </w:rPr>
              <w:t>Mostly complete</w:t>
            </w:r>
          </w:p>
        </w:tc>
        <w:tc>
          <w:tcPr>
            <w:tcW w:type="dxa" w:w="5616"/>
            <w:vAlign w:val="center"/>
          </w:tcPr>
          <w:p>
            <w:pPr>
              <w:jc w:val="left"/>
            </w:pPr>
            <w:r/>
            <w:r>
              <w:rPr>
                <w:rFonts w:ascii="Arial" w:hAnsi="Arial"/>
                <w:b w:val="0"/>
                <w:sz w:val="18"/>
              </w:rPr>
              <w:t>Use this as the main paper foundation.</w:t>
            </w:r>
          </w:p>
        </w:tc>
      </w:tr>
      <w:tr>
        <w:tc>
          <w:tcPr>
            <w:tcW w:type="dxa" w:w="2880"/>
            <w:vAlign w:val="center"/>
          </w:tcPr>
          <w:p>
            <w:pPr>
              <w:jc w:val="left"/>
            </w:pPr>
            <w:r/>
            <w:r>
              <w:rPr>
                <w:rFonts w:ascii="Arial" w:hAnsi="Arial"/>
                <w:b w:val="0"/>
                <w:sz w:val="18"/>
              </w:rPr>
              <w:t>Figure selection</w:t>
            </w:r>
          </w:p>
        </w:tc>
        <w:tc>
          <w:tcPr>
            <w:tcW w:type="dxa" w:w="2016"/>
            <w:vAlign w:val="center"/>
          </w:tcPr>
          <w:p>
            <w:pPr>
              <w:jc w:val="left"/>
            </w:pPr>
            <w:r/>
            <w:r>
              <w:rPr>
                <w:rFonts w:ascii="Arial" w:hAnsi="Arial"/>
                <w:b w:val="0"/>
                <w:sz w:val="18"/>
              </w:rPr>
              <w:t>Needs final polish</w:t>
            </w:r>
          </w:p>
        </w:tc>
        <w:tc>
          <w:tcPr>
            <w:tcW w:type="dxa" w:w="5616"/>
            <w:vAlign w:val="center"/>
          </w:tcPr>
          <w:p>
            <w:pPr>
              <w:jc w:val="left"/>
            </w:pPr>
            <w:r/>
            <w:r>
              <w:rPr>
                <w:rFonts w:ascii="Arial" w:hAnsi="Arial"/>
                <w:b w:val="0"/>
                <w:sz w:val="18"/>
              </w:rPr>
              <w:t>Select the few strongest figures for main text and move the rest to supplementary material.</w:t>
            </w:r>
          </w:p>
        </w:tc>
      </w:tr>
      <w:tr>
        <w:tc>
          <w:tcPr>
            <w:tcW w:type="dxa" w:w="2880"/>
            <w:vAlign w:val="center"/>
          </w:tcPr>
          <w:p>
            <w:pPr>
              <w:jc w:val="left"/>
            </w:pPr>
            <w:r/>
            <w:r>
              <w:rPr>
                <w:rFonts w:ascii="Arial" w:hAnsi="Arial"/>
                <w:b w:val="0"/>
                <w:sz w:val="18"/>
              </w:rPr>
              <w:t>Temporal extension</w:t>
            </w:r>
          </w:p>
        </w:tc>
        <w:tc>
          <w:tcPr>
            <w:tcW w:type="dxa" w:w="2016"/>
            <w:vAlign w:val="center"/>
          </w:tcPr>
          <w:p>
            <w:pPr>
              <w:jc w:val="left"/>
            </w:pPr>
            <w:r/>
            <w:r>
              <w:rPr>
                <w:rFonts w:ascii="Arial" w:hAnsi="Arial"/>
                <w:b w:val="0"/>
                <w:sz w:val="18"/>
              </w:rPr>
              <w:t>Planned and partly staged</w:t>
            </w:r>
          </w:p>
        </w:tc>
        <w:tc>
          <w:tcPr>
            <w:tcW w:type="dxa" w:w="5616"/>
            <w:vAlign w:val="center"/>
          </w:tcPr>
          <w:p>
            <w:pPr>
              <w:jc w:val="left"/>
            </w:pPr>
            <w:r/>
            <w:r>
              <w:rPr>
                <w:rFonts w:ascii="Arial" w:hAnsi="Arial"/>
                <w:b w:val="0"/>
                <w:sz w:val="18"/>
              </w:rPr>
              <w:t>Use fixed 2018 model for compact 2017-2024 temporal stress-testing, not eight separate papers.</w:t>
            </w:r>
          </w:p>
        </w:tc>
      </w:tr>
      <w:tr>
        <w:tc>
          <w:tcPr>
            <w:tcW w:type="dxa" w:w="2880"/>
            <w:vAlign w:val="center"/>
          </w:tcPr>
          <w:p>
            <w:pPr>
              <w:jc w:val="left"/>
            </w:pPr>
            <w:r/>
            <w:r>
              <w:rPr>
                <w:rFonts w:ascii="Arial" w:hAnsi="Arial"/>
                <w:b w:val="0"/>
                <w:sz w:val="18"/>
              </w:rPr>
              <w:t>2020-2024 annual inputs</w:t>
            </w:r>
          </w:p>
        </w:tc>
        <w:tc>
          <w:tcPr>
            <w:tcW w:type="dxa" w:w="2016"/>
            <w:vAlign w:val="center"/>
          </w:tcPr>
          <w:p>
            <w:pPr>
              <w:jc w:val="left"/>
            </w:pPr>
            <w:r/>
            <w:r>
              <w:rPr>
                <w:rFonts w:ascii="Arial" w:hAnsi="Arial"/>
                <w:b w:val="0"/>
                <w:sz w:val="18"/>
              </w:rPr>
              <w:t>Pending</w:t>
            </w:r>
          </w:p>
        </w:tc>
        <w:tc>
          <w:tcPr>
            <w:tcW w:type="dxa" w:w="5616"/>
            <w:vAlign w:val="center"/>
          </w:tcPr>
          <w:p>
            <w:pPr>
              <w:jc w:val="left"/>
            </w:pPr>
            <w:r/>
            <w:r>
              <w:rPr>
                <w:rFonts w:ascii="Arial" w:hAnsi="Arial"/>
                <w:b w:val="0"/>
                <w:sz w:val="18"/>
              </w:rPr>
              <w:t>Export/download yearly GEE predictor stacks one year at a time.</w:t>
            </w:r>
          </w:p>
        </w:tc>
      </w:tr>
      <w:tr>
        <w:tc>
          <w:tcPr>
            <w:tcW w:type="dxa" w:w="2880"/>
            <w:vAlign w:val="center"/>
          </w:tcPr>
          <w:p>
            <w:pPr>
              <w:jc w:val="left"/>
            </w:pPr>
            <w:r/>
            <w:r>
              <w:rPr>
                <w:rFonts w:ascii="Arial" w:hAnsi="Arial"/>
                <w:b w:val="0"/>
                <w:sz w:val="18"/>
              </w:rPr>
              <w:t>Manuscript writing</w:t>
            </w:r>
          </w:p>
        </w:tc>
        <w:tc>
          <w:tcPr>
            <w:tcW w:type="dxa" w:w="2016"/>
            <w:vAlign w:val="center"/>
          </w:tcPr>
          <w:p>
            <w:pPr>
              <w:jc w:val="left"/>
            </w:pPr>
            <w:r/>
            <w:r>
              <w:rPr>
                <w:rFonts w:ascii="Arial" w:hAnsi="Arial"/>
                <w:b w:val="0"/>
                <w:sz w:val="18"/>
              </w:rPr>
              <w:t>Not yet complete</w:t>
            </w:r>
          </w:p>
        </w:tc>
        <w:tc>
          <w:tcPr>
            <w:tcW w:type="dxa" w:w="5616"/>
            <w:vAlign w:val="center"/>
          </w:tcPr>
          <w:p>
            <w:pPr>
              <w:jc w:val="left"/>
            </w:pPr>
            <w:r/>
            <w:r>
              <w:rPr>
                <w:rFonts w:ascii="Arial" w:hAnsi="Arial"/>
                <w:b w:val="0"/>
                <w:sz w:val="18"/>
              </w:rPr>
              <w:t>Convert this summary into Methods, Results, and Discussion sections.</w:t>
            </w:r>
          </w:p>
        </w:tc>
      </w:tr>
    </w:tbl>
    <w:p/>
    <w:p>
      <w:pPr>
        <w:pStyle w:val="Heading1"/>
      </w:pPr>
      <w:r>
        <w:t>10. Files to Open First</w:t>
      </w:r>
    </w:p>
    <w:p>
      <w:pPr>
        <w:pStyle w:val="ListBullet"/>
        <w:spacing w:after="100"/>
      </w:pPr>
      <w:r>
        <w:t>README_START_HERE.md in the clean 2018 V3 results package.</w:t>
      </w:r>
    </w:p>
    <w:p>
      <w:pPr>
        <w:pStyle w:val="ListBullet"/>
        <w:spacing w:after="100"/>
      </w:pPr>
      <w:r>
        <w:t>Domain comparison summary: domainwise_mechanism_and_transferability_interpretation_report.md.</w:t>
      </w:r>
    </w:p>
    <w:p>
      <w:pPr>
        <w:pStyle w:val="ListBullet"/>
        <w:spacing w:after="100"/>
      </w:pPr>
      <w:r>
        <w:t>Temporal strategy: better_temporal_evaluation_strategy_2026-05-10.md.</w:t>
      </w:r>
    </w:p>
    <w:p>
      <w:pPr>
        <w:pStyle w:val="Heading1"/>
      </w:pPr>
      <w:r>
        <w:t>11. Short Reference Basis</w:t>
      </w:r>
    </w:p>
    <w:p>
      <w:pPr>
        <w:pStyle w:val="ListBullet"/>
        <w:spacing w:after="100"/>
      </w:pPr>
      <w:r>
        <w:t>Spatial/grouped CV reduces overoptimistic random-split accuracy.</w:t>
      </w:r>
    </w:p>
    <w:p>
      <w:pPr>
        <w:pStyle w:val="ListBullet"/>
        <w:spacing w:after="100"/>
      </w:pPr>
      <w:r>
        <w:t>AOA links prediction reliability to similarity with the training space.</w:t>
      </w:r>
    </w:p>
    <w:p>
      <w:pPr>
        <w:pStyle w:val="ListBullet"/>
        <w:spacing w:after="100"/>
      </w:pPr>
      <w:r>
        <w:t>TreeSHAP supports global and local interpretation for tree learners.</w:t>
      </w:r>
    </w:p>
    <w:p>
      <w:pPr>
        <w:pStyle w:val="ListBullet"/>
        <w:spacing w:after="100"/>
      </w:pPr>
      <w:r>
        <w:t>AlphaEarth annual embeddings justify the 2017-onward temporal extension.</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5F5F"/>
        <w:sz w:val="16"/>
      </w:rPr>
      <w:t>Prepared from D:\DING PROJECT clean 2018 V3 results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F5F5F"/>
        <w:sz w:val="16"/>
      </w:rPr>
      <w:t>CPEC/KKH landslide susceptibility - 2018 V3 supervisor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