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Times New Roman" w:hAnsi="Times New Roman"/>
          <w:b w:val="0"/>
          <w:sz w:val="21"/>
        </w:rPr>
        <w:t>Adam Fenech (corresponding author)</w:t>
      </w:r>
    </w:p>
    <w:p>
      <w:pPr>
        <w:spacing w:after="40" w:before="0" w:line="240" w:lineRule="auto"/>
      </w:pPr>
      <w:r>
        <w:rPr>
          <w:rFonts w:ascii="Times New Roman" w:hAnsi="Times New Roman"/>
          <w:b w:val="0"/>
          <w:sz w:val="21"/>
        </w:rPr>
        <w:t>Research and Excellence, Canadian University Dubai</w:t>
      </w:r>
    </w:p>
    <w:p>
      <w:pPr>
        <w:spacing w:after="40" w:before="0" w:line="240" w:lineRule="auto"/>
      </w:pPr>
      <w:r>
        <w:rPr>
          <w:rFonts w:ascii="Times New Roman" w:hAnsi="Times New Roman"/>
          <w:b w:val="0"/>
          <w:sz w:val="21"/>
        </w:rPr>
        <w:t>City Walk, Al Wasl Road, Dubai, United Arab Emirates</w:t>
      </w:r>
    </w:p>
    <w:p>
      <w:pPr>
        <w:spacing w:after="40" w:before="0" w:line="240" w:lineRule="auto"/>
      </w:pPr>
      <w:r>
        <w:rPr>
          <w:rFonts w:ascii="Times New Roman" w:hAnsi="Times New Roman"/>
          <w:b w:val="0"/>
          <w:sz w:val="21"/>
        </w:rPr>
        <w:t>adam.fenech@cud.ac.ae</w:t>
      </w:r>
    </w:p>
    <w:p>
      <w:pPr>
        <w:spacing w:after="40" w:before="0" w:line="240" w:lineRule="auto"/>
      </w:pPr>
      <w:r>
        <w:rPr>
          <w:rFonts w:ascii="Times New Roman" w:hAnsi="Times New Roman"/>
          <w:b w:val="0"/>
          <w:sz w:val="21"/>
        </w:rPr>
      </w:r>
    </w:p>
    <w:p>
      <w:pPr>
        <w:spacing w:after="40" w:before="0" w:line="240" w:lineRule="auto"/>
      </w:pPr>
      <w:r>
        <w:rPr>
          <w:rFonts w:ascii="Times New Roman" w:hAnsi="Times New Roman"/>
          <w:b w:val="0"/>
          <w:sz w:val="21"/>
        </w:rPr>
        <w:t>The Editors</w:t>
      </w:r>
    </w:p>
    <w:p>
      <w:pPr>
        <w:spacing w:after="40" w:before="0" w:line="240" w:lineRule="auto"/>
      </w:pPr>
      <w:r>
        <w:rPr>
          <w:rFonts w:ascii="Times New Roman" w:hAnsi="Times New Roman"/>
          <w:b w:val="0"/>
          <w:sz w:val="21"/>
        </w:rPr>
        <w:t>Scientific Reports</w:t>
      </w:r>
    </w:p>
    <w:p>
      <w:pPr>
        <w:spacing w:after="40" w:before="0" w:line="240" w:lineRule="auto"/>
      </w:pPr>
      <w:r>
        <w:rPr>
          <w:rFonts w:ascii="Times New Roman" w:hAnsi="Times New Roman"/>
          <w:b w:val="0"/>
          <w:sz w:val="21"/>
        </w:rPr>
        <w:t>Dear Editors,</w:t>
      </w:r>
    </w:p>
    <w:p>
      <w:pPr>
        <w:spacing w:after="40" w:before="0" w:line="240" w:lineRule="auto"/>
      </w:pPr>
      <w:r>
        <w:rPr>
          <w:rFonts w:ascii="Times New Roman" w:hAnsi="Times New Roman"/>
          <w:b w:val="0"/>
          <w:sz w:val="21"/>
        </w:rPr>
        <w:t>We submit the manuscript "Apparent emergent constraints on hyperarid extreme rainfall arise from predictand construction, sampling variability and post-processing" for consideration as an Article in Scientific Reports.</w:t>
      </w:r>
    </w:p>
    <w:p>
      <w:pPr>
        <w:spacing w:after="40" w:before="0" w:line="240" w:lineRule="auto"/>
      </w:pPr>
      <w:r>
        <w:rPr>
          <w:rFonts w:ascii="Times New Roman" w:hAnsi="Times New Roman"/>
          <w:b w:val="0"/>
          <w:sz w:val="21"/>
        </w:rPr>
        <w:t>Emergent constraints, which use an observable feature of present-day climate to narrow the spread of model projections, have become a standard route to more confident projections of precipitation extremes. They are established at global and continental scales on raw model output. Regional adaptation, however, relies on statistically downscaled ensembles at the scale of individual countries, and whether constraints behave reliably there has not been tested. Scientific Reports recently published downscaled NEX-GDDP-CMIP6 projections of intensifying rainfall extremes over the United Arab Emirates; our study asks whether any observable property of those models can legitimately narrow such projections, and why it cannot.</w:t>
      </w:r>
    </w:p>
    <w:p>
      <w:pPr>
        <w:spacing w:after="40" w:before="0" w:line="240" w:lineRule="auto"/>
      </w:pPr>
      <w:r>
        <w:rPr>
          <w:rFonts w:ascii="Times New Roman" w:hAnsi="Times New Roman"/>
          <w:b w:val="0"/>
          <w:sz w:val="21"/>
        </w:rPr>
        <w:t>We tested eleven predictors, specified in advance, against projected change in two extreme-rainfall indices, for two domains and four emission scenarios, on 23 models from 13 genealogical families: 176 tests under a single false-discovery correction with leave-one-family-out cross-validation. The results have a clear and general structure:</w:t>
      </w:r>
    </w:p>
    <w:p>
      <w:pPr>
        <w:pStyle w:val="ListBullet"/>
        <w:spacing w:after="40" w:before="0" w:line="240" w:lineRule="auto"/>
        <w:ind w:left="403" w:hanging="230"/>
      </w:pPr>
      <w:r>
        <w:rPr>
          <w:rFonts w:ascii="Times New Roman" w:hAnsi="Times New Roman"/>
          <w:sz w:val="21"/>
        </w:rPr>
        <w:t>Every relationship that passed all validation criteria used a predictor mathematically embedded in the projected-change metric (the predictand). All such relationships were negative and concentrated in the weakest-forcing scenario, consistent with shared sampling error, and no predictor independent of the predictand passed.</w:t>
      </w:r>
    </w:p>
    <w:p>
      <w:pPr>
        <w:pStyle w:val="ListBullet"/>
        <w:spacing w:after="40" w:before="0" w:line="240" w:lineRule="auto"/>
        <w:ind w:left="403" w:hanging="230"/>
      </w:pPr>
      <w:r>
        <w:rPr>
          <w:rFonts w:ascii="Times New Roman" w:hAnsi="Times New Roman"/>
          <w:sz w:val="21"/>
        </w:rPr>
        <w:t>Relationships reversed sign between emission scenarios on an identical set of models in 29 of 44 cases, a simple and highly diagnostic test that single-scenario studies cannot apply.</w:t>
      </w:r>
    </w:p>
    <w:p>
      <w:pPr>
        <w:pStyle w:val="ListBullet"/>
        <w:spacing w:after="40" w:before="0" w:line="240" w:lineRule="auto"/>
        <w:ind w:left="403" w:hanging="230"/>
      </w:pPr>
      <w:r>
        <w:rPr>
          <w:rFonts w:ascii="Times New Roman" w:hAnsi="Times New Roman"/>
          <w:sz w:val="21"/>
        </w:rPr>
        <w:t>Percentile-threshold indices such as R95p, calibrated over the same period on which they are accumulated, anticorrelate their own disjoint subperiods. This confounds the split-sample test normally used to remove shared error; estimating the threshold out of sample removes the effect.</w:t>
      </w:r>
    </w:p>
    <w:p>
      <w:pPr>
        <w:pStyle w:val="ListBullet"/>
        <w:spacing w:after="40" w:before="0" w:line="240" w:lineRule="auto"/>
        <w:ind w:left="403" w:hanging="230"/>
      </w:pPr>
      <w:r>
        <w:rPr>
          <w:rFonts w:ascii="Times New Roman" w:hAnsi="Times New Roman"/>
          <w:sz w:val="21"/>
        </w:rPr>
        <w:t>Bias-corrected downscaling removes 85-89% of the between-model variance in present-day extremes, eliminating the information a present-day predictor requires.</w:t>
      </w:r>
    </w:p>
    <w:p>
      <w:pPr>
        <w:spacing w:after="40" w:before="0" w:line="240" w:lineRule="auto"/>
      </w:pPr>
      <w:r>
        <w:rPr>
          <w:rFonts w:ascii="Times New Roman" w:hAnsi="Times New Roman"/>
          <w:b w:val="0"/>
          <w:sz w:val="21"/>
        </w:rPr>
      </w:r>
    </w:p>
    <w:p>
      <w:pPr>
        <w:spacing w:after="40" w:before="0" w:line="240" w:lineRule="auto"/>
      </w:pPr>
      <w:r>
        <w:rPr>
          <w:rFonts w:ascii="Times New Roman" w:hAnsi="Times New Roman"/>
          <w:b w:val="0"/>
          <w:sz w:val="21"/>
        </w:rPr>
        <w:t>We believe the work suits Scientific Reports because its contribution is methodological and technically testable. All tests were pre-specified, the full results of every test are provided as Supplementary Data, and all random procedures use a fixed seed so that every statistic is exactly reproducible; the analysis code will be deposited in a public repository with a DOI. The practical guidance that follows (predictors external to the projected-change metric, out-of-sample calibration of percentile indices, testing across forcing pathways, and checking that downscaling has preserved the information a predictor needs) applies to regional constraint studies well beyond the Arabian Peninsula.</w:t>
      </w:r>
    </w:p>
    <w:p>
      <w:pPr>
        <w:spacing w:after="40" w:before="0" w:line="240" w:lineRule="auto"/>
      </w:pPr>
      <w:r>
        <w:rPr>
          <w:rFonts w:ascii="Times New Roman" w:hAnsi="Times New Roman"/>
          <w:b w:val="0"/>
          <w:sz w:val="21"/>
        </w:rPr>
        <w:t>The main text contains 3,036 words and eight display items, with Supplementary Information in a single file. The manuscript is original, is not under consideration elsewhere, and has been approved by all authors. The authors declare no competing interests. The research was supported by the Dubai Future Foundation (Research, Development and Innovation Grant Program, Project Reference No. 2025/DRDI0746).</w:t>
      </w:r>
    </w:p>
    <w:p>
      <w:pPr>
        <w:spacing w:after="40" w:before="0" w:line="240" w:lineRule="auto"/>
      </w:pPr>
      <w:r>
        <w:rPr>
          <w:rFonts w:ascii="Times New Roman" w:hAnsi="Times New Roman"/>
          <w:b w:val="0"/>
          <w:sz w:val="21"/>
        </w:rPr>
        <w:t>Thank you for your consideration.</w:t>
      </w:r>
    </w:p>
    <w:p>
      <w:pPr>
        <w:spacing w:after="40" w:before="0" w:line="240" w:lineRule="auto"/>
      </w:pPr>
      <w:r>
        <w:rPr>
          <w:rFonts w:ascii="Times New Roman" w:hAnsi="Times New Roman"/>
          <w:b w:val="0"/>
          <w:sz w:val="21"/>
        </w:rPr>
        <w:t>Yours sincerely,</w:t>
      </w:r>
    </w:p>
    <w:p>
      <w:pPr>
        <w:spacing w:after="40" w:before="0" w:line="240" w:lineRule="auto"/>
      </w:pPr>
      <w:r>
        <w:rPr>
          <w:rFonts w:ascii="Times New Roman" w:hAnsi="Times New Roman"/>
          <w:b w:val="0"/>
          <w:sz w:val="21"/>
        </w:rPr>
        <w:t>Adam Fenech, on behalf of all authors</w:t>
      </w:r>
    </w:p>
    <w:p>
      <w:pPr>
        <w:spacing w:after="40" w:before="0" w:line="240" w:lineRule="auto"/>
      </w:pPr>
      <w:r>
        <w:rPr>
          <w:rFonts w:ascii="Times New Roman" w:hAnsi="Times New Roman"/>
          <w:b w:val="0"/>
          <w:sz w:val="21"/>
        </w:rPr>
        <w:t>Mohib Ullah, Adam Fenech, Dan Scott, Xander Wang and Ross Gordon</w:t>
      </w:r>
    </w:p>
    <w:sectPr w:rsidR="00FC693F" w:rsidRPr="0006063C" w:rsidSect="00034616">
      <w:pgSz w:w="12240" w:h="15840"/>
      <w:pgMar w:top="979"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