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Placement-Bot: Complete Frontend Pipeline</w:t>
      </w:r>
    </w:p>
    <w:p>
      <w:pPr>
        <w:spacing w:after="360"/>
      </w:pPr>
      <w:r>
        <w:rPr>
          <w:rFonts w:ascii="Calibri" w:hAnsi="Calibri"/>
          <w:i/>
          <w:color w:val="64748B"/>
          <w:sz w:val="26"/>
        </w:rPr>
        <w:t>Comprehensive Technical Specification, User Flows, Data Contracts &amp; Architecture</w:t>
      </w:r>
    </w:p>
    <w:p>
      <w:pPr>
        <w:pStyle w:val="Heading1"/>
      </w:pPr>
      <w:r>
        <w:t>1. Executive Summary &amp; Architecture</w:t>
      </w:r>
    </w:p>
    <w:p>
      <w:pPr>
        <w:spacing w:after="200"/>
      </w:pPr>
      <w:r>
        <w:t>The Placement-Bot frontend provides a modern, responsive web application for automated student readiness evaluation, AI-driven skill gap discovery, corporate job fit mapping, and faculty oversight. Built with Next.js 16 (App Router), React 19, and Tailwind CSS, the application delivers client-side validation, interactive multi-step data onboarding, local state persistence, and rich multi-tab analytical visualizations.</w:t>
      </w:r>
    </w:p>
    <w:p>
      <w:pPr>
        <w:pStyle w:val="Heading1"/>
      </w:pPr>
      <w:r>
        <w:t>2. Technology Stack &amp; Core Dependencies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Layer / Dependency</w:t>
            </w:r>
          </w:p>
        </w:tc>
        <w:tc>
          <w:tcPr>
            <w:tcW w:type="dxa" w:w="3120"/>
            <w:shd w:val="clear" w:color="auto" w:fill="1E3A8A"/>
          </w:tcPr>
          <w:p>
            <w:r>
              <w:rPr>
                <w:b/>
                <w:color w:val="FFFFFF"/>
              </w:rPr>
              <w:t>Technology / Version</w:t>
            </w:r>
          </w:p>
        </w:tc>
        <w:tc>
          <w:tcPr>
            <w:tcW w:type="dxa" w:w="3120"/>
            <w:shd w:val="clear" w:color="auto" w:fill="1E3A8A"/>
          </w:tcPr>
          <w:p>
            <w:r>
              <w:rPr>
                <w:b/>
                <w:color w:val="FFFFFF"/>
              </w:rPr>
              <w:t>Key Responsibility</w:t>
            </w:r>
          </w:p>
        </w:tc>
      </w:tr>
      <w:tr>
        <w:tc>
          <w:tcPr>
            <w:tcW w:type="dxa" w:w="3120"/>
            <w:shd w:val="clear" w:color="auto" w:fill="F8FAFC"/>
          </w:tcPr>
          <w:p>
            <w:r>
              <w:t>Framework</w:t>
            </w:r>
          </w:p>
        </w:tc>
        <w:tc>
          <w:tcPr>
            <w:tcW w:type="dxa" w:w="3120"/>
            <w:shd w:val="clear" w:color="auto" w:fill="F8FAFC"/>
          </w:tcPr>
          <w:p>
            <w:r>
              <w:t>Next.js 16.3 (Turbopack, App Router)</w:t>
            </w:r>
          </w:p>
        </w:tc>
        <w:tc>
          <w:tcPr>
            <w:tcW w:type="dxa" w:w="3120"/>
            <w:shd w:val="clear" w:color="auto" w:fill="F8FAFC"/>
          </w:tcPr>
          <w:p>
            <w:r>
              <w:t>Server-side routing, bundling, and client hydration</w:t>
            </w:r>
          </w:p>
        </w:tc>
      </w:tr>
      <w:tr>
        <w:tc>
          <w:tcPr>
            <w:tcW w:type="dxa" w:w="3120"/>
            <w:shd w:val="clear" w:color="auto" w:fill="FFFFFF"/>
          </w:tcPr>
          <w:p>
            <w:r>
              <w:t>View Layer</w:t>
            </w:r>
          </w:p>
        </w:tc>
        <w:tc>
          <w:tcPr>
            <w:tcW w:type="dxa" w:w="3120"/>
            <w:shd w:val="clear" w:color="auto" w:fill="FFFFFF"/>
          </w:tcPr>
          <w:p>
            <w:r>
              <w:t>React 19, TypeScript</w:t>
            </w:r>
          </w:p>
        </w:tc>
        <w:tc>
          <w:tcPr>
            <w:tcW w:type="dxa" w:w="3120"/>
            <w:shd w:val="clear" w:color="auto" w:fill="FFFFFF"/>
          </w:tcPr>
          <w:p>
            <w:r>
              <w:t>Component architecture and static type safety</w:t>
            </w:r>
          </w:p>
        </w:tc>
      </w:tr>
      <w:tr>
        <w:tc>
          <w:tcPr>
            <w:tcW w:type="dxa" w:w="3120"/>
            <w:shd w:val="clear" w:color="auto" w:fill="F8FAFC"/>
          </w:tcPr>
          <w:p>
            <w:r>
              <w:t>Styling System</w:t>
            </w:r>
          </w:p>
        </w:tc>
        <w:tc>
          <w:tcPr>
            <w:tcW w:type="dxa" w:w="3120"/>
            <w:shd w:val="clear" w:color="auto" w:fill="F8FAFC"/>
          </w:tcPr>
          <w:p>
            <w:r>
              <w:t>Tailwind CSS + Custom Glassmorphism</w:t>
            </w:r>
          </w:p>
        </w:tc>
        <w:tc>
          <w:tcPr>
            <w:tcW w:type="dxa" w:w="3120"/>
            <w:shd w:val="clear" w:color="auto" w:fill="F8FAFC"/>
          </w:tcPr>
          <w:p>
            <w:r>
              <w:t>Responsive design, theme tokens, fluid animations</w:t>
            </w:r>
          </w:p>
        </w:tc>
      </w:tr>
      <w:tr>
        <w:tc>
          <w:tcPr>
            <w:tcW w:type="dxa" w:w="3120"/>
            <w:shd w:val="clear" w:color="auto" w:fill="FFFFFF"/>
          </w:tcPr>
          <w:p>
            <w:r>
              <w:t>Icons</w:t>
            </w:r>
          </w:p>
        </w:tc>
        <w:tc>
          <w:tcPr>
            <w:tcW w:type="dxa" w:w="3120"/>
            <w:shd w:val="clear" w:color="auto" w:fill="FFFFFF"/>
          </w:tcPr>
          <w:p>
            <w:r>
              <w:t>Lucide React</w:t>
            </w:r>
          </w:p>
        </w:tc>
        <w:tc>
          <w:tcPr>
            <w:tcW w:type="dxa" w:w="3120"/>
            <w:shd w:val="clear" w:color="auto" w:fill="FFFFFF"/>
          </w:tcPr>
          <w:p>
            <w:r>
              <w:t>Intuitive visual signifiers across inputs, score cards, and tabs</w:t>
            </w:r>
          </w:p>
        </w:tc>
      </w:tr>
      <w:tr>
        <w:tc>
          <w:tcPr>
            <w:tcW w:type="dxa" w:w="3120"/>
            <w:shd w:val="clear" w:color="auto" w:fill="F8FAFC"/>
          </w:tcPr>
          <w:p>
            <w:r>
              <w:t>Client State</w:t>
            </w:r>
          </w:p>
        </w:tc>
        <w:tc>
          <w:tcPr>
            <w:tcW w:type="dxa" w:w="3120"/>
            <w:shd w:val="clear" w:color="auto" w:fill="F8FAFC"/>
          </w:tcPr>
          <w:p>
            <w:r>
              <w:t>React State + localStorage</w:t>
            </w:r>
          </w:p>
        </w:tc>
        <w:tc>
          <w:tcPr>
            <w:tcW w:type="dxa" w:w="3120"/>
            <w:shd w:val="clear" w:color="auto" w:fill="F8FAFC"/>
          </w:tcPr>
          <w:p>
            <w:r>
              <w:t>Cross-route data handoff and persistent session state</w:t>
            </w:r>
          </w:p>
        </w:tc>
      </w:tr>
      <w:tr>
        <w:tc>
          <w:tcPr>
            <w:tcW w:type="dxa" w:w="3120"/>
            <w:shd w:val="clear" w:color="auto" w:fill="FFFFFF"/>
          </w:tcPr>
          <w:p>
            <w:r>
              <w:t>API Communication</w:t>
            </w:r>
          </w:p>
        </w:tc>
        <w:tc>
          <w:tcPr>
            <w:tcW w:type="dxa" w:w="3120"/>
            <w:shd w:val="clear" w:color="auto" w:fill="FFFFFF"/>
          </w:tcPr>
          <w:p>
            <w:r>
              <w:t>Fetch API (src/lib/api.ts)</w:t>
            </w:r>
          </w:p>
        </w:tc>
        <w:tc>
          <w:tcPr>
            <w:tcW w:type="dxa" w:w="3120"/>
            <w:shd w:val="clear" w:color="auto" w:fill="FFFFFF"/>
          </w:tcPr>
          <w:p>
            <w:r>
              <w:t>REST requests to FastAPI backend (127.0.0.1:8000)</w:t>
            </w:r>
          </w:p>
        </w:tc>
      </w:tr>
      <w:tr>
        <w:tc>
          <w:tcPr>
            <w:tcW w:type="dxa" w:w="3120"/>
            <w:shd w:val="clear" w:color="auto" w:fill="F8FAFC"/>
          </w:tcPr>
          <w:p>
            <w:r>
              <w:t>External Validation</w:t>
            </w:r>
          </w:p>
        </w:tc>
        <w:tc>
          <w:tcPr>
            <w:tcW w:type="dxa" w:w="3120"/>
            <w:shd w:val="clear" w:color="auto" w:fill="F8FAFC"/>
          </w:tcPr>
          <w:p>
            <w:r>
              <w:t>GitHub Public REST API</w:t>
            </w:r>
          </w:p>
        </w:tc>
        <w:tc>
          <w:tcPr>
            <w:tcW w:type="dxa" w:w="3120"/>
            <w:shd w:val="clear" w:color="auto" w:fill="F8FAFC"/>
          </w:tcPr>
          <w:p>
            <w:r>
              <w:t>Live username verification and profile enrichment</w:t>
            </w:r>
          </w:p>
        </w:tc>
      </w:tr>
    </w:tbl>
    <w:p>
      <w:pPr>
        <w:spacing w:after="240"/>
      </w:pPr>
    </w:p>
    <w:p>
      <w:pPr>
        <w:pStyle w:val="Heading1"/>
      </w:pPr>
      <w:r>
        <w:t>3. Directory &amp; File Structure</w:t>
      </w:r>
    </w:p>
    <w:p>
      <w:pPr>
        <w:spacing w:after="200"/>
      </w:pPr>
      <w:r>
        <w:rPr>
          <w:b/>
        </w:rPr>
        <w:t>frontend/src/</w:t>
        <w:br/>
      </w:r>
      <w:r>
        <w:t>├── app/</w:t>
        <w:br/>
        <w:t>│   ├── layout.tsx         # Root layout with fonts and dark/light classes</w:t>
        <w:br/>
        <w:t>│   ├── globals.css        # Tailwind directives, theme variables, glassmorphic UI</w:t>
        <w:br/>
        <w:t>│   ├── page.tsx           # Landing portal (Role gateway)</w:t>
        <w:br/>
        <w:t>│   ├── onboarding/        # Two-stage student data ingestion wizard</w:t>
        <w:br/>
        <w:t>│   │   └── page.tsx</w:t>
        <w:br/>
        <w:t>│   ├── dashboard/         # 4-tab student analytics &amp; roadmap portal</w:t>
        <w:br/>
        <w:t>│   │   └── page.tsx</w:t>
        <w:br/>
        <w:t>│   └── officer/           # Placement officer queue &amp; faculty console</w:t>
        <w:br/>
        <w:t>│       └── page.tsx</w:t>
        <w:br/>
        <w:t>├── components/ui/         # Shared presentation components</w:t>
        <w:br/>
        <w:t>└── lib/</w:t>
        <w:br/>
        <w:t xml:space="preserve">    ├── api.ts             # Backend HTTP client abstractions</w:t>
        <w:br/>
        <w:t xml:space="preserve">    └── utils.ts           # Class merging (clsx / twMerge)</w:t>
        <w:br/>
      </w:r>
    </w:p>
    <w:p>
      <w:pPr>
        <w:pStyle w:val="Heading1"/>
      </w:pPr>
      <w:r>
        <w:t>4. End-to-End Pipeline Stages</w:t>
      </w:r>
    </w:p>
    <w:p>
      <w:pPr>
        <w:pStyle w:val="Heading2"/>
      </w:pPr>
      <w:r>
        <w:t>4.1 Route 1: Landing Gateway (app/page.tsx)</w:t>
      </w:r>
    </w:p>
    <w:p>
      <w:pPr>
        <w:spacing w:after="160"/>
      </w:pPr>
      <w:r>
        <w:t>• Provides the initial entry point for both student candidates and university faculty / placement officers.</w:t>
        <w:br/>
        <w:t>• Features high-impact hero typography with interactive CTA buttons.</w:t>
        <w:br/>
        <w:t>• Routes students directly to /onboarding ('Start Evaluation') and placement convenors to /officer ('Placement Cell Access').</w:t>
        <w:br/>
        <w:t>• Highlights key functional pillars: Target Role Matching, Coding Analytics, and Learning Roadmaps.</w:t>
      </w:r>
    </w:p>
    <w:p>
      <w:pPr>
        <w:pStyle w:val="Heading2"/>
      </w:pPr>
      <w:r>
        <w:t>4.2 Route 2: Onboarding &amp; Ingestion Wizard (app/onboarding/page.tsx)</w:t>
      </w:r>
    </w:p>
    <w:p>
      <w:pPr>
        <w:spacing w:after="160"/>
      </w:pPr>
      <w:r>
        <w:t>The onboarding flow executes in a structured 2-step wizard designed to maximize submission accuracy:</w:t>
        <w:br/>
        <w:br/>
        <w:t>1. Step 1: Resume Upload &amp; Format Verification</w:t>
        <w:br/>
        <w:t xml:space="preserve">   - Drag-and-drop or file selector supporting PDF and DOCX formats.</w:t>
        <w:br/>
        <w:t xml:space="preserve">   - Strict client-side validation: MIME type check and maximum file size cap (5 MB).</w:t>
        <w:br/>
        <w:t xml:space="preserve">   - Inline error feedback and file preview card with quick-clear functionality.</w:t>
        <w:br/>
        <w:br/>
        <w:t>2. Step 2: Candidate Demographics &amp; Live External Profile Verification</w:t>
        <w:br/>
        <w:t xml:space="preserve">   - LeetCode Handle: Optional user handle for algorithmic profiling.</w:t>
        <w:br/>
        <w:t xml:space="preserve">   - GitHub Username Live Verification: Asynchronous lookup against api.github.com/users/{username}. Displays real-time verification indicators, candidate avatar, and public repository counts.</w:t>
        <w:br/>
        <w:t xml:space="preserve">   - Self-Reported Metrics: Quantitative coding problems solved and academic CGPA.</w:t>
        <w:br/>
        <w:t xml:space="preserve">   - Explicit Consent Checkbox: Mandatory legal acknowledgement that data is processed locally without permanent database retention.</w:t>
        <w:br/>
        <w:br/>
        <w:t>3. Multipart Ingestion &amp; Backend Dispatch</w:t>
        <w:br/>
        <w:t xml:space="preserve">   - Payload construction via FormData dispatched to POST http://127.0.0.1:8000/api/v1/process/upload.</w:t>
        <w:br/>
        <w:t xml:space="preserve">   - Animated progress ticker ('Uploading resume...' -&gt; 'AI agents analysing...' -&gt; 'Computing company matches...' -&gt; 'Redirecting...').</w:t>
        <w:br/>
        <w:t xml:space="preserve">   - Serialization of response payload directly into client localStorage under key 'placement_result'.</w:t>
      </w:r>
    </w:p>
    <w:p>
      <w:pPr>
        <w:pStyle w:val="Heading2"/>
      </w:pPr>
      <w:r>
        <w:t>4.3 Route 3: Student Analytics Dashboard (app/dashboard/page.tsx)</w:t>
      </w:r>
    </w:p>
    <w:p>
      <w:pPr>
        <w:spacing w:after="160"/>
      </w:pPr>
      <w:r>
        <w:t>Upon completion of onboarding, the student is redirected to /dashboard, which deserializes and parses 'placement_result':</w:t>
        <w:br/>
        <w:br/>
        <w:t>• Empty-State Resiliency: If no analysis exists in localStorage, user is presented with an alert screen and CTA to initiate onboarding.</w:t>
        <w:br/>
        <w:t>• Metric Header Cards: High-level KPI cards for Placement Score, Open Skill Gaps, Total Company Matches, and Coding Problems Solved.</w:t>
        <w:br/>
        <w:t>• Tab 1 - Overview: Animated SVG radial score gauge (0-100), segmented point allocation bars (Skills 40pts, Coding 30pts, Projects 20pts, CGPA 10pts), domain coverage percentage indicators, top 5 company matches, and qualitative AI summary.</w:t>
        <w:br/>
        <w:t>• Tab 2 - Company Matches: Detailed evaluation table detailing hiring company, job role, package (LPA), match confidence percentage, confidence level badge, and missing target skills.</w:t>
        <w:br/>
        <w:t>• Tab 3 - Learning Roadmap: Structured weekly curriculum (Week 1, Week 2...) with recommended courses/resources, action steps, estimated time commitment (hours), and priority badges (Critical, High, Medium, Low).</w:t>
        <w:br/>
        <w:t>• Tab 4 - Skills &amp; Profile: Comprehensive skill tag cloud categorized by proficiency, portfolio projects with technology tags, and past work experience timeline.</w:t>
      </w:r>
    </w:p>
    <w:p>
      <w:pPr>
        <w:pStyle w:val="Heading2"/>
      </w:pPr>
      <w:r>
        <w:t>4.4 Route 4: Placement Officer Console (app/officer/page.tsx)</w:t>
      </w:r>
    </w:p>
    <w:p>
      <w:pPr>
        <w:spacing w:after="160"/>
      </w:pPr>
      <w:r>
        <w:t>Dedicated faculty review console designed for placement officers:</w:t>
        <w:br/>
        <w:br/>
        <w:t>• Backend Endpoints: Interacts with GET /api/v1/dashboard/officer/queue and GET /api/v1/admin/stats via src/lib/api.ts.</w:t>
        <w:br/>
        <w:t>• Automated Mock Fallback: If backend is temporarily offline or unreachable, console gracefully loads representative mock data.</w:t>
        <w:br/>
        <w:t>• System KPIs: Visual cards for Total Runs, Pending Reviews, Approval Rate Percentage, and Published Versions.</w:t>
        <w:br/>
        <w:t>• Decision Queue: Actionable table listing candidate runs awaiting faculty approval, submission timestamps, and decision history.</w:t>
      </w:r>
    </w:p>
    <w:p>
      <w:pPr>
        <w:pStyle w:val="Heading1"/>
      </w:pPr>
      <w:r>
        <w:t>5. API &amp; Data Contract Specifications</w:t>
      </w:r>
    </w:p>
    <w:p>
      <w:r>
        <w:t>The primary contract returned by POST /api/v1/process/upload and consumed by the dashboard includes the following JSON schema: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Field Name</w:t>
            </w:r>
          </w:p>
        </w:tc>
        <w:tc>
          <w:tcPr>
            <w:tcW w:type="dxa" w:w="3120"/>
            <w:shd w:val="clear" w:color="auto" w:fill="1E3A8A"/>
          </w:tcPr>
          <w:p>
            <w:r>
              <w:rPr>
                <w:b/>
                <w:color w:val="FFFFFF"/>
              </w:rPr>
              <w:t>Data Type</w:t>
            </w:r>
          </w:p>
        </w:tc>
        <w:tc>
          <w:tcPr>
            <w:tcW w:type="dxa" w:w="3120"/>
            <w:shd w:val="clear" w:color="auto" w:fill="1E3A8A"/>
          </w:tcPr>
          <w:p>
            <w:r>
              <w:rPr>
                <w:b/>
                <w:color w:val="FFFFFF"/>
              </w:rPr>
              <w:t>Description / Schema</w:t>
            </w:r>
          </w:p>
        </w:tc>
      </w:tr>
      <w:tr>
        <w:tc>
          <w:tcPr>
            <w:tcW w:type="dxa" w:w="3120"/>
            <w:shd w:val="clear" w:color="auto" w:fill="F8FAFC"/>
          </w:tcPr>
          <w:p>
            <w:r>
              <w:t>student_name</w:t>
            </w:r>
          </w:p>
        </w:tc>
        <w:tc>
          <w:tcPr>
            <w:tcW w:type="dxa" w:w="3120"/>
            <w:shd w:val="clear" w:color="auto" w:fill="F8FAFC"/>
          </w:tcPr>
          <w:p>
            <w:r>
              <w:t>string</w:t>
            </w:r>
          </w:p>
        </w:tc>
        <w:tc>
          <w:tcPr>
            <w:tcW w:type="dxa" w:w="3120"/>
            <w:shd w:val="clear" w:color="auto" w:fill="F8FAFC"/>
          </w:tcPr>
          <w:p>
            <w:r>
              <w:t>Extracted student candidate name</w:t>
            </w:r>
          </w:p>
        </w:tc>
      </w:tr>
      <w:tr>
        <w:tc>
          <w:tcPr>
            <w:tcW w:type="dxa" w:w="3120"/>
            <w:shd w:val="clear" w:color="auto" w:fill="FFFFFF"/>
          </w:tcPr>
          <w:p>
            <w:r>
              <w:t>placement_score</w:t>
            </w:r>
          </w:p>
        </w:tc>
        <w:tc>
          <w:tcPr>
            <w:tcW w:type="dxa" w:w="3120"/>
            <w:shd w:val="clear" w:color="auto" w:fill="FFFFFF"/>
          </w:tcPr>
          <w:p>
            <w:r>
              <w:t>number (0-100)</w:t>
            </w:r>
          </w:p>
        </w:tc>
        <w:tc>
          <w:tcPr>
            <w:tcW w:type="dxa" w:w="3120"/>
            <w:shd w:val="clear" w:color="auto" w:fill="FFFFFF"/>
          </w:tcPr>
          <w:p>
            <w:r>
              <w:t>Composite readiness evaluation score</w:t>
            </w:r>
          </w:p>
        </w:tc>
      </w:tr>
      <w:tr>
        <w:tc>
          <w:tcPr>
            <w:tcW w:type="dxa" w:w="3120"/>
            <w:shd w:val="clear" w:color="auto" w:fill="F8FAFC"/>
          </w:tcPr>
          <w:p>
            <w:r>
              <w:t>score_breakdown</w:t>
            </w:r>
          </w:p>
        </w:tc>
        <w:tc>
          <w:tcPr>
            <w:tcW w:type="dxa" w:w="3120"/>
            <w:shd w:val="clear" w:color="auto" w:fill="F8FAFC"/>
          </w:tcPr>
          <w:p>
            <w:r>
              <w:t>object</w:t>
            </w:r>
          </w:p>
        </w:tc>
        <w:tc>
          <w:tcPr>
            <w:tcW w:type="dxa" w:w="3120"/>
            <w:shd w:val="clear" w:color="auto" w:fill="F8FAFC"/>
          </w:tcPr>
          <w:p>
            <w:r>
              <w:t>{ skills: 40, coding: 30, projects: 20, cgpa: 10 }</w:t>
            </w:r>
          </w:p>
        </w:tc>
      </w:tr>
      <w:tr>
        <w:tc>
          <w:tcPr>
            <w:tcW w:type="dxa" w:w="3120"/>
            <w:shd w:val="clear" w:color="auto" w:fill="FFFFFF"/>
          </w:tcPr>
          <w:p>
            <w:r>
              <w:t>skill_gaps</w:t>
            </w:r>
          </w:p>
        </w:tc>
        <w:tc>
          <w:tcPr>
            <w:tcW w:type="dxa" w:w="3120"/>
            <w:shd w:val="clear" w:color="auto" w:fill="FFFFFF"/>
          </w:tcPr>
          <w:p>
            <w:r>
              <w:t>array&lt;object&gt;</w:t>
            </w:r>
          </w:p>
        </w:tc>
        <w:tc>
          <w:tcPr>
            <w:tcW w:type="dxa" w:w="3120"/>
            <w:shd w:val="clear" w:color="auto" w:fill="FFFFFF"/>
          </w:tcPr>
          <w:p>
            <w:r>
              <w:t>Identified missing or deficient skills with severity &amp; coverage</w:t>
            </w:r>
          </w:p>
        </w:tc>
      </w:tr>
      <w:tr>
        <w:tc>
          <w:tcPr>
            <w:tcW w:type="dxa" w:w="3120"/>
            <w:shd w:val="clear" w:color="auto" w:fill="F8FAFC"/>
          </w:tcPr>
          <w:p>
            <w:r>
              <w:t>domain_coverage</w:t>
            </w:r>
          </w:p>
        </w:tc>
        <w:tc>
          <w:tcPr>
            <w:tcW w:type="dxa" w:w="3120"/>
            <w:shd w:val="clear" w:color="auto" w:fill="F8FAFC"/>
          </w:tcPr>
          <w:p>
            <w:r>
              <w:t>Record&lt;string, number&gt;</w:t>
            </w:r>
          </w:p>
        </w:tc>
        <w:tc>
          <w:tcPr>
            <w:tcW w:type="dxa" w:w="3120"/>
            <w:shd w:val="clear" w:color="auto" w:fill="F8FAFC"/>
          </w:tcPr>
          <w:p>
            <w:r>
              <w:t>Key technical domains mapped to proficiency percentages</w:t>
            </w:r>
          </w:p>
        </w:tc>
      </w:tr>
      <w:tr>
        <w:tc>
          <w:tcPr>
            <w:tcW w:type="dxa" w:w="3120"/>
            <w:shd w:val="clear" w:color="auto" w:fill="FFFFFF"/>
          </w:tcPr>
          <w:p>
            <w:r>
              <w:t>company_matches</w:t>
            </w:r>
          </w:p>
        </w:tc>
        <w:tc>
          <w:tcPr>
            <w:tcW w:type="dxa" w:w="3120"/>
            <w:shd w:val="clear" w:color="auto" w:fill="FFFFFF"/>
          </w:tcPr>
          <w:p>
            <w:r>
              <w:t>array&lt;object&gt;</w:t>
            </w:r>
          </w:p>
        </w:tc>
        <w:tc>
          <w:tcPr>
            <w:tcW w:type="dxa" w:w="3120"/>
            <w:shd w:val="clear" w:color="auto" w:fill="FFFFFF"/>
          </w:tcPr>
          <w:p>
            <w:r>
              <w:t>Company name, role, match_score, package_lpa, missing_skills</w:t>
            </w:r>
          </w:p>
        </w:tc>
      </w:tr>
      <w:tr>
        <w:tc>
          <w:tcPr>
            <w:tcW w:type="dxa" w:w="3120"/>
            <w:shd w:val="clear" w:color="auto" w:fill="F8FAFC"/>
          </w:tcPr>
          <w:p>
            <w:r>
              <w:t>roadmap</w:t>
            </w:r>
          </w:p>
        </w:tc>
        <w:tc>
          <w:tcPr>
            <w:tcW w:type="dxa" w:w="3120"/>
            <w:shd w:val="clear" w:color="auto" w:fill="F8FAFC"/>
          </w:tcPr>
          <w:p>
            <w:r>
              <w:t>array&lt;object&gt;</w:t>
            </w:r>
          </w:p>
        </w:tc>
        <w:tc>
          <w:tcPr>
            <w:tcW w:type="dxa" w:w="3120"/>
            <w:shd w:val="clear" w:color="auto" w:fill="F8FAFC"/>
          </w:tcPr>
          <w:p>
            <w:r>
              <w:t>Weekly learning milestones: week, skill, action, resource, hours, priority</w:t>
            </w:r>
          </w:p>
        </w:tc>
      </w:tr>
      <w:tr>
        <w:tc>
          <w:tcPr>
            <w:tcW w:type="dxa" w:w="3120"/>
            <w:shd w:val="clear" w:color="auto" w:fill="FFFFFF"/>
          </w:tcPr>
          <w:p>
            <w:r>
              <w:t>profile</w:t>
            </w:r>
          </w:p>
        </w:tc>
        <w:tc>
          <w:tcPr>
            <w:tcW w:type="dxa" w:w="3120"/>
            <w:shd w:val="clear" w:color="auto" w:fill="FFFFFF"/>
          </w:tcPr>
          <w:p>
            <w:r>
              <w:t>object</w:t>
            </w:r>
          </w:p>
        </w:tc>
        <w:tc>
          <w:tcPr>
            <w:tcW w:type="dxa" w:w="3120"/>
            <w:shd w:val="clear" w:color="auto" w:fill="FFFFFF"/>
          </w:tcPr>
          <w:p>
            <w:r>
              <w:t>Structured profile: skills[], projects[], experiences[], summary</w:t>
            </w:r>
          </w:p>
        </w:tc>
      </w:tr>
      <w:tr>
        <w:tc>
          <w:tcPr>
            <w:tcW w:type="dxa" w:w="3120"/>
            <w:shd w:val="clear" w:color="auto" w:fill="F8FAFC"/>
          </w:tcPr>
          <w:p>
            <w:r>
              <w:t>stats</w:t>
            </w:r>
          </w:p>
        </w:tc>
        <w:tc>
          <w:tcPr>
            <w:tcW w:type="dxa" w:w="3120"/>
            <w:shd w:val="clear" w:color="auto" w:fill="F8FAFC"/>
          </w:tcPr>
          <w:p>
            <w:r>
              <w:t>object</w:t>
            </w:r>
          </w:p>
        </w:tc>
        <w:tc>
          <w:tcPr>
            <w:tcW w:type="dxa" w:w="3120"/>
            <w:shd w:val="clear" w:color="auto" w:fill="F8FAFC"/>
          </w:tcPr>
          <w:p>
            <w:r>
              <w:t>Summary totals: total_skills, total_projects, gaps_open, strong_matches</w:t>
            </w:r>
          </w:p>
        </w:tc>
      </w:tr>
    </w:tbl>
    <w:p>
      <w:pPr>
        <w:spacing w:after="240"/>
      </w:pPr>
    </w:p>
    <w:p>
      <w:pPr>
        <w:pStyle w:val="Heading1"/>
      </w:pPr>
      <w:r>
        <w:t>6. Conclusion</w:t>
      </w:r>
    </w:p>
    <w:p>
      <w:r>
        <w:t>The Placement-Bot frontend establishes a high-performance, accessible, and transparent career guidance pipeline. By enforcing strict client validation, integrating live external verification, persisting state locally, and presenting actionable recommendations across multiple specialized views, the platform bridges the gap between raw resume data and verifiable placement outcomes.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