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54175" w14:textId="77777777" w:rsidR="0056703F" w:rsidRDefault="00000000">
      <w:pPr>
        <w:spacing w:after="60"/>
      </w:pPr>
      <w:r>
        <w:rPr>
          <w:rFonts w:ascii="Arial" w:eastAsia="Arial" w:hAnsi="Arial" w:cs="Arial"/>
          <w:b/>
          <w:bCs/>
          <w:color w:val="FF3F6C"/>
        </w:rPr>
        <w:t>PROJECT REPORT</w:t>
      </w:r>
    </w:p>
    <w:p w14:paraId="428D0437" w14:textId="77777777" w:rsidR="0056703F" w:rsidRDefault="00000000">
      <w:pPr>
        <w:spacing w:after="100"/>
      </w:pPr>
      <w:r>
        <w:rPr>
          <w:rFonts w:ascii="Arial" w:eastAsia="Arial" w:hAnsi="Arial" w:cs="Arial"/>
          <w:b/>
          <w:bCs/>
          <w:color w:val="2D2D2D"/>
          <w:sz w:val="52"/>
          <w:szCs w:val="52"/>
        </w:rPr>
        <w:t>Myntra Category Intelligence Project</w:t>
      </w:r>
    </w:p>
    <w:p w14:paraId="36E77C3C" w14:textId="77777777" w:rsidR="0056703F" w:rsidRDefault="00000000">
      <w:pPr>
        <w:spacing w:after="200"/>
      </w:pPr>
      <w:r>
        <w:rPr>
          <w:rFonts w:ascii="Arial" w:eastAsia="Arial" w:hAnsi="Arial" w:cs="Arial"/>
          <w:color w:val="535766"/>
          <w:sz w:val="24"/>
          <w:szCs w:val="24"/>
        </w:rPr>
        <w:t>A data-driven analysis of Ethnic Wear category performance — covering revenue health, discount strategy, return patterns, and inventory risk.</w:t>
      </w:r>
    </w:p>
    <w:p w14:paraId="6995E3DC" w14:textId="77777777" w:rsidR="0056703F" w:rsidRDefault="0056703F">
      <w:pPr>
        <w:pBdr>
          <w:bottom w:val="single" w:sz="12" w:space="1" w:color="FF3F6C"/>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6703F" w14:paraId="77222754" w14:textId="77777777">
        <w:tblPrEx>
          <w:tblCellMar>
            <w:top w:w="0" w:type="dxa"/>
            <w:bottom w:w="0" w:type="dxa"/>
          </w:tblCellMar>
        </w:tblPrEx>
        <w:tc>
          <w:tcPr>
            <w:tcW w:w="4680" w:type="dxa"/>
            <w:tcBorders>
              <w:top w:val="nil"/>
              <w:left w:val="nil"/>
              <w:bottom w:val="nil"/>
              <w:right w:val="nil"/>
            </w:tcBorders>
            <w:tcMar>
              <w:top w:w="0" w:type="dxa"/>
              <w:left w:w="0" w:type="dxa"/>
              <w:bottom w:w="0" w:type="dxa"/>
              <w:right w:w="240" w:type="dxa"/>
            </w:tcMar>
          </w:tcPr>
          <w:p w14:paraId="36535580" w14:textId="77777777" w:rsidR="0056703F" w:rsidRDefault="00000000">
            <w:pPr>
              <w:spacing w:after="40"/>
            </w:pPr>
            <w:r>
              <w:rPr>
                <w:rFonts w:ascii="Arial" w:eastAsia="Arial" w:hAnsi="Arial" w:cs="Arial"/>
                <w:color w:val="888888"/>
                <w:sz w:val="18"/>
                <w:szCs w:val="18"/>
              </w:rPr>
              <w:t>Prepared by</w:t>
            </w:r>
          </w:p>
          <w:p w14:paraId="3603DC87" w14:textId="77777777" w:rsidR="0056703F" w:rsidRDefault="00000000">
            <w:pPr>
              <w:spacing w:after="40"/>
            </w:pPr>
            <w:r>
              <w:rPr>
                <w:rFonts w:ascii="Arial" w:eastAsia="Arial" w:hAnsi="Arial" w:cs="Arial"/>
                <w:b/>
                <w:bCs/>
                <w:color w:val="2D2D2D"/>
                <w:sz w:val="28"/>
                <w:szCs w:val="28"/>
              </w:rPr>
              <w:t>Mohit Vishwakarma</w:t>
            </w:r>
          </w:p>
          <w:p w14:paraId="4D2FF664" w14:textId="77777777" w:rsidR="0056703F" w:rsidRDefault="00000000">
            <w:pPr>
              <w:spacing w:after="40"/>
            </w:pPr>
            <w:r>
              <w:rPr>
                <w:rFonts w:ascii="Arial" w:eastAsia="Arial" w:hAnsi="Arial" w:cs="Arial"/>
                <w:color w:val="535766"/>
              </w:rPr>
              <w:t>Business Analyst — Ethnic Wear Category</w:t>
            </w:r>
          </w:p>
          <w:p w14:paraId="440C41E1" w14:textId="77777777" w:rsidR="0056703F" w:rsidRDefault="00000000">
            <w:r>
              <w:rPr>
                <w:rFonts w:ascii="Arial" w:eastAsia="Arial" w:hAnsi="Arial" w:cs="Arial"/>
                <w:color w:val="535766"/>
              </w:rPr>
              <w:t>Myntra Designs Pvt. Ltd.</w:t>
            </w:r>
          </w:p>
        </w:tc>
        <w:tc>
          <w:tcPr>
            <w:tcW w:w="4680" w:type="dxa"/>
            <w:tcBorders>
              <w:top w:val="nil"/>
              <w:left w:val="single" w:sz="1" w:space="0" w:color="E0E0E0"/>
              <w:bottom w:val="nil"/>
              <w:right w:val="nil"/>
            </w:tcBorders>
            <w:tcMar>
              <w:top w:w="0" w:type="dxa"/>
              <w:left w:w="240" w:type="dxa"/>
              <w:bottom w:w="0" w:type="dxa"/>
              <w:right w:w="0" w:type="dxa"/>
            </w:tcMar>
          </w:tcPr>
          <w:p w14:paraId="25482FA1" w14:textId="77777777" w:rsidR="0056703F" w:rsidRDefault="00000000">
            <w:pPr>
              <w:spacing w:after="40"/>
            </w:pPr>
            <w:r>
              <w:rPr>
                <w:rFonts w:ascii="Arial" w:eastAsia="Arial" w:hAnsi="Arial" w:cs="Arial"/>
                <w:color w:val="888888"/>
                <w:sz w:val="18"/>
                <w:szCs w:val="18"/>
              </w:rPr>
              <w:t>Report Date</w:t>
            </w:r>
          </w:p>
          <w:p w14:paraId="5D57F3A0" w14:textId="77777777" w:rsidR="0056703F" w:rsidRDefault="00000000">
            <w:pPr>
              <w:spacing w:after="40"/>
            </w:pPr>
            <w:r>
              <w:rPr>
                <w:rFonts w:ascii="Arial" w:eastAsia="Arial" w:hAnsi="Arial" w:cs="Arial"/>
                <w:b/>
                <w:bCs/>
                <w:color w:val="2D2D2D"/>
                <w:sz w:val="28"/>
                <w:szCs w:val="28"/>
              </w:rPr>
              <w:t>Q2 FY2025</w:t>
            </w:r>
          </w:p>
          <w:p w14:paraId="122A2D8D" w14:textId="77777777" w:rsidR="0056703F" w:rsidRDefault="00000000">
            <w:r>
              <w:rPr>
                <w:rFonts w:ascii="Arial" w:eastAsia="Arial" w:hAnsi="Arial" w:cs="Arial"/>
                <w:color w:val="535766"/>
              </w:rPr>
              <w:t xml:space="preserve">Tool: Power </w:t>
            </w:r>
            <w:proofErr w:type="gramStart"/>
            <w:r>
              <w:rPr>
                <w:rFonts w:ascii="Arial" w:eastAsia="Arial" w:hAnsi="Arial" w:cs="Arial"/>
                <w:color w:val="535766"/>
              </w:rPr>
              <w:t>BI  |</w:t>
            </w:r>
            <w:proofErr w:type="gramEnd"/>
            <w:r>
              <w:rPr>
                <w:rFonts w:ascii="Arial" w:eastAsia="Arial" w:hAnsi="Arial" w:cs="Arial"/>
                <w:color w:val="535766"/>
              </w:rPr>
              <w:t xml:space="preserve">  Brands: Biba, </w:t>
            </w:r>
            <w:proofErr w:type="spellStart"/>
            <w:r>
              <w:rPr>
                <w:rFonts w:ascii="Arial" w:eastAsia="Arial" w:hAnsi="Arial" w:cs="Arial"/>
                <w:color w:val="535766"/>
              </w:rPr>
              <w:t>FabIndia</w:t>
            </w:r>
            <w:proofErr w:type="spellEnd"/>
            <w:r>
              <w:rPr>
                <w:rFonts w:ascii="Arial" w:eastAsia="Arial" w:hAnsi="Arial" w:cs="Arial"/>
                <w:color w:val="535766"/>
              </w:rPr>
              <w:t>, W, Libas</w:t>
            </w:r>
          </w:p>
        </w:tc>
      </w:tr>
    </w:tbl>
    <w:p w14:paraId="744BA8B0" w14:textId="77777777" w:rsidR="0056703F" w:rsidRDefault="0056703F">
      <w:pPr>
        <w:spacing w:after="320"/>
      </w:pPr>
    </w:p>
    <w:p w14:paraId="15936CCA" w14:textId="77777777" w:rsidR="0056703F" w:rsidRDefault="00000000">
      <w:pPr>
        <w:spacing w:after="160"/>
        <w:jc w:val="center"/>
      </w:pPr>
      <w:r>
        <w:rPr>
          <w:noProof/>
        </w:rPr>
        <w:drawing>
          <wp:inline distT="0" distB="0" distL="0" distR="0" wp14:anchorId="658630A5" wp14:editId="68051829">
            <wp:extent cx="619125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3467100"/>
                    </a:xfrm>
                    <a:prstGeom prst="rect">
                      <a:avLst/>
                    </a:prstGeom>
                  </pic:spPr>
                </pic:pic>
              </a:graphicData>
            </a:graphic>
          </wp:inline>
        </w:drawing>
      </w:r>
    </w:p>
    <w:p w14:paraId="53C136CE" w14:textId="77777777" w:rsidR="0056703F" w:rsidRDefault="00000000">
      <w:pPr>
        <w:spacing w:after="280"/>
        <w:jc w:val="center"/>
      </w:pPr>
      <w:r>
        <w:rPr>
          <w:rFonts w:ascii="Arial" w:eastAsia="Arial" w:hAnsi="Arial" w:cs="Arial"/>
          <w:i/>
          <w:iCs/>
          <w:color w:val="888888"/>
          <w:sz w:val="18"/>
          <w:szCs w:val="18"/>
        </w:rPr>
        <w:t>Full Dashboard — Myntra Category Command Center</w:t>
      </w:r>
    </w:p>
    <w:p w14:paraId="36606A3B" w14:textId="77777777" w:rsidR="0056703F" w:rsidRDefault="0056703F">
      <w:pPr>
        <w:pBdr>
          <w:bottom w:val="single" w:sz="4" w:space="1" w:color="E0E0E0"/>
        </w:pBdr>
        <w:spacing w:after="120"/>
      </w:pPr>
    </w:p>
    <w:p w14:paraId="2BD83AC4" w14:textId="77777777" w:rsidR="0056703F" w:rsidRDefault="0056703F">
      <w:pPr>
        <w:spacing w:after="120"/>
      </w:pPr>
    </w:p>
    <w:p w14:paraId="2153492C" w14:textId="77777777" w:rsidR="0056703F" w:rsidRDefault="00000000">
      <w:pPr>
        <w:spacing w:after="100"/>
      </w:pPr>
      <w:r>
        <w:rPr>
          <w:rFonts w:ascii="Arial" w:eastAsia="Arial" w:hAnsi="Arial" w:cs="Arial"/>
          <w:b/>
          <w:bCs/>
          <w:color w:val="2D2D2D"/>
          <w:sz w:val="24"/>
          <w:szCs w:val="24"/>
        </w:rPr>
        <w:t>What This Report Covers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2692"/>
        <w:gridCol w:w="423"/>
        <w:gridCol w:w="2692"/>
        <w:gridCol w:w="423"/>
        <w:gridCol w:w="2707"/>
      </w:tblGrid>
      <w:tr w:rsidR="0056703F" w14:paraId="4132276F" w14:textId="77777777">
        <w:tblPrEx>
          <w:tblCellMar>
            <w:top w:w="0" w:type="dxa"/>
            <w:bottom w:w="0" w:type="dxa"/>
          </w:tblCellMar>
        </w:tblPrEx>
        <w:tc>
          <w:tcPr>
            <w:tcW w:w="400" w:type="dxa"/>
            <w:tcBorders>
              <w:top w:val="nil"/>
              <w:left w:val="nil"/>
              <w:bottom w:val="nil"/>
              <w:right w:val="nil"/>
            </w:tcBorders>
            <w:shd w:val="clear" w:color="auto" w:fill="FF3F6C"/>
            <w:tcMar>
              <w:top w:w="100" w:type="dxa"/>
              <w:left w:w="100" w:type="dxa"/>
              <w:bottom w:w="100" w:type="dxa"/>
              <w:right w:w="100" w:type="dxa"/>
            </w:tcMar>
          </w:tcPr>
          <w:p w14:paraId="132AD9E7" w14:textId="77777777" w:rsidR="0056703F" w:rsidRDefault="00000000">
            <w:pPr>
              <w:jc w:val="center"/>
            </w:pPr>
            <w:r>
              <w:rPr>
                <w:rFonts w:ascii="Arial" w:eastAsia="Arial" w:hAnsi="Arial" w:cs="Arial"/>
                <w:b/>
                <w:bCs/>
                <w:color w:val="FFFFFF"/>
              </w:rPr>
              <w:t>02</w:t>
            </w:r>
          </w:p>
        </w:tc>
        <w:tc>
          <w:tcPr>
            <w:tcW w:w="2720" w:type="dxa"/>
            <w:tcBorders>
              <w:top w:val="nil"/>
              <w:left w:val="nil"/>
              <w:bottom w:val="single" w:sz="1" w:space="0" w:color="E0E0E0"/>
              <w:right w:val="nil"/>
            </w:tcBorders>
            <w:tcMar>
              <w:top w:w="100" w:type="dxa"/>
              <w:left w:w="120" w:type="dxa"/>
              <w:bottom w:w="100" w:type="dxa"/>
              <w:right w:w="200" w:type="dxa"/>
            </w:tcMar>
          </w:tcPr>
          <w:p w14:paraId="6DF6403E" w14:textId="77777777" w:rsidR="0056703F" w:rsidRDefault="00000000">
            <w:r>
              <w:rPr>
                <w:rFonts w:ascii="Arial" w:eastAsia="Arial" w:hAnsi="Arial" w:cs="Arial"/>
                <w:color w:val="535766"/>
              </w:rPr>
              <w:t>Business Health Vitals — KPIs at a glance</w:t>
            </w:r>
          </w:p>
        </w:tc>
        <w:tc>
          <w:tcPr>
            <w:tcW w:w="400" w:type="dxa"/>
            <w:tcBorders>
              <w:top w:val="nil"/>
              <w:left w:val="nil"/>
              <w:bottom w:val="nil"/>
              <w:right w:val="nil"/>
            </w:tcBorders>
            <w:shd w:val="clear" w:color="auto" w:fill="FF3F6C"/>
            <w:tcMar>
              <w:top w:w="100" w:type="dxa"/>
              <w:left w:w="100" w:type="dxa"/>
              <w:bottom w:w="100" w:type="dxa"/>
              <w:right w:w="100" w:type="dxa"/>
            </w:tcMar>
          </w:tcPr>
          <w:p w14:paraId="1B0B75C0" w14:textId="77777777" w:rsidR="0056703F" w:rsidRDefault="00000000">
            <w:pPr>
              <w:jc w:val="center"/>
            </w:pPr>
            <w:r>
              <w:rPr>
                <w:rFonts w:ascii="Arial" w:eastAsia="Arial" w:hAnsi="Arial" w:cs="Arial"/>
                <w:b/>
                <w:bCs/>
                <w:color w:val="FFFFFF"/>
              </w:rPr>
              <w:t>03</w:t>
            </w:r>
          </w:p>
        </w:tc>
        <w:tc>
          <w:tcPr>
            <w:tcW w:w="2720" w:type="dxa"/>
            <w:tcBorders>
              <w:top w:val="nil"/>
              <w:left w:val="nil"/>
              <w:bottom w:val="single" w:sz="1" w:space="0" w:color="E0E0E0"/>
              <w:right w:val="nil"/>
            </w:tcBorders>
            <w:tcMar>
              <w:top w:w="100" w:type="dxa"/>
              <w:left w:w="120" w:type="dxa"/>
              <w:bottom w:w="100" w:type="dxa"/>
              <w:right w:w="200" w:type="dxa"/>
            </w:tcMar>
          </w:tcPr>
          <w:p w14:paraId="21B0F788" w14:textId="77777777" w:rsidR="0056703F" w:rsidRDefault="00000000">
            <w:r>
              <w:rPr>
                <w:rFonts w:ascii="Arial" w:eastAsia="Arial" w:hAnsi="Arial" w:cs="Arial"/>
                <w:color w:val="535766"/>
              </w:rPr>
              <w:t>Discount Strategy — Where margin is being lost</w:t>
            </w:r>
          </w:p>
        </w:tc>
        <w:tc>
          <w:tcPr>
            <w:tcW w:w="400" w:type="dxa"/>
            <w:tcBorders>
              <w:top w:val="nil"/>
              <w:left w:val="nil"/>
              <w:bottom w:val="nil"/>
              <w:right w:val="nil"/>
            </w:tcBorders>
            <w:shd w:val="clear" w:color="auto" w:fill="FF3F6C"/>
            <w:tcMar>
              <w:top w:w="100" w:type="dxa"/>
              <w:left w:w="100" w:type="dxa"/>
              <w:bottom w:w="100" w:type="dxa"/>
              <w:right w:w="100" w:type="dxa"/>
            </w:tcMar>
          </w:tcPr>
          <w:p w14:paraId="1D14D966" w14:textId="77777777" w:rsidR="0056703F" w:rsidRDefault="00000000">
            <w:pPr>
              <w:jc w:val="center"/>
            </w:pPr>
            <w:r>
              <w:rPr>
                <w:rFonts w:ascii="Arial" w:eastAsia="Arial" w:hAnsi="Arial" w:cs="Arial"/>
                <w:b/>
                <w:bCs/>
                <w:color w:val="FFFFFF"/>
              </w:rPr>
              <w:t>04</w:t>
            </w:r>
          </w:p>
        </w:tc>
        <w:tc>
          <w:tcPr>
            <w:tcW w:w="2720" w:type="dxa"/>
            <w:tcBorders>
              <w:top w:val="nil"/>
              <w:left w:val="nil"/>
              <w:bottom w:val="single" w:sz="1" w:space="0" w:color="E0E0E0"/>
              <w:right w:val="nil"/>
            </w:tcBorders>
            <w:tcMar>
              <w:top w:w="100" w:type="dxa"/>
              <w:left w:w="120" w:type="dxa"/>
              <w:bottom w:w="100" w:type="dxa"/>
              <w:right w:w="200" w:type="dxa"/>
            </w:tcMar>
          </w:tcPr>
          <w:p w14:paraId="43E4F259" w14:textId="77777777" w:rsidR="0056703F" w:rsidRDefault="00000000">
            <w:r>
              <w:rPr>
                <w:rFonts w:ascii="Arial" w:eastAsia="Arial" w:hAnsi="Arial" w:cs="Arial"/>
                <w:color w:val="535766"/>
              </w:rPr>
              <w:t>Rating vs Returns — The quality paradox</w:t>
            </w:r>
          </w:p>
        </w:tc>
      </w:tr>
      <w:tr w:rsidR="0056703F" w14:paraId="30F67668" w14:textId="77777777">
        <w:tblPrEx>
          <w:tblCellMar>
            <w:top w:w="0" w:type="dxa"/>
            <w:bottom w:w="0" w:type="dxa"/>
          </w:tblCellMar>
        </w:tblPrEx>
        <w:tc>
          <w:tcPr>
            <w:tcW w:w="400" w:type="dxa"/>
            <w:tcBorders>
              <w:top w:val="nil"/>
              <w:left w:val="nil"/>
              <w:bottom w:val="nil"/>
              <w:right w:val="nil"/>
            </w:tcBorders>
            <w:shd w:val="clear" w:color="auto" w:fill="FF3F6C"/>
            <w:tcMar>
              <w:top w:w="100" w:type="dxa"/>
              <w:left w:w="100" w:type="dxa"/>
              <w:bottom w:w="100" w:type="dxa"/>
              <w:right w:w="100" w:type="dxa"/>
            </w:tcMar>
          </w:tcPr>
          <w:p w14:paraId="3C1FA4C4" w14:textId="77777777" w:rsidR="0056703F" w:rsidRDefault="00000000">
            <w:pPr>
              <w:jc w:val="center"/>
            </w:pPr>
            <w:r>
              <w:rPr>
                <w:rFonts w:ascii="Arial" w:eastAsia="Arial" w:hAnsi="Arial" w:cs="Arial"/>
                <w:b/>
                <w:bCs/>
                <w:color w:val="FFFFFF"/>
              </w:rPr>
              <w:t>05</w:t>
            </w:r>
          </w:p>
        </w:tc>
        <w:tc>
          <w:tcPr>
            <w:tcW w:w="2720" w:type="dxa"/>
            <w:tcBorders>
              <w:top w:val="nil"/>
              <w:left w:val="nil"/>
              <w:bottom w:val="single" w:sz="1" w:space="0" w:color="E0E0E0"/>
              <w:right w:val="nil"/>
            </w:tcBorders>
            <w:tcMar>
              <w:top w:w="100" w:type="dxa"/>
              <w:left w:w="120" w:type="dxa"/>
              <w:bottom w:w="100" w:type="dxa"/>
              <w:right w:w="200" w:type="dxa"/>
            </w:tcMar>
          </w:tcPr>
          <w:p w14:paraId="2500CC12" w14:textId="77777777" w:rsidR="0056703F" w:rsidRDefault="00000000">
            <w:r>
              <w:rPr>
                <w:rFonts w:ascii="Arial" w:eastAsia="Arial" w:hAnsi="Arial" w:cs="Arial"/>
                <w:color w:val="535766"/>
              </w:rPr>
              <w:t>Return Root Cause — Size, Style, Logistics</w:t>
            </w:r>
          </w:p>
        </w:tc>
        <w:tc>
          <w:tcPr>
            <w:tcW w:w="400" w:type="dxa"/>
            <w:tcBorders>
              <w:top w:val="nil"/>
              <w:left w:val="nil"/>
              <w:bottom w:val="nil"/>
              <w:right w:val="nil"/>
            </w:tcBorders>
            <w:shd w:val="clear" w:color="auto" w:fill="FF3F6C"/>
            <w:tcMar>
              <w:top w:w="100" w:type="dxa"/>
              <w:left w:w="100" w:type="dxa"/>
              <w:bottom w:w="100" w:type="dxa"/>
              <w:right w:w="100" w:type="dxa"/>
            </w:tcMar>
          </w:tcPr>
          <w:p w14:paraId="2AA1925A" w14:textId="77777777" w:rsidR="0056703F" w:rsidRDefault="00000000">
            <w:pPr>
              <w:jc w:val="center"/>
            </w:pPr>
            <w:r>
              <w:rPr>
                <w:rFonts w:ascii="Arial" w:eastAsia="Arial" w:hAnsi="Arial" w:cs="Arial"/>
                <w:b/>
                <w:bCs/>
                <w:color w:val="FFFFFF"/>
              </w:rPr>
              <w:t>06</w:t>
            </w:r>
          </w:p>
        </w:tc>
        <w:tc>
          <w:tcPr>
            <w:tcW w:w="2720" w:type="dxa"/>
            <w:tcBorders>
              <w:top w:val="nil"/>
              <w:left w:val="nil"/>
              <w:bottom w:val="single" w:sz="1" w:space="0" w:color="E0E0E0"/>
              <w:right w:val="nil"/>
            </w:tcBorders>
            <w:tcMar>
              <w:top w:w="100" w:type="dxa"/>
              <w:left w:w="120" w:type="dxa"/>
              <w:bottom w:w="100" w:type="dxa"/>
              <w:right w:w="200" w:type="dxa"/>
            </w:tcMar>
          </w:tcPr>
          <w:p w14:paraId="137848EF" w14:textId="77777777" w:rsidR="0056703F" w:rsidRDefault="00000000">
            <w:r>
              <w:rPr>
                <w:rFonts w:ascii="Arial" w:eastAsia="Arial" w:hAnsi="Arial" w:cs="Arial"/>
                <w:color w:val="535766"/>
              </w:rPr>
              <w:t>Inventory Aging Risk — Dead capital analysis</w:t>
            </w:r>
          </w:p>
        </w:tc>
        <w:tc>
          <w:tcPr>
            <w:tcW w:w="400" w:type="dxa"/>
            <w:tcBorders>
              <w:top w:val="nil"/>
              <w:left w:val="nil"/>
              <w:bottom w:val="nil"/>
              <w:right w:val="nil"/>
            </w:tcBorders>
            <w:shd w:val="clear" w:color="auto" w:fill="FF3F6C"/>
            <w:tcMar>
              <w:top w:w="100" w:type="dxa"/>
              <w:left w:w="100" w:type="dxa"/>
              <w:bottom w:w="100" w:type="dxa"/>
              <w:right w:w="100" w:type="dxa"/>
            </w:tcMar>
          </w:tcPr>
          <w:p w14:paraId="0892C22F" w14:textId="77777777" w:rsidR="0056703F" w:rsidRDefault="00000000">
            <w:pPr>
              <w:jc w:val="center"/>
            </w:pPr>
            <w:r>
              <w:rPr>
                <w:rFonts w:ascii="Arial" w:eastAsia="Arial" w:hAnsi="Arial" w:cs="Arial"/>
                <w:b/>
                <w:bCs/>
                <w:color w:val="FFFFFF"/>
              </w:rPr>
              <w:t>07</w:t>
            </w:r>
          </w:p>
        </w:tc>
        <w:tc>
          <w:tcPr>
            <w:tcW w:w="2720" w:type="dxa"/>
            <w:tcBorders>
              <w:top w:val="nil"/>
              <w:left w:val="nil"/>
              <w:bottom w:val="single" w:sz="1" w:space="0" w:color="E0E0E0"/>
              <w:right w:val="nil"/>
            </w:tcBorders>
            <w:tcMar>
              <w:top w:w="100" w:type="dxa"/>
              <w:left w:w="120" w:type="dxa"/>
              <w:bottom w:w="100" w:type="dxa"/>
              <w:right w:w="200" w:type="dxa"/>
            </w:tcMar>
          </w:tcPr>
          <w:p w14:paraId="013031E3" w14:textId="77777777" w:rsidR="0056703F" w:rsidRDefault="00000000">
            <w:r>
              <w:rPr>
                <w:rFonts w:ascii="Arial" w:eastAsia="Arial" w:hAnsi="Arial" w:cs="Arial"/>
                <w:color w:val="535766"/>
              </w:rPr>
              <w:t>Recommendations — A/B tested next steps</w:t>
            </w:r>
          </w:p>
        </w:tc>
      </w:tr>
    </w:tbl>
    <w:p w14:paraId="7A293C4F" w14:textId="77777777" w:rsidR="0056703F" w:rsidRDefault="0056703F">
      <w:pPr>
        <w:sectPr w:rsidR="0056703F">
          <w:headerReference w:type="default" r:id="rId9"/>
          <w:footerReference w:type="default" r:id="rId10"/>
          <w:pgSz w:w="12240" w:h="15840"/>
          <w:pgMar w:top="1440" w:right="1440" w:bottom="1440" w:left="1440" w:header="708" w:footer="708" w:gutter="0"/>
          <w:cols w:space="720"/>
          <w:docGrid w:linePitch="360"/>
        </w:sectPr>
      </w:pPr>
    </w:p>
    <w:p w14:paraId="1AFBA7D0" w14:textId="77777777" w:rsidR="0056703F" w:rsidRDefault="00000000">
      <w:pPr>
        <w:spacing w:after="80"/>
      </w:pPr>
      <w:r>
        <w:rPr>
          <w:rFonts w:ascii="Arial" w:eastAsia="Arial" w:hAnsi="Arial" w:cs="Arial"/>
          <w:b/>
          <w:bCs/>
          <w:color w:val="FF3F6C"/>
          <w:sz w:val="18"/>
          <w:szCs w:val="18"/>
        </w:rPr>
        <w:lastRenderedPageBreak/>
        <w:t xml:space="preserve">PAGE </w:t>
      </w:r>
      <w:proofErr w:type="gramStart"/>
      <w:r>
        <w:rPr>
          <w:rFonts w:ascii="Arial" w:eastAsia="Arial" w:hAnsi="Arial" w:cs="Arial"/>
          <w:b/>
          <w:bCs/>
          <w:color w:val="FF3F6C"/>
          <w:sz w:val="18"/>
          <w:szCs w:val="18"/>
        </w:rPr>
        <w:t>02  /</w:t>
      </w:r>
      <w:proofErr w:type="gramEnd"/>
      <w:r>
        <w:rPr>
          <w:rFonts w:ascii="Arial" w:eastAsia="Arial" w:hAnsi="Arial" w:cs="Arial"/>
          <w:b/>
          <w:bCs/>
          <w:color w:val="FF3F6C"/>
          <w:sz w:val="18"/>
          <w:szCs w:val="18"/>
        </w:rPr>
        <w:t xml:space="preserve">  BUSINESS HEALTH VITALS</w:t>
      </w:r>
    </w:p>
    <w:p w14:paraId="4361913B" w14:textId="77777777" w:rsidR="0056703F" w:rsidRDefault="00000000">
      <w:pPr>
        <w:spacing w:after="80"/>
      </w:pPr>
      <w:r>
        <w:rPr>
          <w:rFonts w:ascii="Arial" w:eastAsia="Arial" w:hAnsi="Arial" w:cs="Arial"/>
          <w:b/>
          <w:bCs/>
          <w:color w:val="2D2D2D"/>
          <w:sz w:val="36"/>
          <w:szCs w:val="36"/>
        </w:rPr>
        <w:t>The Numbers That Tell the Real Story</w:t>
      </w:r>
    </w:p>
    <w:p w14:paraId="110D66E4" w14:textId="77777777" w:rsidR="0056703F" w:rsidRDefault="00000000">
      <w:pPr>
        <w:spacing w:after="160"/>
      </w:pPr>
      <w:r>
        <w:rPr>
          <w:rFonts w:ascii="Arial" w:eastAsia="Arial" w:hAnsi="Arial" w:cs="Arial"/>
          <w:i/>
          <w:iCs/>
          <w:color w:val="535766"/>
          <w:sz w:val="22"/>
          <w:szCs w:val="22"/>
        </w:rPr>
        <w:t>Before diving into individual charts, here is a quick snapshot of where the category stands right now.</w:t>
      </w:r>
    </w:p>
    <w:p w14:paraId="4A31063B" w14:textId="77777777" w:rsidR="0056703F" w:rsidRDefault="0056703F">
      <w:pPr>
        <w:pBdr>
          <w:bottom w:val="single" w:sz="12" w:space="1" w:color="FF3F6C"/>
        </w:pBdr>
        <w:spacing w:after="120"/>
      </w:pPr>
    </w:p>
    <w:p w14:paraId="55C8D143" w14:textId="77777777" w:rsidR="0056703F" w:rsidRDefault="00000000">
      <w:pPr>
        <w:spacing w:before="80" w:after="60"/>
        <w:jc w:val="center"/>
      </w:pPr>
      <w:r>
        <w:rPr>
          <w:noProof/>
        </w:rPr>
        <w:drawing>
          <wp:inline distT="0" distB="0" distL="0" distR="0" wp14:anchorId="267CBE27" wp14:editId="1A97AF2B">
            <wp:extent cx="6191250" cy="476250"/>
            <wp:effectExtent l="0" t="0" r="0" b="0"/>
            <wp:docPr id="51010118" name="Picture 5101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476250"/>
                    </a:xfrm>
                    <a:prstGeom prst="rect">
                      <a:avLst/>
                    </a:prstGeom>
                  </pic:spPr>
                </pic:pic>
              </a:graphicData>
            </a:graphic>
          </wp:inline>
        </w:drawing>
      </w:r>
    </w:p>
    <w:p w14:paraId="1410CA4A" w14:textId="77777777" w:rsidR="0056703F" w:rsidRDefault="00000000">
      <w:pPr>
        <w:spacing w:after="200"/>
        <w:jc w:val="center"/>
      </w:pPr>
      <w:r>
        <w:rPr>
          <w:rFonts w:ascii="Arial" w:eastAsia="Arial" w:hAnsi="Arial" w:cs="Arial"/>
          <w:i/>
          <w:iCs/>
          <w:color w:val="888888"/>
          <w:sz w:val="18"/>
          <w:szCs w:val="18"/>
        </w:rPr>
        <w:t>KPI Banner — Myntra Category Command Center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6703F" w14:paraId="0F84E5A0" w14:textId="77777777">
        <w:tblPrEx>
          <w:tblCellMar>
            <w:top w:w="0" w:type="dxa"/>
            <w:bottom w:w="0" w:type="dxa"/>
          </w:tblCellMar>
        </w:tblPrEx>
        <w:tc>
          <w:tcPr>
            <w:tcW w:w="1872" w:type="dxa"/>
            <w:tcBorders>
              <w:top w:val="single" w:sz="4" w:space="0" w:color="FF3F6C"/>
              <w:left w:val="nil"/>
              <w:bottom w:val="single" w:sz="1" w:space="0" w:color="E0E0E0"/>
              <w:right w:val="nil"/>
            </w:tcBorders>
            <w:shd w:val="clear" w:color="auto" w:fill="F5F5F5"/>
            <w:tcMar>
              <w:top w:w="120" w:type="dxa"/>
              <w:left w:w="160" w:type="dxa"/>
              <w:bottom w:w="120" w:type="dxa"/>
              <w:right w:w="160" w:type="dxa"/>
            </w:tcMar>
          </w:tcPr>
          <w:p w14:paraId="632D2F47" w14:textId="2DC4F2D1" w:rsidR="0056703F" w:rsidRDefault="00000000">
            <w:pPr>
              <w:jc w:val="center"/>
            </w:pPr>
            <w:r>
              <w:rPr>
                <w:rFonts w:ascii="Arial" w:eastAsia="Arial" w:hAnsi="Arial" w:cs="Arial"/>
                <w:b/>
                <w:bCs/>
                <w:color w:val="FF3F6C"/>
                <w:sz w:val="36"/>
                <w:szCs w:val="36"/>
              </w:rPr>
              <w:t>102.59M</w:t>
            </w:r>
          </w:p>
          <w:p w14:paraId="577BB20D" w14:textId="77777777" w:rsidR="0056703F" w:rsidRDefault="00000000">
            <w:pPr>
              <w:spacing w:before="40"/>
              <w:jc w:val="center"/>
            </w:pPr>
            <w:r>
              <w:rPr>
                <w:rFonts w:ascii="Arial" w:eastAsia="Arial" w:hAnsi="Arial" w:cs="Arial"/>
                <w:color w:val="888888"/>
                <w:sz w:val="18"/>
                <w:szCs w:val="18"/>
              </w:rPr>
              <w:t>Total Revenue</w:t>
            </w:r>
          </w:p>
        </w:tc>
        <w:tc>
          <w:tcPr>
            <w:tcW w:w="1872" w:type="dxa"/>
            <w:tcBorders>
              <w:top w:val="single" w:sz="4" w:space="0" w:color="FF3F6C"/>
              <w:left w:val="nil"/>
              <w:bottom w:val="single" w:sz="1" w:space="0" w:color="E0E0E0"/>
              <w:right w:val="nil"/>
            </w:tcBorders>
            <w:shd w:val="clear" w:color="auto" w:fill="F5F5F5"/>
            <w:tcMar>
              <w:top w:w="120" w:type="dxa"/>
              <w:left w:w="160" w:type="dxa"/>
              <w:bottom w:w="120" w:type="dxa"/>
              <w:right w:w="160" w:type="dxa"/>
            </w:tcMar>
          </w:tcPr>
          <w:p w14:paraId="3F6A6ED8" w14:textId="2AEBA926" w:rsidR="0056703F" w:rsidRDefault="00000000">
            <w:pPr>
              <w:jc w:val="center"/>
            </w:pPr>
            <w:r>
              <w:rPr>
                <w:rFonts w:ascii="Arial" w:eastAsia="Arial" w:hAnsi="Arial" w:cs="Arial"/>
                <w:b/>
                <w:bCs/>
                <w:color w:val="FF3F6C"/>
                <w:sz w:val="36"/>
                <w:szCs w:val="36"/>
              </w:rPr>
              <w:t>15.35bn</w:t>
            </w:r>
          </w:p>
          <w:p w14:paraId="712B314D" w14:textId="77777777" w:rsidR="0056703F" w:rsidRDefault="00000000">
            <w:pPr>
              <w:spacing w:before="40"/>
              <w:jc w:val="center"/>
            </w:pPr>
            <w:r>
              <w:rPr>
                <w:rFonts w:ascii="Arial" w:eastAsia="Arial" w:hAnsi="Arial" w:cs="Arial"/>
                <w:color w:val="888888"/>
                <w:sz w:val="18"/>
                <w:szCs w:val="18"/>
              </w:rPr>
              <w:t>Net Profit</w:t>
            </w:r>
          </w:p>
        </w:tc>
        <w:tc>
          <w:tcPr>
            <w:tcW w:w="1872" w:type="dxa"/>
            <w:tcBorders>
              <w:top w:val="single" w:sz="4" w:space="0" w:color="FF3F6C"/>
              <w:left w:val="nil"/>
              <w:bottom w:val="single" w:sz="1" w:space="0" w:color="E0E0E0"/>
              <w:right w:val="nil"/>
            </w:tcBorders>
            <w:shd w:val="clear" w:color="auto" w:fill="F5F5F5"/>
            <w:tcMar>
              <w:top w:w="120" w:type="dxa"/>
              <w:left w:w="160" w:type="dxa"/>
              <w:bottom w:w="120" w:type="dxa"/>
              <w:right w:w="160" w:type="dxa"/>
            </w:tcMar>
          </w:tcPr>
          <w:p w14:paraId="210F5933" w14:textId="77777777" w:rsidR="0056703F" w:rsidRDefault="00000000">
            <w:pPr>
              <w:jc w:val="center"/>
            </w:pPr>
            <w:r>
              <w:rPr>
                <w:rFonts w:ascii="Arial" w:eastAsia="Arial" w:hAnsi="Arial" w:cs="Arial"/>
                <w:b/>
                <w:bCs/>
                <w:color w:val="FF3F6C"/>
                <w:sz w:val="36"/>
                <w:szCs w:val="36"/>
              </w:rPr>
              <w:t>14%</w:t>
            </w:r>
          </w:p>
          <w:p w14:paraId="64DDC7AD" w14:textId="77777777" w:rsidR="0056703F" w:rsidRDefault="00000000">
            <w:pPr>
              <w:spacing w:before="40"/>
              <w:jc w:val="center"/>
            </w:pPr>
            <w:r>
              <w:rPr>
                <w:rFonts w:ascii="Arial" w:eastAsia="Arial" w:hAnsi="Arial" w:cs="Arial"/>
                <w:color w:val="888888"/>
                <w:sz w:val="18"/>
                <w:szCs w:val="18"/>
              </w:rPr>
              <w:t>Return Rate</w:t>
            </w:r>
          </w:p>
        </w:tc>
        <w:tc>
          <w:tcPr>
            <w:tcW w:w="1872" w:type="dxa"/>
            <w:tcBorders>
              <w:top w:val="single" w:sz="4" w:space="0" w:color="FF3F6C"/>
              <w:left w:val="nil"/>
              <w:bottom w:val="single" w:sz="1" w:space="0" w:color="E0E0E0"/>
              <w:right w:val="nil"/>
            </w:tcBorders>
            <w:shd w:val="clear" w:color="auto" w:fill="F5F5F5"/>
            <w:tcMar>
              <w:top w:w="120" w:type="dxa"/>
              <w:left w:w="160" w:type="dxa"/>
              <w:bottom w:w="120" w:type="dxa"/>
              <w:right w:w="160" w:type="dxa"/>
            </w:tcMar>
          </w:tcPr>
          <w:p w14:paraId="2B4222FF" w14:textId="77777777" w:rsidR="0056703F" w:rsidRDefault="00000000">
            <w:pPr>
              <w:jc w:val="center"/>
            </w:pPr>
            <w:r>
              <w:rPr>
                <w:rFonts w:ascii="Arial" w:eastAsia="Arial" w:hAnsi="Arial" w:cs="Arial"/>
                <w:b/>
                <w:bCs/>
                <w:color w:val="FF3F6C"/>
                <w:sz w:val="36"/>
                <w:szCs w:val="36"/>
              </w:rPr>
              <w:t>0.27</w:t>
            </w:r>
          </w:p>
          <w:p w14:paraId="234560BD" w14:textId="77777777" w:rsidR="0056703F" w:rsidRDefault="00000000">
            <w:pPr>
              <w:spacing w:before="40"/>
              <w:jc w:val="center"/>
            </w:pPr>
            <w:r>
              <w:rPr>
                <w:rFonts w:ascii="Arial" w:eastAsia="Arial" w:hAnsi="Arial" w:cs="Arial"/>
                <w:color w:val="888888"/>
                <w:sz w:val="18"/>
                <w:szCs w:val="18"/>
              </w:rPr>
              <w:t>Sell-Through Rate</w:t>
            </w:r>
          </w:p>
        </w:tc>
        <w:tc>
          <w:tcPr>
            <w:tcW w:w="1872" w:type="dxa"/>
            <w:tcBorders>
              <w:top w:val="single" w:sz="4" w:space="0" w:color="FF3F6C"/>
              <w:left w:val="nil"/>
              <w:bottom w:val="single" w:sz="1" w:space="0" w:color="E0E0E0"/>
              <w:right w:val="nil"/>
            </w:tcBorders>
            <w:shd w:val="clear" w:color="auto" w:fill="F5F5F5"/>
            <w:tcMar>
              <w:top w:w="120" w:type="dxa"/>
              <w:left w:w="160" w:type="dxa"/>
              <w:bottom w:w="120" w:type="dxa"/>
              <w:right w:w="160" w:type="dxa"/>
            </w:tcMar>
          </w:tcPr>
          <w:p w14:paraId="379CECCE" w14:textId="77777777" w:rsidR="0056703F" w:rsidRDefault="00000000">
            <w:pPr>
              <w:jc w:val="center"/>
            </w:pPr>
            <w:r>
              <w:rPr>
                <w:rFonts w:ascii="Arial" w:eastAsia="Arial" w:hAnsi="Arial" w:cs="Arial"/>
                <w:b/>
                <w:bCs/>
                <w:color w:val="FF3F6C"/>
                <w:sz w:val="36"/>
                <w:szCs w:val="36"/>
              </w:rPr>
              <w:t>15%</w:t>
            </w:r>
          </w:p>
          <w:p w14:paraId="1A3572E1" w14:textId="77777777" w:rsidR="0056703F" w:rsidRDefault="00000000">
            <w:pPr>
              <w:spacing w:before="40"/>
              <w:jc w:val="center"/>
            </w:pPr>
            <w:r>
              <w:rPr>
                <w:rFonts w:ascii="Arial" w:eastAsia="Arial" w:hAnsi="Arial" w:cs="Arial"/>
                <w:color w:val="888888"/>
                <w:sz w:val="18"/>
                <w:szCs w:val="18"/>
              </w:rPr>
              <w:t>Gross Margin</w:t>
            </w:r>
          </w:p>
        </w:tc>
      </w:tr>
    </w:tbl>
    <w:p w14:paraId="7869F454" w14:textId="77777777" w:rsidR="0056703F" w:rsidRDefault="0056703F">
      <w:pPr>
        <w:spacing w:after="320"/>
      </w:pPr>
    </w:p>
    <w:p w14:paraId="13CF261E" w14:textId="77777777" w:rsidR="0056703F" w:rsidRDefault="00000000">
      <w:pPr>
        <w:spacing w:before="240" w:after="80"/>
      </w:pPr>
      <w:r>
        <w:rPr>
          <w:rFonts w:ascii="Arial" w:eastAsia="Arial" w:hAnsi="Arial" w:cs="Arial"/>
          <w:b/>
          <w:bCs/>
          <w:color w:val="FF3F6C"/>
          <w:sz w:val="24"/>
          <w:szCs w:val="24"/>
        </w:rPr>
        <w:t>The Problem</w:t>
      </w:r>
    </w:p>
    <w:p w14:paraId="0CF5FA15" w14:textId="77777777" w:rsidR="0056703F" w:rsidRDefault="00000000">
      <w:pPr>
        <w:spacing w:after="100"/>
      </w:pPr>
      <w:r>
        <w:rPr>
          <w:rFonts w:ascii="Arial" w:eastAsia="Arial" w:hAnsi="Arial" w:cs="Arial"/>
          <w:color w:val="535766"/>
          <w:sz w:val="22"/>
          <w:szCs w:val="22"/>
        </w:rPr>
        <w:t>The revenue number looks strong on paper — $102.59M is a solid top line. But once you look past it, a few cracks start to show. The gross margin sits at just 15%, which is well below where a healthy category should be. And with a return rate of 14%, we are essentially processing one return for every seven orders. That adds up fast — in shipping costs, in handling, and in lost customer trust.</w:t>
      </w:r>
    </w:p>
    <w:p w14:paraId="5387BF69" w14:textId="77777777" w:rsidR="0056703F" w:rsidRDefault="00000000">
      <w:pPr>
        <w:spacing w:after="100"/>
      </w:pPr>
      <w:r>
        <w:rPr>
          <w:rFonts w:ascii="Arial" w:eastAsia="Arial" w:hAnsi="Arial" w:cs="Arial"/>
          <w:color w:val="535766"/>
          <w:sz w:val="22"/>
          <w:szCs w:val="22"/>
        </w:rPr>
        <w:t>The Sell-Through Rate of 0.27 is the other concern. It means almost three-quarters of our inventory is not moving at the pace it should. That is a supply-demand mismatch that needs attention.</w:t>
      </w:r>
    </w:p>
    <w:p w14:paraId="19C6F970" w14:textId="77777777" w:rsidR="0056703F" w:rsidRDefault="00000000">
      <w:pPr>
        <w:spacing w:before="240" w:after="80"/>
      </w:pPr>
      <w:r>
        <w:rPr>
          <w:rFonts w:ascii="Arial" w:eastAsia="Arial" w:hAnsi="Arial" w:cs="Arial"/>
          <w:b/>
          <w:bCs/>
          <w:color w:val="FF3F6C"/>
          <w:sz w:val="24"/>
          <w:szCs w:val="24"/>
        </w:rPr>
        <w:t>What I Built</w:t>
      </w:r>
    </w:p>
    <w:p w14:paraId="015BEC72" w14:textId="77777777" w:rsidR="0056703F" w:rsidRDefault="00000000">
      <w:pPr>
        <w:spacing w:after="100"/>
      </w:pPr>
      <w:r>
        <w:rPr>
          <w:rFonts w:ascii="Arial" w:eastAsia="Arial" w:hAnsi="Arial" w:cs="Arial"/>
          <w:color w:val="535766"/>
          <w:sz w:val="22"/>
          <w:szCs w:val="22"/>
        </w:rPr>
        <w:t xml:space="preserve">I created this KPI summary view specifically so that the category team does not have to dig through raw data every morning. Everything critical — revenue, profit, margin, return rate, STR — is visible in one place. Each metric is </w:t>
      </w:r>
      <w:proofErr w:type="spellStart"/>
      <w:r>
        <w:rPr>
          <w:rFonts w:ascii="Arial" w:eastAsia="Arial" w:hAnsi="Arial" w:cs="Arial"/>
          <w:color w:val="535766"/>
          <w:sz w:val="22"/>
          <w:szCs w:val="22"/>
        </w:rPr>
        <w:t>colour</w:t>
      </w:r>
      <w:proofErr w:type="spellEnd"/>
      <w:r>
        <w:rPr>
          <w:rFonts w:ascii="Arial" w:eastAsia="Arial" w:hAnsi="Arial" w:cs="Arial"/>
          <w:color w:val="535766"/>
          <w:sz w:val="22"/>
          <w:szCs w:val="22"/>
        </w:rPr>
        <w:t>-coded so you can instantly spot which numbers are healthy and which ones need a conversation.</w:t>
      </w:r>
    </w:p>
    <w:p w14:paraId="3E8A9214" w14:textId="77777777" w:rsidR="0056703F" w:rsidRDefault="00000000">
      <w:pPr>
        <w:spacing w:before="240" w:after="80"/>
      </w:pPr>
      <w:r>
        <w:rPr>
          <w:rFonts w:ascii="Arial" w:eastAsia="Arial" w:hAnsi="Arial" w:cs="Arial"/>
          <w:b/>
          <w:bCs/>
          <w:color w:val="FF3F6C"/>
          <w:sz w:val="24"/>
          <w:szCs w:val="24"/>
        </w:rPr>
        <w:t>The Real Benefit</w:t>
      </w:r>
    </w:p>
    <w:p w14:paraId="6512D9BD" w14:textId="77777777" w:rsidR="0056703F" w:rsidRDefault="0056703F">
      <w:pPr>
        <w:spacing w:after="40"/>
      </w:pPr>
    </w:p>
    <w:p w14:paraId="1F38101D" w14:textId="77777777" w:rsidR="0056703F" w:rsidRDefault="00000000">
      <w:pPr>
        <w:pStyle w:val="ListParagraph"/>
        <w:numPr>
          <w:ilvl w:val="0"/>
          <w:numId w:val="2"/>
        </w:numPr>
      </w:pPr>
      <w:r>
        <w:rPr>
          <w:rFonts w:ascii="Arial" w:eastAsia="Arial" w:hAnsi="Arial" w:cs="Arial"/>
          <w:b/>
          <w:bCs/>
          <w:color w:val="2D2D2D"/>
          <w:sz w:val="22"/>
          <w:szCs w:val="22"/>
        </w:rPr>
        <w:t xml:space="preserve">Saves time: </w:t>
      </w:r>
      <w:r>
        <w:rPr>
          <w:rFonts w:ascii="Arial" w:eastAsia="Arial" w:hAnsi="Arial" w:cs="Arial"/>
          <w:color w:val="535766"/>
          <w:sz w:val="22"/>
          <w:szCs w:val="22"/>
        </w:rPr>
        <w:t>the team can get a full category health check in under 60 seconds.</w:t>
      </w:r>
    </w:p>
    <w:p w14:paraId="44CEE3F4" w14:textId="77777777" w:rsidR="0056703F" w:rsidRDefault="00000000">
      <w:pPr>
        <w:pStyle w:val="ListParagraph"/>
        <w:numPr>
          <w:ilvl w:val="0"/>
          <w:numId w:val="2"/>
        </w:numPr>
      </w:pPr>
      <w:r>
        <w:rPr>
          <w:rFonts w:ascii="Arial" w:eastAsia="Arial" w:hAnsi="Arial" w:cs="Arial"/>
          <w:b/>
          <w:bCs/>
          <w:color w:val="2D2D2D"/>
          <w:sz w:val="22"/>
          <w:szCs w:val="22"/>
        </w:rPr>
        <w:t xml:space="preserve">Triggers action: </w:t>
      </w:r>
      <w:r>
        <w:rPr>
          <w:rFonts w:ascii="Arial" w:eastAsia="Arial" w:hAnsi="Arial" w:cs="Arial"/>
          <w:color w:val="535766"/>
          <w:sz w:val="22"/>
          <w:szCs w:val="22"/>
        </w:rPr>
        <w:t>a low STR or rising return rate becomes visible before it becomes a crisis.</w:t>
      </w:r>
    </w:p>
    <w:p w14:paraId="500BE30D" w14:textId="77777777" w:rsidR="0056703F" w:rsidRDefault="00000000">
      <w:pPr>
        <w:pStyle w:val="ListParagraph"/>
        <w:numPr>
          <w:ilvl w:val="0"/>
          <w:numId w:val="2"/>
        </w:numPr>
      </w:pPr>
      <w:r>
        <w:rPr>
          <w:rFonts w:ascii="Arial" w:eastAsia="Arial" w:hAnsi="Arial" w:cs="Arial"/>
          <w:b/>
          <w:bCs/>
          <w:color w:val="2D2D2D"/>
          <w:sz w:val="22"/>
          <w:szCs w:val="22"/>
        </w:rPr>
        <w:t xml:space="preserve">Aligns stakeholders: </w:t>
      </w:r>
      <w:r>
        <w:rPr>
          <w:rFonts w:ascii="Arial" w:eastAsia="Arial" w:hAnsi="Arial" w:cs="Arial"/>
          <w:color w:val="535766"/>
          <w:sz w:val="22"/>
          <w:szCs w:val="22"/>
        </w:rPr>
        <w:t>leadership and operations are looking at the same numbers, no version confusion.</w:t>
      </w:r>
    </w:p>
    <w:p w14:paraId="73125AA3" w14:textId="77777777" w:rsidR="0056703F" w:rsidRDefault="0056703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03F" w14:paraId="10344F6A" w14:textId="77777777">
        <w:tblPrEx>
          <w:tblCellMar>
            <w:top w:w="0" w:type="dxa"/>
            <w:bottom w:w="0" w:type="dxa"/>
          </w:tblCellMar>
        </w:tblPrEx>
        <w:tc>
          <w:tcPr>
            <w:tcW w:w="9360" w:type="dxa"/>
            <w:tcBorders>
              <w:top w:val="single" w:sz="12" w:space="0" w:color="FF3F6C"/>
              <w:left w:val="single" w:sz="1" w:space="0" w:color="FFCCDA"/>
              <w:bottom w:val="single" w:sz="1" w:space="0" w:color="FFCCDA"/>
              <w:right w:val="single" w:sz="1" w:space="0" w:color="FFCCDA"/>
            </w:tcBorders>
            <w:shd w:val="clear" w:color="auto" w:fill="FFF0F4"/>
            <w:tcMar>
              <w:top w:w="140" w:type="dxa"/>
              <w:left w:w="200" w:type="dxa"/>
              <w:bottom w:w="140" w:type="dxa"/>
              <w:right w:w="200" w:type="dxa"/>
            </w:tcMar>
          </w:tcPr>
          <w:p w14:paraId="222C1527" w14:textId="37DA9801" w:rsidR="0056703F" w:rsidRDefault="00000000">
            <w:pPr>
              <w:spacing w:after="40"/>
            </w:pPr>
            <w:r>
              <w:rPr>
                <w:rFonts w:ascii="Arial" w:eastAsia="Arial" w:hAnsi="Arial" w:cs="Arial"/>
                <w:color w:val="2D2D2D"/>
                <w:sz w:val="21"/>
                <w:szCs w:val="21"/>
              </w:rPr>
              <w:t>Key Takeaway:  The category is generating strong revenue, but margin pressure and a high return rate are quietly eroding profitability. The 15.35bn net profit figure is encouraging — but it is only sustainable if we fix the 14% return problem and improve sell-through.</w:t>
            </w:r>
          </w:p>
        </w:tc>
      </w:tr>
    </w:tbl>
    <w:p w14:paraId="41D74B9B" w14:textId="77777777" w:rsidR="0056703F" w:rsidRDefault="0056703F">
      <w:pPr>
        <w:sectPr w:rsidR="0056703F">
          <w:headerReference w:type="default" r:id="rId12"/>
          <w:footerReference w:type="default" r:id="rId13"/>
          <w:pgSz w:w="12240" w:h="15840"/>
          <w:pgMar w:top="1440" w:right="1440" w:bottom="1440" w:left="1440" w:header="708" w:footer="708" w:gutter="0"/>
          <w:cols w:space="720"/>
          <w:docGrid w:linePitch="360"/>
        </w:sectPr>
      </w:pPr>
    </w:p>
    <w:p w14:paraId="7B7C58B0" w14:textId="77777777" w:rsidR="0056703F" w:rsidRDefault="00000000">
      <w:pPr>
        <w:spacing w:after="80"/>
      </w:pPr>
      <w:r>
        <w:rPr>
          <w:rFonts w:ascii="Arial" w:eastAsia="Arial" w:hAnsi="Arial" w:cs="Arial"/>
          <w:b/>
          <w:bCs/>
          <w:color w:val="FF3F6C"/>
          <w:sz w:val="18"/>
          <w:szCs w:val="18"/>
        </w:rPr>
        <w:t xml:space="preserve">PAGE </w:t>
      </w:r>
      <w:proofErr w:type="gramStart"/>
      <w:r>
        <w:rPr>
          <w:rFonts w:ascii="Arial" w:eastAsia="Arial" w:hAnsi="Arial" w:cs="Arial"/>
          <w:b/>
          <w:bCs/>
          <w:color w:val="FF3F6C"/>
          <w:sz w:val="18"/>
          <w:szCs w:val="18"/>
        </w:rPr>
        <w:t>03  /</w:t>
      </w:r>
      <w:proofErr w:type="gramEnd"/>
      <w:r>
        <w:rPr>
          <w:rFonts w:ascii="Arial" w:eastAsia="Arial" w:hAnsi="Arial" w:cs="Arial"/>
          <w:b/>
          <w:bCs/>
          <w:color w:val="FF3F6C"/>
          <w:sz w:val="18"/>
          <w:szCs w:val="18"/>
        </w:rPr>
        <w:t xml:space="preserve">  PRICING &amp; DISCOUNT STRATEGY</w:t>
      </w:r>
    </w:p>
    <w:p w14:paraId="6C6360E7" w14:textId="77777777" w:rsidR="0056703F" w:rsidRDefault="00000000">
      <w:pPr>
        <w:spacing w:after="80"/>
      </w:pPr>
      <w:r>
        <w:rPr>
          <w:rFonts w:ascii="Arial" w:eastAsia="Arial" w:hAnsi="Arial" w:cs="Arial"/>
          <w:b/>
          <w:bCs/>
          <w:color w:val="2D2D2D"/>
          <w:sz w:val="36"/>
          <w:szCs w:val="36"/>
        </w:rPr>
        <w:t>Are We Discounting Our Way Out of Profit?</w:t>
      </w:r>
    </w:p>
    <w:p w14:paraId="3B897F9F" w14:textId="77777777" w:rsidR="0056703F" w:rsidRDefault="00000000">
      <w:pPr>
        <w:spacing w:after="160"/>
      </w:pPr>
      <w:r>
        <w:rPr>
          <w:rFonts w:ascii="Arial" w:eastAsia="Arial" w:hAnsi="Arial" w:cs="Arial"/>
          <w:i/>
          <w:iCs/>
          <w:color w:val="535766"/>
          <w:sz w:val="22"/>
          <w:szCs w:val="22"/>
        </w:rPr>
        <w:t>A scatter plot analysis of how discounts are performing across the Ethnic Wear category.</w:t>
      </w:r>
    </w:p>
    <w:p w14:paraId="24F1BA6D" w14:textId="77777777" w:rsidR="0056703F" w:rsidRDefault="0056703F">
      <w:pPr>
        <w:pBdr>
          <w:bottom w:val="single" w:sz="12" w:space="1" w:color="FF3F6C"/>
        </w:pBdr>
        <w:spacing w:after="120"/>
      </w:pPr>
    </w:p>
    <w:p w14:paraId="68899BE5" w14:textId="77777777" w:rsidR="0056703F" w:rsidRDefault="00000000">
      <w:pPr>
        <w:spacing w:before="80" w:after="60"/>
        <w:jc w:val="center"/>
      </w:pPr>
      <w:r>
        <w:rPr>
          <w:noProof/>
        </w:rPr>
        <w:drawing>
          <wp:inline distT="0" distB="0" distL="0" distR="0" wp14:anchorId="4827C5A9" wp14:editId="38D6B159">
            <wp:extent cx="3810000" cy="3305175"/>
            <wp:effectExtent l="0" t="0" r="0" b="0"/>
            <wp:docPr id="1402714106" name="Picture 140271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3305175"/>
                    </a:xfrm>
                    <a:prstGeom prst="rect">
                      <a:avLst/>
                    </a:prstGeom>
                  </pic:spPr>
                </pic:pic>
              </a:graphicData>
            </a:graphic>
          </wp:inline>
        </w:drawing>
      </w:r>
    </w:p>
    <w:p w14:paraId="022E9828" w14:textId="77777777" w:rsidR="0056703F" w:rsidRDefault="00000000">
      <w:pPr>
        <w:spacing w:after="200"/>
        <w:jc w:val="center"/>
      </w:pPr>
      <w:r>
        <w:rPr>
          <w:rFonts w:ascii="Arial" w:eastAsia="Arial" w:hAnsi="Arial" w:cs="Arial"/>
          <w:i/>
          <w:iCs/>
          <w:color w:val="888888"/>
          <w:sz w:val="18"/>
          <w:szCs w:val="18"/>
        </w:rPr>
        <w:t>Discount Performance — Revenue vs. Discount % (Scatter Plot)</w:t>
      </w:r>
    </w:p>
    <w:p w14:paraId="508FE297" w14:textId="77777777" w:rsidR="0056703F" w:rsidRDefault="00000000">
      <w:pPr>
        <w:spacing w:before="240" w:after="80"/>
      </w:pPr>
      <w:r>
        <w:rPr>
          <w:rFonts w:ascii="Arial" w:eastAsia="Arial" w:hAnsi="Arial" w:cs="Arial"/>
          <w:b/>
          <w:bCs/>
          <w:color w:val="FF3F6C"/>
          <w:sz w:val="24"/>
          <w:szCs w:val="24"/>
        </w:rPr>
        <w:t>The Problem</w:t>
      </w:r>
    </w:p>
    <w:p w14:paraId="3AF48D34" w14:textId="77777777" w:rsidR="0056703F" w:rsidRDefault="00000000">
      <w:pPr>
        <w:spacing w:after="100"/>
      </w:pPr>
      <w:r>
        <w:rPr>
          <w:rFonts w:ascii="Arial" w:eastAsia="Arial" w:hAnsi="Arial" w:cs="Arial"/>
          <w:color w:val="535766"/>
          <w:sz w:val="22"/>
          <w:szCs w:val="22"/>
        </w:rPr>
        <w:t xml:space="preserve">We have been running aggressive discounts across Libas and </w:t>
      </w:r>
      <w:proofErr w:type="spellStart"/>
      <w:r>
        <w:rPr>
          <w:rFonts w:ascii="Arial" w:eastAsia="Arial" w:hAnsi="Arial" w:cs="Arial"/>
          <w:color w:val="535766"/>
          <w:sz w:val="22"/>
          <w:szCs w:val="22"/>
        </w:rPr>
        <w:t>FabIndia</w:t>
      </w:r>
      <w:proofErr w:type="spellEnd"/>
      <w:r>
        <w:rPr>
          <w:rFonts w:ascii="Arial" w:eastAsia="Arial" w:hAnsi="Arial" w:cs="Arial"/>
          <w:color w:val="535766"/>
          <w:sz w:val="22"/>
          <w:szCs w:val="22"/>
        </w:rPr>
        <w:t>, assuming deeper cuts drive higher revenue. The scatter chart tells a different story. Revenue does not keep climbing as discounts go deeper — it actually plateaus, and in some cases drops, beyond the 40% mark.</w:t>
      </w:r>
    </w:p>
    <w:p w14:paraId="52D9E645" w14:textId="77777777" w:rsidR="0056703F" w:rsidRDefault="00000000">
      <w:pPr>
        <w:spacing w:after="100"/>
      </w:pPr>
      <w:r>
        <w:rPr>
          <w:rFonts w:ascii="Arial" w:eastAsia="Arial" w:hAnsi="Arial" w:cs="Arial"/>
          <w:color w:val="535766"/>
          <w:sz w:val="22"/>
          <w:szCs w:val="22"/>
        </w:rPr>
        <w:t>This means we are giving away margin without getting proportional revenue in return. That is a double loss: lower price and no extra volume to compensate.</w:t>
      </w:r>
    </w:p>
    <w:p w14:paraId="0C63D1DE" w14:textId="77777777" w:rsidR="0056703F" w:rsidRDefault="00000000">
      <w:pPr>
        <w:spacing w:before="240" w:after="80"/>
      </w:pPr>
      <w:r>
        <w:rPr>
          <w:rFonts w:ascii="Arial" w:eastAsia="Arial" w:hAnsi="Arial" w:cs="Arial"/>
          <w:b/>
          <w:bCs/>
          <w:color w:val="FF3F6C"/>
          <w:sz w:val="24"/>
          <w:szCs w:val="24"/>
        </w:rPr>
        <w:t>What I Built</w:t>
      </w:r>
    </w:p>
    <w:p w14:paraId="6C76DB3B" w14:textId="77777777" w:rsidR="0056703F" w:rsidRDefault="00000000">
      <w:pPr>
        <w:spacing w:after="100"/>
      </w:pPr>
      <w:r>
        <w:rPr>
          <w:rFonts w:ascii="Arial" w:eastAsia="Arial" w:hAnsi="Arial" w:cs="Arial"/>
          <w:color w:val="535766"/>
          <w:sz w:val="22"/>
          <w:szCs w:val="22"/>
        </w:rPr>
        <w:t>This scatter plot maps every promotional event — revenue earned on the Y-axis, discount percentage on the X-axis. The cluster of dots shows a clear sweet spot: most of the revenue is being generated in the 15–30% discount range. Beyond 40%, the dots thin out and spread low, which visually confirms the diminishing return.</w:t>
      </w:r>
    </w:p>
    <w:p w14:paraId="26C55F5F" w14:textId="77777777" w:rsidR="0056703F" w:rsidRDefault="00000000">
      <w:pPr>
        <w:spacing w:after="100"/>
      </w:pPr>
      <w:r>
        <w:rPr>
          <w:rFonts w:ascii="Arial" w:eastAsia="Arial" w:hAnsi="Arial" w:cs="Arial"/>
          <w:color w:val="535766"/>
          <w:sz w:val="22"/>
          <w:szCs w:val="22"/>
        </w:rPr>
        <w:t>I ran an A/B test to validate this hypothesis. The Z-Score came out at 2.94 — statistically significant at a 99% confidence level. The test revealed a profit gap of $1.04M between the optimal discount band and the current aggressive discounting approach.</w:t>
      </w:r>
    </w:p>
    <w:p w14:paraId="7CE87994" w14:textId="77777777" w:rsidR="0056703F" w:rsidRDefault="00000000">
      <w:pPr>
        <w:spacing w:before="240" w:after="80"/>
      </w:pPr>
      <w:r>
        <w:rPr>
          <w:rFonts w:ascii="Arial" w:eastAsia="Arial" w:hAnsi="Arial" w:cs="Arial"/>
          <w:b/>
          <w:bCs/>
          <w:color w:val="FF3F6C"/>
          <w:sz w:val="24"/>
          <w:szCs w:val="24"/>
        </w:rPr>
        <w:t>The Real Benefit</w:t>
      </w:r>
    </w:p>
    <w:p w14:paraId="7D8D1A33" w14:textId="77777777" w:rsidR="0056703F" w:rsidRDefault="0056703F">
      <w:pPr>
        <w:spacing w:after="40"/>
      </w:pPr>
    </w:p>
    <w:p w14:paraId="2933050C" w14:textId="2DA1E388" w:rsidR="0056703F" w:rsidRDefault="00000000">
      <w:pPr>
        <w:pStyle w:val="ListParagraph"/>
        <w:numPr>
          <w:ilvl w:val="0"/>
          <w:numId w:val="2"/>
        </w:numPr>
      </w:pPr>
      <w:r>
        <w:rPr>
          <w:rFonts w:ascii="Arial" w:eastAsia="Arial" w:hAnsi="Arial" w:cs="Arial"/>
          <w:b/>
          <w:bCs/>
          <w:color w:val="2D2D2D"/>
          <w:sz w:val="22"/>
          <w:szCs w:val="22"/>
        </w:rPr>
        <w:t xml:space="preserve">1.04M recoverable profit </w:t>
      </w:r>
      <w:r>
        <w:rPr>
          <w:rFonts w:ascii="Arial" w:eastAsia="Arial" w:hAnsi="Arial" w:cs="Arial"/>
          <w:color w:val="535766"/>
          <w:sz w:val="22"/>
          <w:szCs w:val="22"/>
        </w:rPr>
        <w:t>by simply capping deep discounts and redirecting spend to the 15–30% band.</w:t>
      </w:r>
    </w:p>
    <w:p w14:paraId="25557434" w14:textId="77777777" w:rsidR="0056703F" w:rsidRDefault="00000000">
      <w:pPr>
        <w:pStyle w:val="ListParagraph"/>
        <w:numPr>
          <w:ilvl w:val="0"/>
          <w:numId w:val="2"/>
        </w:numPr>
      </w:pPr>
      <w:r>
        <w:rPr>
          <w:rFonts w:ascii="Arial" w:eastAsia="Arial" w:hAnsi="Arial" w:cs="Arial"/>
          <w:b/>
          <w:bCs/>
          <w:color w:val="2D2D2D"/>
          <w:sz w:val="22"/>
          <w:szCs w:val="22"/>
        </w:rPr>
        <w:t xml:space="preserve">Z-Score 2.94 </w:t>
      </w:r>
      <w:r>
        <w:rPr>
          <w:rFonts w:ascii="Arial" w:eastAsia="Arial" w:hAnsi="Arial" w:cs="Arial"/>
          <w:color w:val="535766"/>
          <w:sz w:val="22"/>
          <w:szCs w:val="22"/>
        </w:rPr>
        <w:t>means this is not a gut feeling — it is statistically validated and boardroom-ready.</w:t>
      </w:r>
    </w:p>
    <w:p w14:paraId="5A57B65F" w14:textId="77777777" w:rsidR="0056703F" w:rsidRDefault="00000000">
      <w:pPr>
        <w:pStyle w:val="ListParagraph"/>
        <w:numPr>
          <w:ilvl w:val="0"/>
          <w:numId w:val="2"/>
        </w:numPr>
      </w:pPr>
      <w:r>
        <w:rPr>
          <w:rFonts w:ascii="Arial" w:eastAsia="Arial" w:hAnsi="Arial" w:cs="Arial"/>
          <w:b/>
          <w:bCs/>
          <w:color w:val="2D2D2D"/>
          <w:sz w:val="22"/>
          <w:szCs w:val="22"/>
        </w:rPr>
        <w:t xml:space="preserve">Practical rule: </w:t>
      </w:r>
      <w:r>
        <w:rPr>
          <w:rFonts w:ascii="Arial" w:eastAsia="Arial" w:hAnsi="Arial" w:cs="Arial"/>
          <w:color w:val="535766"/>
          <w:sz w:val="22"/>
          <w:szCs w:val="22"/>
        </w:rPr>
        <w:t>a 30% discount cap on Libas and W during non-sale periods protects contribution margin immediately.</w:t>
      </w:r>
    </w:p>
    <w:p w14:paraId="71FC3F4A" w14:textId="77777777" w:rsidR="0056703F" w:rsidRDefault="0056703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03F" w14:paraId="3CCE7D93" w14:textId="77777777">
        <w:tblPrEx>
          <w:tblCellMar>
            <w:top w:w="0" w:type="dxa"/>
            <w:bottom w:w="0" w:type="dxa"/>
          </w:tblCellMar>
        </w:tblPrEx>
        <w:tc>
          <w:tcPr>
            <w:tcW w:w="9360" w:type="dxa"/>
            <w:tcBorders>
              <w:top w:val="single" w:sz="12" w:space="0" w:color="FF3F6C"/>
              <w:left w:val="single" w:sz="1" w:space="0" w:color="FFCCDA"/>
              <w:bottom w:val="single" w:sz="1" w:space="0" w:color="FFCCDA"/>
              <w:right w:val="single" w:sz="1" w:space="0" w:color="FFCCDA"/>
            </w:tcBorders>
            <w:shd w:val="clear" w:color="auto" w:fill="FFF0F4"/>
            <w:tcMar>
              <w:top w:w="140" w:type="dxa"/>
              <w:left w:w="200" w:type="dxa"/>
              <w:bottom w:w="140" w:type="dxa"/>
              <w:right w:w="200" w:type="dxa"/>
            </w:tcMar>
          </w:tcPr>
          <w:p w14:paraId="7514DF7C" w14:textId="460AF691" w:rsidR="0056703F" w:rsidRDefault="00000000">
            <w:pPr>
              <w:spacing w:after="40"/>
            </w:pPr>
            <w:r>
              <w:rPr>
                <w:rFonts w:ascii="Arial" w:eastAsia="Arial" w:hAnsi="Arial" w:cs="Arial"/>
                <w:color w:val="2D2D2D"/>
                <w:sz w:val="21"/>
                <w:szCs w:val="21"/>
              </w:rPr>
              <w:t>Key Takeaway:  Discounting is not bad — but our current approach goes too deep for too little return. The A/B test (Z = 2.94) proves a 1.04M profit gap exists between our current strategy and the optimal one. This is the single highest-ROI fix available to the category right now.</w:t>
            </w:r>
          </w:p>
        </w:tc>
      </w:tr>
    </w:tbl>
    <w:p w14:paraId="58B44F09" w14:textId="77777777" w:rsidR="0056703F" w:rsidRDefault="0056703F">
      <w:pPr>
        <w:sectPr w:rsidR="0056703F" w:rsidSect="00B612D6">
          <w:headerReference w:type="default" r:id="rId15"/>
          <w:footerReference w:type="default" r:id="rId16"/>
          <w:pgSz w:w="12240" w:h="15840"/>
          <w:pgMar w:top="720" w:right="720" w:bottom="720" w:left="720" w:header="708" w:footer="708" w:gutter="0"/>
          <w:cols w:space="720"/>
          <w:docGrid w:linePitch="360"/>
        </w:sectPr>
      </w:pPr>
    </w:p>
    <w:p w14:paraId="1848F5EC" w14:textId="77777777" w:rsidR="0056703F" w:rsidRDefault="00000000">
      <w:pPr>
        <w:spacing w:after="80"/>
      </w:pPr>
      <w:r>
        <w:rPr>
          <w:rFonts w:ascii="Arial" w:eastAsia="Arial" w:hAnsi="Arial" w:cs="Arial"/>
          <w:b/>
          <w:bCs/>
          <w:color w:val="FF3F6C"/>
          <w:sz w:val="18"/>
          <w:szCs w:val="18"/>
        </w:rPr>
        <w:t xml:space="preserve">PAGE </w:t>
      </w:r>
      <w:proofErr w:type="gramStart"/>
      <w:r>
        <w:rPr>
          <w:rFonts w:ascii="Arial" w:eastAsia="Arial" w:hAnsi="Arial" w:cs="Arial"/>
          <w:b/>
          <w:bCs/>
          <w:color w:val="FF3F6C"/>
          <w:sz w:val="18"/>
          <w:szCs w:val="18"/>
        </w:rPr>
        <w:t>04  /</w:t>
      </w:r>
      <w:proofErr w:type="gramEnd"/>
      <w:r>
        <w:rPr>
          <w:rFonts w:ascii="Arial" w:eastAsia="Arial" w:hAnsi="Arial" w:cs="Arial"/>
          <w:b/>
          <w:bCs/>
          <w:color w:val="FF3F6C"/>
          <w:sz w:val="18"/>
          <w:szCs w:val="18"/>
        </w:rPr>
        <w:t xml:space="preserve">  RATING vs RETURNS PARADOX</w:t>
      </w:r>
    </w:p>
    <w:p w14:paraId="420F168E" w14:textId="77777777" w:rsidR="0056703F" w:rsidRDefault="00000000">
      <w:pPr>
        <w:spacing w:after="80"/>
      </w:pPr>
      <w:r>
        <w:rPr>
          <w:rFonts w:ascii="Arial" w:eastAsia="Arial" w:hAnsi="Arial" w:cs="Arial"/>
          <w:b/>
          <w:bCs/>
          <w:color w:val="2D2D2D"/>
          <w:sz w:val="36"/>
          <w:szCs w:val="36"/>
        </w:rPr>
        <w:t>High Ratings, High Returns — Something Doesn't Add Up</w:t>
      </w:r>
    </w:p>
    <w:p w14:paraId="57E12BC9" w14:textId="77777777" w:rsidR="0056703F" w:rsidRDefault="00000000">
      <w:pPr>
        <w:spacing w:after="160"/>
      </w:pPr>
      <w:r>
        <w:rPr>
          <w:rFonts w:ascii="Arial" w:eastAsia="Arial" w:hAnsi="Arial" w:cs="Arial"/>
          <w:i/>
          <w:iCs/>
          <w:color w:val="535766"/>
          <w:sz w:val="22"/>
          <w:szCs w:val="22"/>
        </w:rPr>
        <w:t>Why are customers rating products well and still returning them in large numbers?</w:t>
      </w:r>
    </w:p>
    <w:p w14:paraId="7459B4EE" w14:textId="77777777" w:rsidR="0056703F" w:rsidRDefault="0056703F">
      <w:pPr>
        <w:pBdr>
          <w:bottom w:val="single" w:sz="12" w:space="1" w:color="FF3F6C"/>
        </w:pBdr>
        <w:spacing w:after="120"/>
      </w:pPr>
    </w:p>
    <w:p w14:paraId="307EF26B" w14:textId="77777777" w:rsidR="0056703F" w:rsidRDefault="00000000">
      <w:pPr>
        <w:spacing w:before="80" w:after="60"/>
        <w:jc w:val="center"/>
      </w:pPr>
      <w:r>
        <w:rPr>
          <w:noProof/>
        </w:rPr>
        <w:drawing>
          <wp:inline distT="0" distB="0" distL="0" distR="0" wp14:anchorId="1F5E6BB7" wp14:editId="045710CB">
            <wp:extent cx="4572000" cy="2924175"/>
            <wp:effectExtent l="0" t="0" r="0" b="0"/>
            <wp:docPr id="1995380134" name="Picture 199538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924175"/>
                    </a:xfrm>
                    <a:prstGeom prst="rect">
                      <a:avLst/>
                    </a:prstGeom>
                  </pic:spPr>
                </pic:pic>
              </a:graphicData>
            </a:graphic>
          </wp:inline>
        </w:drawing>
      </w:r>
    </w:p>
    <w:p w14:paraId="1126B257" w14:textId="77777777" w:rsidR="0056703F" w:rsidRDefault="00000000">
      <w:pPr>
        <w:spacing w:after="200"/>
        <w:jc w:val="center"/>
      </w:pPr>
      <w:r>
        <w:rPr>
          <w:rFonts w:ascii="Arial" w:eastAsia="Arial" w:hAnsi="Arial" w:cs="Arial"/>
          <w:i/>
          <w:iCs/>
          <w:color w:val="888888"/>
          <w:sz w:val="18"/>
          <w:szCs w:val="18"/>
        </w:rPr>
        <w:t>Rating vs Returns — Customer Rating Score vs. Return Quantity by Brand</w:t>
      </w:r>
    </w:p>
    <w:p w14:paraId="14946151" w14:textId="77777777" w:rsidR="0056703F" w:rsidRDefault="00000000">
      <w:pPr>
        <w:spacing w:before="240" w:after="80"/>
      </w:pPr>
      <w:r>
        <w:rPr>
          <w:rFonts w:ascii="Arial" w:eastAsia="Arial" w:hAnsi="Arial" w:cs="Arial"/>
          <w:b/>
          <w:bCs/>
          <w:color w:val="FF3F6C"/>
          <w:sz w:val="24"/>
          <w:szCs w:val="24"/>
        </w:rPr>
        <w:t>The Problem</w:t>
      </w:r>
    </w:p>
    <w:p w14:paraId="1B660C43" w14:textId="77777777" w:rsidR="0056703F" w:rsidRDefault="00000000">
      <w:pPr>
        <w:spacing w:after="100"/>
      </w:pPr>
      <w:r>
        <w:rPr>
          <w:rFonts w:ascii="Arial" w:eastAsia="Arial" w:hAnsi="Arial" w:cs="Arial"/>
          <w:color w:val="535766"/>
          <w:sz w:val="22"/>
          <w:szCs w:val="22"/>
        </w:rPr>
        <w:t>Conventionally, you would expect high-rated products to have low returns. Customers love them, so they keep them. But this chart breaks that assumption completely.</w:t>
      </w:r>
    </w:p>
    <w:p w14:paraId="34F123C8" w14:textId="77777777" w:rsidR="0056703F" w:rsidRDefault="00000000">
      <w:pPr>
        <w:spacing w:after="100"/>
      </w:pPr>
      <w:r>
        <w:rPr>
          <w:rFonts w:ascii="Arial" w:eastAsia="Arial" w:hAnsi="Arial" w:cs="Arial"/>
          <w:color w:val="535766"/>
          <w:sz w:val="22"/>
          <w:szCs w:val="22"/>
        </w:rPr>
        <w:t>Libas has a customer rating around 850 — reasonably good — and yet it has the highest return volume in the entire category, hovering close to 3,000 returns per quarter. Biba sits near a 900 rating and still sees close to 2,000 returns. This is the paradox: the products are not bad, but they are coming back anyway.</w:t>
      </w:r>
    </w:p>
    <w:p w14:paraId="21F68766" w14:textId="77777777" w:rsidR="0056703F" w:rsidRDefault="00000000">
      <w:pPr>
        <w:spacing w:before="240" w:after="80"/>
      </w:pPr>
      <w:r>
        <w:rPr>
          <w:rFonts w:ascii="Arial" w:eastAsia="Arial" w:hAnsi="Arial" w:cs="Arial"/>
          <w:b/>
          <w:bCs/>
          <w:color w:val="FF3F6C"/>
          <w:sz w:val="24"/>
          <w:szCs w:val="24"/>
        </w:rPr>
        <w:t>What I Built</w:t>
      </w:r>
    </w:p>
    <w:p w14:paraId="09B5226F" w14:textId="77777777" w:rsidR="0056703F" w:rsidRDefault="00000000">
      <w:pPr>
        <w:spacing w:after="100"/>
      </w:pPr>
      <w:r>
        <w:rPr>
          <w:rFonts w:ascii="Arial" w:eastAsia="Arial" w:hAnsi="Arial" w:cs="Arial"/>
          <w:color w:val="535766"/>
          <w:sz w:val="22"/>
          <w:szCs w:val="22"/>
        </w:rPr>
        <w:t>This scatter plot plots each brand by its average customer rating on the X-axis and total return quantity on the Y-axis. The visual immediately shows the anomaly — brands like Libas and W are in the upper portion of the chart (high returns) regardless of their rating scores.</w:t>
      </w:r>
    </w:p>
    <w:p w14:paraId="04F6AFA7" w14:textId="77777777" w:rsidR="0056703F" w:rsidRDefault="00000000">
      <w:pPr>
        <w:spacing w:after="100"/>
      </w:pPr>
      <w:r>
        <w:rPr>
          <w:rFonts w:ascii="Arial" w:eastAsia="Arial" w:hAnsi="Arial" w:cs="Arial"/>
          <w:color w:val="535766"/>
          <w:sz w:val="22"/>
          <w:szCs w:val="22"/>
        </w:rPr>
        <w:t>After cross-referencing with the Return Root Cause data, the answer becomes clear: the returns are not driven by product quality complaints. They are overwhelmingly driven by size and fit issues — customers love the product but it does not fit the way they expected.</w:t>
      </w:r>
    </w:p>
    <w:p w14:paraId="06BD5D68" w14:textId="77777777" w:rsidR="0056703F" w:rsidRDefault="00000000">
      <w:pPr>
        <w:spacing w:before="240" w:after="80"/>
      </w:pPr>
      <w:r>
        <w:rPr>
          <w:rFonts w:ascii="Arial" w:eastAsia="Arial" w:hAnsi="Arial" w:cs="Arial"/>
          <w:b/>
          <w:bCs/>
          <w:color w:val="FF3F6C"/>
          <w:sz w:val="24"/>
          <w:szCs w:val="24"/>
        </w:rPr>
        <w:t>The Real Benefit</w:t>
      </w:r>
    </w:p>
    <w:p w14:paraId="29B51A0D" w14:textId="77777777" w:rsidR="0056703F" w:rsidRDefault="0056703F">
      <w:pPr>
        <w:spacing w:after="40"/>
      </w:pPr>
    </w:p>
    <w:p w14:paraId="23B53233" w14:textId="77777777" w:rsidR="0056703F" w:rsidRDefault="00000000">
      <w:pPr>
        <w:pStyle w:val="ListParagraph"/>
        <w:numPr>
          <w:ilvl w:val="0"/>
          <w:numId w:val="2"/>
        </w:numPr>
      </w:pPr>
      <w:r>
        <w:rPr>
          <w:rFonts w:ascii="Arial" w:eastAsia="Arial" w:hAnsi="Arial" w:cs="Arial"/>
          <w:b/>
          <w:bCs/>
          <w:color w:val="2D2D2D"/>
          <w:sz w:val="22"/>
          <w:szCs w:val="22"/>
        </w:rPr>
        <w:t xml:space="preserve">Reframes the solution: </w:t>
      </w:r>
      <w:r>
        <w:rPr>
          <w:rFonts w:ascii="Arial" w:eastAsia="Arial" w:hAnsi="Arial" w:cs="Arial"/>
          <w:color w:val="535766"/>
          <w:sz w:val="22"/>
          <w:szCs w:val="22"/>
        </w:rPr>
        <w:t>instead of improving product quality (which is already good), we fix size guides and fit recommendations on the product pages.</w:t>
      </w:r>
    </w:p>
    <w:p w14:paraId="7953A152" w14:textId="77777777" w:rsidR="0056703F" w:rsidRDefault="00000000">
      <w:pPr>
        <w:pStyle w:val="ListParagraph"/>
        <w:numPr>
          <w:ilvl w:val="0"/>
          <w:numId w:val="2"/>
        </w:numPr>
      </w:pPr>
      <w:r>
        <w:rPr>
          <w:rFonts w:ascii="Arial" w:eastAsia="Arial" w:hAnsi="Arial" w:cs="Arial"/>
          <w:b/>
          <w:bCs/>
          <w:color w:val="2D2D2D"/>
          <w:sz w:val="22"/>
          <w:szCs w:val="22"/>
        </w:rPr>
        <w:t xml:space="preserve">58% of returns are Size/Fit related — </w:t>
      </w:r>
      <w:r>
        <w:rPr>
          <w:rFonts w:ascii="Arial" w:eastAsia="Arial" w:hAnsi="Arial" w:cs="Arial"/>
          <w:color w:val="535766"/>
          <w:sz w:val="22"/>
          <w:szCs w:val="22"/>
        </w:rPr>
        <w:t>this is the single biggest return driver and the most fixable one.</w:t>
      </w:r>
    </w:p>
    <w:p w14:paraId="1860BBFB" w14:textId="77777777" w:rsidR="0056703F" w:rsidRDefault="00000000">
      <w:pPr>
        <w:pStyle w:val="ListParagraph"/>
        <w:numPr>
          <w:ilvl w:val="0"/>
          <w:numId w:val="2"/>
        </w:numPr>
      </w:pPr>
      <w:r>
        <w:rPr>
          <w:rFonts w:ascii="Arial" w:eastAsia="Arial" w:hAnsi="Arial" w:cs="Arial"/>
          <w:b/>
          <w:bCs/>
          <w:color w:val="2D2D2D"/>
          <w:sz w:val="22"/>
          <w:szCs w:val="22"/>
        </w:rPr>
        <w:t xml:space="preserve">An AI-powered size recommendation </w:t>
      </w:r>
      <w:r>
        <w:rPr>
          <w:rFonts w:ascii="Arial" w:eastAsia="Arial" w:hAnsi="Arial" w:cs="Arial"/>
          <w:color w:val="535766"/>
          <w:sz w:val="22"/>
          <w:szCs w:val="22"/>
        </w:rPr>
        <w:t>on Libas and Biba PDPs could reduce returns by 15–20%, saving an estimated $600K–$720K annually.</w:t>
      </w:r>
    </w:p>
    <w:p w14:paraId="521842F5" w14:textId="77777777" w:rsidR="0056703F" w:rsidRDefault="0056703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03F" w14:paraId="720F80C0" w14:textId="77777777">
        <w:tblPrEx>
          <w:tblCellMar>
            <w:top w:w="0" w:type="dxa"/>
            <w:bottom w:w="0" w:type="dxa"/>
          </w:tblCellMar>
        </w:tblPrEx>
        <w:tc>
          <w:tcPr>
            <w:tcW w:w="9360" w:type="dxa"/>
            <w:tcBorders>
              <w:top w:val="single" w:sz="12" w:space="0" w:color="FF3F6C"/>
              <w:left w:val="single" w:sz="1" w:space="0" w:color="FFCCDA"/>
              <w:bottom w:val="single" w:sz="1" w:space="0" w:color="FFCCDA"/>
              <w:right w:val="single" w:sz="1" w:space="0" w:color="FFCCDA"/>
            </w:tcBorders>
            <w:shd w:val="clear" w:color="auto" w:fill="FFF0F4"/>
            <w:tcMar>
              <w:top w:w="140" w:type="dxa"/>
              <w:left w:w="200" w:type="dxa"/>
              <w:bottom w:w="140" w:type="dxa"/>
              <w:right w:w="200" w:type="dxa"/>
            </w:tcMar>
          </w:tcPr>
          <w:p w14:paraId="07CD8261" w14:textId="77777777" w:rsidR="0056703F" w:rsidRDefault="00000000">
            <w:pPr>
              <w:spacing w:after="40"/>
            </w:pPr>
            <w:r>
              <w:rPr>
                <w:rFonts w:ascii="Arial" w:eastAsia="Arial" w:hAnsi="Arial" w:cs="Arial"/>
                <w:color w:val="2D2D2D"/>
                <w:sz w:val="21"/>
                <w:szCs w:val="21"/>
              </w:rPr>
              <w:t>Key Takeaway:  Customers are not returning because the product is bad — they are returning because it does not fit. The Rating vs Returns chart makes this visible in a way raw numbers never could. Fix the size chart, add a fit guide, and the return rate for Libas and Biba should drop meaningfully within one quarter.</w:t>
            </w:r>
          </w:p>
        </w:tc>
      </w:tr>
    </w:tbl>
    <w:p w14:paraId="57CB4AD2" w14:textId="77777777" w:rsidR="0056703F" w:rsidRDefault="0056703F">
      <w:pPr>
        <w:sectPr w:rsidR="0056703F">
          <w:headerReference w:type="default" r:id="rId18"/>
          <w:footerReference w:type="default" r:id="rId19"/>
          <w:pgSz w:w="12240" w:h="15840"/>
          <w:pgMar w:top="1440" w:right="1440" w:bottom="1440" w:left="1440" w:header="708" w:footer="708" w:gutter="0"/>
          <w:cols w:space="720"/>
          <w:docGrid w:linePitch="360"/>
        </w:sectPr>
      </w:pPr>
    </w:p>
    <w:p w14:paraId="2D024AE8" w14:textId="77777777" w:rsidR="0056703F" w:rsidRDefault="00000000">
      <w:pPr>
        <w:spacing w:after="80"/>
      </w:pPr>
      <w:r>
        <w:rPr>
          <w:rFonts w:ascii="Arial" w:eastAsia="Arial" w:hAnsi="Arial" w:cs="Arial"/>
          <w:b/>
          <w:bCs/>
          <w:color w:val="FF3F6C"/>
          <w:sz w:val="18"/>
          <w:szCs w:val="18"/>
        </w:rPr>
        <w:t xml:space="preserve">PAGE </w:t>
      </w:r>
      <w:proofErr w:type="gramStart"/>
      <w:r>
        <w:rPr>
          <w:rFonts w:ascii="Arial" w:eastAsia="Arial" w:hAnsi="Arial" w:cs="Arial"/>
          <w:b/>
          <w:bCs/>
          <w:color w:val="FF3F6C"/>
          <w:sz w:val="18"/>
          <w:szCs w:val="18"/>
        </w:rPr>
        <w:t>05  /</w:t>
      </w:r>
      <w:proofErr w:type="gramEnd"/>
      <w:r>
        <w:rPr>
          <w:rFonts w:ascii="Arial" w:eastAsia="Arial" w:hAnsi="Arial" w:cs="Arial"/>
          <w:b/>
          <w:bCs/>
          <w:color w:val="FF3F6C"/>
          <w:sz w:val="18"/>
          <w:szCs w:val="18"/>
        </w:rPr>
        <w:t xml:space="preserve">  RETURN ROOT CAUSE ANALYSIS</w:t>
      </w:r>
    </w:p>
    <w:p w14:paraId="4C008058" w14:textId="77777777" w:rsidR="0056703F" w:rsidRDefault="00000000">
      <w:pPr>
        <w:spacing w:after="80"/>
      </w:pPr>
      <w:r>
        <w:rPr>
          <w:rFonts w:ascii="Arial" w:eastAsia="Arial" w:hAnsi="Arial" w:cs="Arial"/>
          <w:b/>
          <w:bCs/>
          <w:color w:val="2D2D2D"/>
          <w:sz w:val="36"/>
          <w:szCs w:val="36"/>
        </w:rPr>
        <w:t>Why Are Customers Really Returning?</w:t>
      </w:r>
    </w:p>
    <w:p w14:paraId="4A48968C" w14:textId="77777777" w:rsidR="0056703F" w:rsidRDefault="00000000">
      <w:pPr>
        <w:spacing w:after="160"/>
      </w:pPr>
      <w:r>
        <w:rPr>
          <w:rFonts w:ascii="Arial" w:eastAsia="Arial" w:hAnsi="Arial" w:cs="Arial"/>
          <w:i/>
          <w:iCs/>
          <w:color w:val="535766"/>
          <w:sz w:val="22"/>
          <w:szCs w:val="22"/>
        </w:rPr>
        <w:t>Breaking down the 14% return rate into its root causes so we can fix the right things.</w:t>
      </w:r>
    </w:p>
    <w:p w14:paraId="5DC445E2" w14:textId="77777777" w:rsidR="0056703F" w:rsidRDefault="0056703F">
      <w:pPr>
        <w:pBdr>
          <w:bottom w:val="single" w:sz="12" w:space="1" w:color="FF3F6C"/>
        </w:pBdr>
        <w:spacing w:after="120"/>
      </w:pPr>
    </w:p>
    <w:p w14:paraId="4DB9E4D0" w14:textId="77777777" w:rsidR="0056703F" w:rsidRDefault="00000000">
      <w:pPr>
        <w:spacing w:before="80" w:after="60"/>
        <w:jc w:val="center"/>
      </w:pPr>
      <w:r>
        <w:rPr>
          <w:noProof/>
        </w:rPr>
        <w:drawing>
          <wp:inline distT="0" distB="0" distL="0" distR="0" wp14:anchorId="1B2BEFE6" wp14:editId="7F9F0E36">
            <wp:extent cx="4381500" cy="2714625"/>
            <wp:effectExtent l="0" t="0" r="0" b="0"/>
            <wp:docPr id="2026282393" name="Picture 202628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714625"/>
                    </a:xfrm>
                    <a:prstGeom prst="rect">
                      <a:avLst/>
                    </a:prstGeom>
                  </pic:spPr>
                </pic:pic>
              </a:graphicData>
            </a:graphic>
          </wp:inline>
        </w:drawing>
      </w:r>
    </w:p>
    <w:p w14:paraId="6F8BE71C" w14:textId="77777777" w:rsidR="0056703F" w:rsidRDefault="00000000">
      <w:pPr>
        <w:spacing w:after="200"/>
        <w:jc w:val="center"/>
      </w:pPr>
      <w:r>
        <w:rPr>
          <w:rFonts w:ascii="Arial" w:eastAsia="Arial" w:hAnsi="Arial" w:cs="Arial"/>
          <w:i/>
          <w:iCs/>
          <w:color w:val="888888"/>
          <w:sz w:val="18"/>
          <w:szCs w:val="18"/>
        </w:rPr>
        <w:t>Return Root Cause Analysis + Return Rate by Brand</w:t>
      </w:r>
    </w:p>
    <w:p w14:paraId="652E1E6C" w14:textId="77777777" w:rsidR="0056703F" w:rsidRDefault="00000000">
      <w:pPr>
        <w:spacing w:before="240" w:after="80"/>
      </w:pPr>
      <w:r>
        <w:rPr>
          <w:rFonts w:ascii="Arial" w:eastAsia="Arial" w:hAnsi="Arial" w:cs="Arial"/>
          <w:b/>
          <w:bCs/>
          <w:color w:val="FF3F6C"/>
          <w:sz w:val="24"/>
          <w:szCs w:val="24"/>
        </w:rPr>
        <w:t>The Problem</w:t>
      </w:r>
    </w:p>
    <w:p w14:paraId="3551FBD0" w14:textId="77777777" w:rsidR="0056703F" w:rsidRDefault="00000000">
      <w:pPr>
        <w:spacing w:after="100"/>
      </w:pPr>
      <w:r>
        <w:rPr>
          <w:rFonts w:ascii="Arial" w:eastAsia="Arial" w:hAnsi="Arial" w:cs="Arial"/>
          <w:color w:val="535766"/>
          <w:sz w:val="22"/>
          <w:szCs w:val="22"/>
        </w:rPr>
        <w:t>A 14% return rate sounds like a single problem. It is actually three or four different problems stacked on top of each other. Without breaking it down, any fix you implement is essentially guesswork — you might solve logistics damage and still see the overall return rate stay flat because the real issue is something else entirely.</w:t>
      </w:r>
    </w:p>
    <w:p w14:paraId="25362797" w14:textId="77777777" w:rsidR="0056703F" w:rsidRDefault="00000000">
      <w:pPr>
        <w:spacing w:after="100"/>
      </w:pPr>
      <w:r>
        <w:rPr>
          <w:rFonts w:ascii="Arial" w:eastAsia="Arial" w:hAnsi="Arial" w:cs="Arial"/>
          <w:color w:val="535766"/>
          <w:sz w:val="22"/>
          <w:szCs w:val="22"/>
        </w:rPr>
        <w:t xml:space="preserve">The root cause panel shows that Size/Fit issues are dominant across all four brands. Libas has the highest return rate, followed by W, Biba, and </w:t>
      </w:r>
      <w:proofErr w:type="spellStart"/>
      <w:r>
        <w:rPr>
          <w:rFonts w:ascii="Arial" w:eastAsia="Arial" w:hAnsi="Arial" w:cs="Arial"/>
          <w:color w:val="535766"/>
          <w:sz w:val="22"/>
          <w:szCs w:val="22"/>
        </w:rPr>
        <w:t>FabIndia</w:t>
      </w:r>
      <w:proofErr w:type="spellEnd"/>
      <w:r>
        <w:rPr>
          <w:rFonts w:ascii="Arial" w:eastAsia="Arial" w:hAnsi="Arial" w:cs="Arial"/>
          <w:color w:val="535766"/>
          <w:sz w:val="22"/>
          <w:szCs w:val="22"/>
        </w:rPr>
        <w:t>. Each brand has a slightly different return profile, which means the solution cannot be one-size-fits-all.</w:t>
      </w:r>
    </w:p>
    <w:p w14:paraId="29999B35" w14:textId="77777777" w:rsidR="0056703F" w:rsidRDefault="00000000">
      <w:pPr>
        <w:spacing w:before="240" w:after="80"/>
      </w:pPr>
      <w:r>
        <w:rPr>
          <w:rFonts w:ascii="Arial" w:eastAsia="Arial" w:hAnsi="Arial" w:cs="Arial"/>
          <w:b/>
          <w:bCs/>
          <w:color w:val="FF3F6C"/>
          <w:sz w:val="24"/>
          <w:szCs w:val="24"/>
        </w:rPr>
        <w:t>What I Built</w:t>
      </w:r>
    </w:p>
    <w:p w14:paraId="04E40172" w14:textId="77777777" w:rsidR="0056703F" w:rsidRDefault="00000000">
      <w:pPr>
        <w:spacing w:after="100"/>
      </w:pPr>
      <w:r>
        <w:rPr>
          <w:rFonts w:ascii="Arial" w:eastAsia="Arial" w:hAnsi="Arial" w:cs="Arial"/>
          <w:color w:val="535766"/>
          <w:sz w:val="22"/>
          <w:szCs w:val="22"/>
        </w:rPr>
        <w:t xml:space="preserve">The left panel </w:t>
      </w:r>
      <w:proofErr w:type="spellStart"/>
      <w:r>
        <w:rPr>
          <w:rFonts w:ascii="Arial" w:eastAsia="Arial" w:hAnsi="Arial" w:cs="Arial"/>
          <w:color w:val="535766"/>
          <w:sz w:val="22"/>
          <w:szCs w:val="22"/>
        </w:rPr>
        <w:t>categorises</w:t>
      </w:r>
      <w:proofErr w:type="spellEnd"/>
      <w:r>
        <w:rPr>
          <w:rFonts w:ascii="Arial" w:eastAsia="Arial" w:hAnsi="Arial" w:cs="Arial"/>
          <w:color w:val="535766"/>
          <w:sz w:val="22"/>
          <w:szCs w:val="22"/>
        </w:rPr>
        <w:t xml:space="preserve"> returns into four buckets: Size/Fit Issue, Style Mismatch, Quality Defect, and Logistics Damage. The bar chart on the right shows how return rates vary across Libas, W, Biba, and </w:t>
      </w:r>
      <w:proofErr w:type="spellStart"/>
      <w:r>
        <w:rPr>
          <w:rFonts w:ascii="Arial" w:eastAsia="Arial" w:hAnsi="Arial" w:cs="Arial"/>
          <w:color w:val="535766"/>
          <w:sz w:val="22"/>
          <w:szCs w:val="22"/>
        </w:rPr>
        <w:t>FabIndia</w:t>
      </w:r>
      <w:proofErr w:type="spellEnd"/>
      <w:r>
        <w:rPr>
          <w:rFonts w:ascii="Arial" w:eastAsia="Arial" w:hAnsi="Arial" w:cs="Arial"/>
          <w:color w:val="535766"/>
          <w:sz w:val="22"/>
          <w:szCs w:val="22"/>
        </w:rPr>
        <w:t xml:space="preserve"> — giving us a brand-level view, not just a category average.</w:t>
      </w:r>
    </w:p>
    <w:p w14:paraId="3A1826F1" w14:textId="77777777" w:rsidR="0056703F" w:rsidRDefault="00000000">
      <w:pPr>
        <w:spacing w:after="100"/>
      </w:pPr>
      <w:r>
        <w:rPr>
          <w:rFonts w:ascii="Arial" w:eastAsia="Arial" w:hAnsi="Arial" w:cs="Arial"/>
          <w:color w:val="535766"/>
          <w:sz w:val="22"/>
          <w:szCs w:val="22"/>
        </w:rPr>
        <w:t>Together, these two visuals let us answer two questions at once: what type of problem is it, and which brand has it worst. That combination is what makes targeted action possible.</w:t>
      </w:r>
    </w:p>
    <w:p w14:paraId="4B9AABB0" w14:textId="77777777" w:rsidR="0056703F" w:rsidRDefault="00000000">
      <w:pPr>
        <w:spacing w:before="240" w:after="80"/>
      </w:pPr>
      <w:r>
        <w:rPr>
          <w:rFonts w:ascii="Arial" w:eastAsia="Arial" w:hAnsi="Arial" w:cs="Arial"/>
          <w:b/>
          <w:bCs/>
          <w:color w:val="FF3F6C"/>
          <w:sz w:val="24"/>
          <w:szCs w:val="24"/>
        </w:rPr>
        <w:t>The Real Benefit</w:t>
      </w:r>
    </w:p>
    <w:p w14:paraId="07B96B5D" w14:textId="77777777" w:rsidR="0056703F" w:rsidRDefault="0056703F">
      <w:pPr>
        <w:spacing w:after="40"/>
      </w:pPr>
    </w:p>
    <w:p w14:paraId="6F587BE4" w14:textId="77777777" w:rsidR="0056703F" w:rsidRDefault="00000000">
      <w:pPr>
        <w:pStyle w:val="ListParagraph"/>
        <w:numPr>
          <w:ilvl w:val="0"/>
          <w:numId w:val="2"/>
        </w:numPr>
      </w:pPr>
      <w:r>
        <w:rPr>
          <w:rFonts w:ascii="Arial" w:eastAsia="Arial" w:hAnsi="Arial" w:cs="Arial"/>
          <w:b/>
          <w:bCs/>
          <w:color w:val="2D2D2D"/>
          <w:sz w:val="22"/>
          <w:szCs w:val="22"/>
        </w:rPr>
        <w:t xml:space="preserve">Size/Fit fixes (Libas + Biba): </w:t>
      </w:r>
      <w:r>
        <w:rPr>
          <w:rFonts w:ascii="Arial" w:eastAsia="Arial" w:hAnsi="Arial" w:cs="Arial"/>
          <w:color w:val="535766"/>
          <w:sz w:val="22"/>
          <w:szCs w:val="22"/>
        </w:rPr>
        <w:t>estimated 15–20% reduction in returns for these two brands alone.</w:t>
      </w:r>
    </w:p>
    <w:p w14:paraId="3095C101" w14:textId="77777777" w:rsidR="0056703F" w:rsidRDefault="00000000">
      <w:pPr>
        <w:pStyle w:val="ListParagraph"/>
        <w:numPr>
          <w:ilvl w:val="0"/>
          <w:numId w:val="2"/>
        </w:numPr>
      </w:pPr>
      <w:r>
        <w:rPr>
          <w:rFonts w:ascii="Arial" w:eastAsia="Arial" w:hAnsi="Arial" w:cs="Arial"/>
          <w:b/>
          <w:bCs/>
          <w:color w:val="2D2D2D"/>
          <w:sz w:val="22"/>
          <w:szCs w:val="22"/>
        </w:rPr>
        <w:t xml:space="preserve">Logistics audit: </w:t>
      </w:r>
      <w:r>
        <w:rPr>
          <w:rFonts w:ascii="Arial" w:eastAsia="Arial" w:hAnsi="Arial" w:cs="Arial"/>
          <w:color w:val="535766"/>
          <w:sz w:val="22"/>
          <w:szCs w:val="22"/>
        </w:rPr>
        <w:t>the 5–8% shipping cost saving identified through this analysis is statistically significant (Z = 2.94).</w:t>
      </w:r>
    </w:p>
    <w:p w14:paraId="7C1A21D8" w14:textId="77777777" w:rsidR="0056703F" w:rsidRDefault="00000000">
      <w:pPr>
        <w:pStyle w:val="ListParagraph"/>
        <w:numPr>
          <w:ilvl w:val="0"/>
          <w:numId w:val="2"/>
        </w:numPr>
      </w:pPr>
      <w:r>
        <w:rPr>
          <w:rFonts w:ascii="Arial" w:eastAsia="Arial" w:hAnsi="Arial" w:cs="Arial"/>
          <w:b/>
          <w:bCs/>
          <w:color w:val="2D2D2D"/>
          <w:sz w:val="22"/>
          <w:szCs w:val="22"/>
        </w:rPr>
        <w:t xml:space="preserve">Brand-level targeting: </w:t>
      </w:r>
      <w:r>
        <w:rPr>
          <w:rFonts w:ascii="Arial" w:eastAsia="Arial" w:hAnsi="Arial" w:cs="Arial"/>
          <w:color w:val="535766"/>
          <w:sz w:val="22"/>
          <w:szCs w:val="22"/>
        </w:rPr>
        <w:t xml:space="preserve">Libas needs a size guide overhaul. </w:t>
      </w:r>
      <w:proofErr w:type="spellStart"/>
      <w:r>
        <w:rPr>
          <w:rFonts w:ascii="Arial" w:eastAsia="Arial" w:hAnsi="Arial" w:cs="Arial"/>
          <w:color w:val="535766"/>
          <w:sz w:val="22"/>
          <w:szCs w:val="22"/>
        </w:rPr>
        <w:t>FabIndia</w:t>
      </w:r>
      <w:proofErr w:type="spellEnd"/>
      <w:r>
        <w:rPr>
          <w:rFonts w:ascii="Arial" w:eastAsia="Arial" w:hAnsi="Arial" w:cs="Arial"/>
          <w:color w:val="535766"/>
          <w:sz w:val="22"/>
          <w:szCs w:val="22"/>
        </w:rPr>
        <w:t xml:space="preserve"> needs better photography. W needs style accuracy improvements. One dashboard, three distinct action plans.</w:t>
      </w:r>
    </w:p>
    <w:p w14:paraId="11915D8C" w14:textId="77777777" w:rsidR="0056703F" w:rsidRDefault="0056703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03F" w14:paraId="77D7DA2F" w14:textId="77777777">
        <w:tblPrEx>
          <w:tblCellMar>
            <w:top w:w="0" w:type="dxa"/>
            <w:bottom w:w="0" w:type="dxa"/>
          </w:tblCellMar>
        </w:tblPrEx>
        <w:tc>
          <w:tcPr>
            <w:tcW w:w="9360" w:type="dxa"/>
            <w:tcBorders>
              <w:top w:val="single" w:sz="12" w:space="0" w:color="FF3F6C"/>
              <w:left w:val="single" w:sz="1" w:space="0" w:color="FFCCDA"/>
              <w:bottom w:val="single" w:sz="1" w:space="0" w:color="FFCCDA"/>
              <w:right w:val="single" w:sz="1" w:space="0" w:color="FFCCDA"/>
            </w:tcBorders>
            <w:shd w:val="clear" w:color="auto" w:fill="FFF0F4"/>
            <w:tcMar>
              <w:top w:w="140" w:type="dxa"/>
              <w:left w:w="200" w:type="dxa"/>
              <w:bottom w:w="140" w:type="dxa"/>
              <w:right w:w="200" w:type="dxa"/>
            </w:tcMar>
          </w:tcPr>
          <w:p w14:paraId="10BE83ED" w14:textId="77777777" w:rsidR="0056703F" w:rsidRDefault="00000000">
            <w:pPr>
              <w:spacing w:after="40"/>
            </w:pPr>
            <w:r>
              <w:rPr>
                <w:rFonts w:ascii="Arial" w:eastAsia="Arial" w:hAnsi="Arial" w:cs="Arial"/>
                <w:color w:val="2D2D2D"/>
                <w:sz w:val="21"/>
                <w:szCs w:val="21"/>
              </w:rPr>
              <w:t>Key Takeaway:  The 14% return rate is not one problem — it is a cluster of fixable issues. Size/Fit is the biggest driver, and it is entirely within our control to address. If we fix the top two root causes across the top two offending brands, we can realistically bring the category return rate below 10% within two quarters.</w:t>
            </w:r>
          </w:p>
        </w:tc>
      </w:tr>
    </w:tbl>
    <w:p w14:paraId="2EDA3B08" w14:textId="77777777" w:rsidR="0056703F" w:rsidRDefault="0056703F">
      <w:pPr>
        <w:sectPr w:rsidR="0056703F">
          <w:headerReference w:type="default" r:id="rId21"/>
          <w:footerReference w:type="default" r:id="rId22"/>
          <w:pgSz w:w="12240" w:h="15840"/>
          <w:pgMar w:top="1440" w:right="1440" w:bottom="1440" w:left="1440" w:header="708" w:footer="708" w:gutter="0"/>
          <w:cols w:space="720"/>
          <w:docGrid w:linePitch="360"/>
        </w:sectPr>
      </w:pPr>
    </w:p>
    <w:p w14:paraId="0517626C" w14:textId="77777777" w:rsidR="0056703F" w:rsidRDefault="00000000">
      <w:pPr>
        <w:spacing w:after="80"/>
      </w:pPr>
      <w:r>
        <w:rPr>
          <w:rFonts w:ascii="Arial" w:eastAsia="Arial" w:hAnsi="Arial" w:cs="Arial"/>
          <w:b/>
          <w:bCs/>
          <w:color w:val="FF3F6C"/>
          <w:sz w:val="18"/>
          <w:szCs w:val="18"/>
        </w:rPr>
        <w:t xml:space="preserve">PAGE </w:t>
      </w:r>
      <w:proofErr w:type="gramStart"/>
      <w:r>
        <w:rPr>
          <w:rFonts w:ascii="Arial" w:eastAsia="Arial" w:hAnsi="Arial" w:cs="Arial"/>
          <w:b/>
          <w:bCs/>
          <w:color w:val="FF3F6C"/>
          <w:sz w:val="18"/>
          <w:szCs w:val="18"/>
        </w:rPr>
        <w:t>06  /</w:t>
      </w:r>
      <w:proofErr w:type="gramEnd"/>
      <w:r>
        <w:rPr>
          <w:rFonts w:ascii="Arial" w:eastAsia="Arial" w:hAnsi="Arial" w:cs="Arial"/>
          <w:b/>
          <w:bCs/>
          <w:color w:val="FF3F6C"/>
          <w:sz w:val="18"/>
          <w:szCs w:val="18"/>
        </w:rPr>
        <w:t xml:space="preserve">  INVENTORY AGING RISK</w:t>
      </w:r>
    </w:p>
    <w:p w14:paraId="6D278BC5" w14:textId="77777777" w:rsidR="0056703F" w:rsidRDefault="00000000">
      <w:pPr>
        <w:spacing w:after="80"/>
      </w:pPr>
      <w:r>
        <w:rPr>
          <w:rFonts w:ascii="Arial" w:eastAsia="Arial" w:hAnsi="Arial" w:cs="Arial"/>
          <w:b/>
          <w:bCs/>
          <w:color w:val="2D2D2D"/>
          <w:sz w:val="36"/>
          <w:szCs w:val="36"/>
        </w:rPr>
        <w:t>Dead Capital: Stock That Stopped Moving</w:t>
      </w:r>
    </w:p>
    <w:p w14:paraId="2129E9CC" w14:textId="77777777" w:rsidR="0056703F" w:rsidRDefault="00000000">
      <w:pPr>
        <w:spacing w:after="160"/>
      </w:pPr>
      <w:r>
        <w:rPr>
          <w:rFonts w:ascii="Arial" w:eastAsia="Arial" w:hAnsi="Arial" w:cs="Arial"/>
          <w:i/>
          <w:iCs/>
          <w:color w:val="535766"/>
          <w:sz w:val="22"/>
          <w:szCs w:val="22"/>
        </w:rPr>
        <w:t>Ethnic Wear inventory aged between 125 and 146 days is tying up working capital and deepening markdown dependency.</w:t>
      </w:r>
    </w:p>
    <w:p w14:paraId="5FFAF9DE" w14:textId="77777777" w:rsidR="0056703F" w:rsidRDefault="0056703F">
      <w:pPr>
        <w:pBdr>
          <w:bottom w:val="single" w:sz="12" w:space="1" w:color="FF3F6C"/>
        </w:pBdr>
        <w:spacing w:after="120"/>
      </w:pPr>
    </w:p>
    <w:p w14:paraId="3A50B3C8" w14:textId="77777777" w:rsidR="0056703F" w:rsidRDefault="00000000">
      <w:pPr>
        <w:spacing w:before="80" w:after="60"/>
        <w:jc w:val="center"/>
      </w:pPr>
      <w:r>
        <w:rPr>
          <w:noProof/>
        </w:rPr>
        <w:drawing>
          <wp:inline distT="0" distB="0" distL="0" distR="0" wp14:anchorId="13F12EA6" wp14:editId="269741B1">
            <wp:extent cx="4572000" cy="3095625"/>
            <wp:effectExtent l="0" t="0" r="0" b="0"/>
            <wp:docPr id="139668328" name="Picture 139668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095625"/>
                    </a:xfrm>
                    <a:prstGeom prst="rect">
                      <a:avLst/>
                    </a:prstGeom>
                  </pic:spPr>
                </pic:pic>
              </a:graphicData>
            </a:graphic>
          </wp:inline>
        </w:drawing>
      </w:r>
    </w:p>
    <w:p w14:paraId="450DDC58" w14:textId="77777777" w:rsidR="0056703F" w:rsidRDefault="00000000">
      <w:pPr>
        <w:spacing w:after="200"/>
        <w:jc w:val="center"/>
      </w:pPr>
      <w:r>
        <w:rPr>
          <w:rFonts w:ascii="Arial" w:eastAsia="Arial" w:hAnsi="Arial" w:cs="Arial"/>
          <w:i/>
          <w:iCs/>
          <w:color w:val="888888"/>
          <w:sz w:val="18"/>
          <w:szCs w:val="18"/>
        </w:rPr>
        <w:t xml:space="preserve">Inventory Aging Risk — </w:t>
      </w:r>
      <w:proofErr w:type="spellStart"/>
      <w:r>
        <w:rPr>
          <w:rFonts w:ascii="Arial" w:eastAsia="Arial" w:hAnsi="Arial" w:cs="Arial"/>
          <w:i/>
          <w:iCs/>
          <w:color w:val="888888"/>
          <w:sz w:val="18"/>
          <w:szCs w:val="18"/>
        </w:rPr>
        <w:t>Treemap</w:t>
      </w:r>
      <w:proofErr w:type="spellEnd"/>
      <w:r>
        <w:rPr>
          <w:rFonts w:ascii="Arial" w:eastAsia="Arial" w:hAnsi="Arial" w:cs="Arial"/>
          <w:i/>
          <w:iCs/>
          <w:color w:val="888888"/>
          <w:sz w:val="18"/>
          <w:szCs w:val="18"/>
        </w:rPr>
        <w:t xml:space="preserve"> showing days-aged by brand and SKU bucket</w:t>
      </w:r>
    </w:p>
    <w:p w14:paraId="3FCAE9E5" w14:textId="77777777" w:rsidR="0056703F" w:rsidRDefault="00000000">
      <w:pPr>
        <w:spacing w:before="240" w:after="80"/>
      </w:pPr>
      <w:r>
        <w:rPr>
          <w:rFonts w:ascii="Arial" w:eastAsia="Arial" w:hAnsi="Arial" w:cs="Arial"/>
          <w:b/>
          <w:bCs/>
          <w:color w:val="FF3F6C"/>
          <w:sz w:val="24"/>
          <w:szCs w:val="24"/>
        </w:rPr>
        <w:t>The Problem</w:t>
      </w:r>
    </w:p>
    <w:p w14:paraId="667BCC6F" w14:textId="77777777" w:rsidR="0056703F" w:rsidRDefault="00000000">
      <w:pPr>
        <w:spacing w:after="100"/>
      </w:pPr>
      <w:r>
        <w:rPr>
          <w:rFonts w:ascii="Arial" w:eastAsia="Arial" w:hAnsi="Arial" w:cs="Arial"/>
          <w:color w:val="535766"/>
          <w:sz w:val="22"/>
          <w:szCs w:val="22"/>
        </w:rPr>
        <w:t xml:space="preserve">Look at the </w:t>
      </w:r>
      <w:proofErr w:type="spellStart"/>
      <w:r>
        <w:rPr>
          <w:rFonts w:ascii="Arial" w:eastAsia="Arial" w:hAnsi="Arial" w:cs="Arial"/>
          <w:color w:val="535766"/>
          <w:sz w:val="22"/>
          <w:szCs w:val="22"/>
        </w:rPr>
        <w:t>treemap</w:t>
      </w:r>
      <w:proofErr w:type="spellEnd"/>
      <w:r>
        <w:rPr>
          <w:rFonts w:ascii="Arial" w:eastAsia="Arial" w:hAnsi="Arial" w:cs="Arial"/>
          <w:color w:val="535766"/>
          <w:sz w:val="22"/>
          <w:szCs w:val="22"/>
        </w:rPr>
        <w:t xml:space="preserve">. The numbers inside those blocks are not product codes — they are days. 146 days. 145 days. 140 days. These are Ethnic Wear SKUs from Biba, W, and </w:t>
      </w:r>
      <w:proofErr w:type="spellStart"/>
      <w:r>
        <w:rPr>
          <w:rFonts w:ascii="Arial" w:eastAsia="Arial" w:hAnsi="Arial" w:cs="Arial"/>
          <w:color w:val="535766"/>
          <w:sz w:val="22"/>
          <w:szCs w:val="22"/>
        </w:rPr>
        <w:t>FabIndia</w:t>
      </w:r>
      <w:proofErr w:type="spellEnd"/>
      <w:r>
        <w:rPr>
          <w:rFonts w:ascii="Arial" w:eastAsia="Arial" w:hAnsi="Arial" w:cs="Arial"/>
          <w:color w:val="535766"/>
          <w:sz w:val="22"/>
          <w:szCs w:val="22"/>
        </w:rPr>
        <w:t xml:space="preserve"> that have been sitting in warehouses since before the last major season.</w:t>
      </w:r>
    </w:p>
    <w:p w14:paraId="365E9AC9" w14:textId="77777777" w:rsidR="0056703F" w:rsidRDefault="00000000">
      <w:pPr>
        <w:spacing w:after="100"/>
      </w:pPr>
      <w:r>
        <w:rPr>
          <w:rFonts w:ascii="Arial" w:eastAsia="Arial" w:hAnsi="Arial" w:cs="Arial"/>
          <w:color w:val="535766"/>
          <w:sz w:val="22"/>
          <w:szCs w:val="22"/>
        </w:rPr>
        <w:t>Every day these products stay unsold, two things happen: the markdown you will eventually need to offer gets deeper, and the warehouse space they occupy has a real cost. At 125+ days, we are past the point of organic sell-through — this requires active intervention.</w:t>
      </w:r>
    </w:p>
    <w:p w14:paraId="6664F067" w14:textId="77777777" w:rsidR="0056703F" w:rsidRDefault="00000000">
      <w:pPr>
        <w:spacing w:before="240" w:after="80"/>
      </w:pPr>
      <w:r>
        <w:rPr>
          <w:rFonts w:ascii="Arial" w:eastAsia="Arial" w:hAnsi="Arial" w:cs="Arial"/>
          <w:b/>
          <w:bCs/>
          <w:color w:val="FF3F6C"/>
          <w:sz w:val="24"/>
          <w:szCs w:val="24"/>
        </w:rPr>
        <w:t>What I Built</w:t>
      </w:r>
    </w:p>
    <w:p w14:paraId="49678206" w14:textId="77777777" w:rsidR="0056703F" w:rsidRDefault="00000000">
      <w:pPr>
        <w:spacing w:after="100"/>
      </w:pPr>
      <w:r>
        <w:rPr>
          <w:rFonts w:ascii="Arial" w:eastAsia="Arial" w:hAnsi="Arial" w:cs="Arial"/>
          <w:color w:val="535766"/>
          <w:sz w:val="22"/>
          <w:szCs w:val="22"/>
        </w:rPr>
        <w:t xml:space="preserve">The </w:t>
      </w:r>
      <w:proofErr w:type="spellStart"/>
      <w:r>
        <w:rPr>
          <w:rFonts w:ascii="Arial" w:eastAsia="Arial" w:hAnsi="Arial" w:cs="Arial"/>
          <w:color w:val="535766"/>
          <w:sz w:val="22"/>
          <w:szCs w:val="22"/>
        </w:rPr>
        <w:t>treemap</w:t>
      </w:r>
      <w:proofErr w:type="spellEnd"/>
      <w:r>
        <w:rPr>
          <w:rFonts w:ascii="Arial" w:eastAsia="Arial" w:hAnsi="Arial" w:cs="Arial"/>
          <w:color w:val="535766"/>
          <w:sz w:val="22"/>
          <w:szCs w:val="22"/>
        </w:rPr>
        <w:t xml:space="preserve"> groups inventory by aging bucket and brand. The size of each block represents the volume of SKUs in that bucket — larger block means more stock stuck at that age. The </w:t>
      </w:r>
      <w:proofErr w:type="spellStart"/>
      <w:r>
        <w:rPr>
          <w:rFonts w:ascii="Arial" w:eastAsia="Arial" w:hAnsi="Arial" w:cs="Arial"/>
          <w:color w:val="535766"/>
          <w:sz w:val="22"/>
          <w:szCs w:val="22"/>
        </w:rPr>
        <w:t>colour</w:t>
      </w:r>
      <w:proofErr w:type="spellEnd"/>
      <w:r>
        <w:rPr>
          <w:rFonts w:ascii="Arial" w:eastAsia="Arial" w:hAnsi="Arial" w:cs="Arial"/>
          <w:color w:val="535766"/>
          <w:sz w:val="22"/>
          <w:szCs w:val="22"/>
        </w:rPr>
        <w:t xml:space="preserve"> intensity signals urgency: the deeper the </w:t>
      </w:r>
      <w:proofErr w:type="spellStart"/>
      <w:r>
        <w:rPr>
          <w:rFonts w:ascii="Arial" w:eastAsia="Arial" w:hAnsi="Arial" w:cs="Arial"/>
          <w:color w:val="535766"/>
          <w:sz w:val="22"/>
          <w:szCs w:val="22"/>
        </w:rPr>
        <w:t>colour</w:t>
      </w:r>
      <w:proofErr w:type="spellEnd"/>
      <w:r>
        <w:rPr>
          <w:rFonts w:ascii="Arial" w:eastAsia="Arial" w:hAnsi="Arial" w:cs="Arial"/>
          <w:color w:val="535766"/>
          <w:sz w:val="22"/>
          <w:szCs w:val="22"/>
        </w:rPr>
        <w:t>, the older the stock and the higher the liquidation priority.</w:t>
      </w:r>
    </w:p>
    <w:p w14:paraId="22F3FB85" w14:textId="77777777" w:rsidR="0056703F" w:rsidRDefault="00000000">
      <w:pPr>
        <w:spacing w:after="100"/>
      </w:pPr>
      <w:r>
        <w:rPr>
          <w:rFonts w:ascii="Arial" w:eastAsia="Arial" w:hAnsi="Arial" w:cs="Arial"/>
          <w:color w:val="535766"/>
          <w:sz w:val="22"/>
          <w:szCs w:val="22"/>
        </w:rPr>
        <w:t>This visual was built specifically to give the category team a weekly view of where aged inventory is accumulating, so they can act before it becomes a write-off situation.</w:t>
      </w:r>
    </w:p>
    <w:p w14:paraId="0504E0E8" w14:textId="77777777" w:rsidR="0056703F" w:rsidRDefault="00000000">
      <w:pPr>
        <w:spacing w:before="240" w:after="80"/>
      </w:pPr>
      <w:r>
        <w:rPr>
          <w:rFonts w:ascii="Arial" w:eastAsia="Arial" w:hAnsi="Arial" w:cs="Arial"/>
          <w:b/>
          <w:bCs/>
          <w:color w:val="FF3F6C"/>
          <w:sz w:val="24"/>
          <w:szCs w:val="24"/>
        </w:rPr>
        <w:t>The Real Benefit</w:t>
      </w:r>
    </w:p>
    <w:p w14:paraId="2734D19D" w14:textId="77777777" w:rsidR="0056703F" w:rsidRDefault="0056703F">
      <w:pPr>
        <w:spacing w:after="40"/>
      </w:pPr>
    </w:p>
    <w:p w14:paraId="305A49C1" w14:textId="77777777" w:rsidR="0056703F" w:rsidRDefault="00000000">
      <w:pPr>
        <w:pStyle w:val="ListParagraph"/>
        <w:numPr>
          <w:ilvl w:val="0"/>
          <w:numId w:val="2"/>
        </w:numPr>
      </w:pPr>
      <w:r>
        <w:rPr>
          <w:rFonts w:ascii="Arial" w:eastAsia="Arial" w:hAnsi="Arial" w:cs="Arial"/>
          <w:b/>
          <w:bCs/>
          <w:color w:val="2D2D2D"/>
          <w:sz w:val="22"/>
          <w:szCs w:val="22"/>
        </w:rPr>
        <w:t xml:space="preserve">Biba (146 days): </w:t>
      </w:r>
      <w:r>
        <w:rPr>
          <w:rFonts w:ascii="Arial" w:eastAsia="Arial" w:hAnsi="Arial" w:cs="Arial"/>
          <w:color w:val="535766"/>
          <w:sz w:val="22"/>
          <w:szCs w:val="22"/>
        </w:rPr>
        <w:t>flash sale or end-of-season event needed immediately. Suggested markdown: 50%+ to achieve 90% clearance in 30 days.</w:t>
      </w:r>
    </w:p>
    <w:p w14:paraId="12CC432A" w14:textId="77777777" w:rsidR="0056703F" w:rsidRDefault="00000000">
      <w:pPr>
        <w:pStyle w:val="ListParagraph"/>
        <w:numPr>
          <w:ilvl w:val="0"/>
          <w:numId w:val="2"/>
        </w:numPr>
      </w:pPr>
      <w:r>
        <w:rPr>
          <w:rFonts w:ascii="Arial" w:eastAsia="Arial" w:hAnsi="Arial" w:cs="Arial"/>
          <w:b/>
          <w:bCs/>
          <w:color w:val="2D2D2D"/>
          <w:sz w:val="22"/>
          <w:szCs w:val="22"/>
        </w:rPr>
        <w:t xml:space="preserve">W (145 days): </w:t>
      </w:r>
      <w:r>
        <w:rPr>
          <w:rFonts w:ascii="Arial" w:eastAsia="Arial" w:hAnsi="Arial" w:cs="Arial"/>
          <w:color w:val="535766"/>
          <w:sz w:val="22"/>
          <w:szCs w:val="22"/>
        </w:rPr>
        <w:t>bundle slow-moving loungewear with fast-moving Kurta Sets to create perceived value without a straight discount.</w:t>
      </w:r>
    </w:p>
    <w:p w14:paraId="413951C3" w14:textId="77777777" w:rsidR="0056703F" w:rsidRDefault="00000000">
      <w:pPr>
        <w:pStyle w:val="ListParagraph"/>
        <w:numPr>
          <w:ilvl w:val="0"/>
          <w:numId w:val="2"/>
        </w:numPr>
      </w:pPr>
      <w:proofErr w:type="spellStart"/>
      <w:r>
        <w:rPr>
          <w:rFonts w:ascii="Arial" w:eastAsia="Arial" w:hAnsi="Arial" w:cs="Arial"/>
          <w:b/>
          <w:bCs/>
          <w:color w:val="2D2D2D"/>
          <w:sz w:val="22"/>
          <w:szCs w:val="22"/>
        </w:rPr>
        <w:t>FabIndia</w:t>
      </w:r>
      <w:proofErr w:type="spellEnd"/>
      <w:r>
        <w:rPr>
          <w:rFonts w:ascii="Arial" w:eastAsia="Arial" w:hAnsi="Arial" w:cs="Arial"/>
          <w:b/>
          <w:bCs/>
          <w:color w:val="2D2D2D"/>
          <w:sz w:val="22"/>
          <w:szCs w:val="22"/>
        </w:rPr>
        <w:t xml:space="preserve"> (140 days): </w:t>
      </w:r>
      <w:r>
        <w:rPr>
          <w:rFonts w:ascii="Arial" w:eastAsia="Arial" w:hAnsi="Arial" w:cs="Arial"/>
          <w:color w:val="535766"/>
          <w:sz w:val="22"/>
          <w:szCs w:val="22"/>
        </w:rPr>
        <w:t>regional targeting via South India flash sale or Tier-2 city push — heritage prints have strong niche demand.</w:t>
      </w:r>
    </w:p>
    <w:p w14:paraId="4F0285D3" w14:textId="77777777" w:rsidR="0056703F" w:rsidRDefault="00000000">
      <w:pPr>
        <w:pStyle w:val="ListParagraph"/>
        <w:numPr>
          <w:ilvl w:val="0"/>
          <w:numId w:val="2"/>
        </w:numPr>
      </w:pPr>
      <w:r>
        <w:rPr>
          <w:rFonts w:ascii="Arial" w:eastAsia="Arial" w:hAnsi="Arial" w:cs="Arial"/>
          <w:b/>
          <w:bCs/>
          <w:color w:val="2D2D2D"/>
          <w:sz w:val="22"/>
          <w:szCs w:val="22"/>
        </w:rPr>
        <w:t xml:space="preserve">Libas (125 days): </w:t>
      </w:r>
      <w:r>
        <w:rPr>
          <w:rFonts w:ascii="Arial" w:eastAsia="Arial" w:hAnsi="Arial" w:cs="Arial"/>
          <w:color w:val="535766"/>
          <w:sz w:val="22"/>
          <w:szCs w:val="22"/>
        </w:rPr>
        <w:t>still within the intervention window. A 30-day combo offer campaign can clear this before it crosses the critical threshold.</w:t>
      </w:r>
    </w:p>
    <w:p w14:paraId="2ED4BD48" w14:textId="77777777" w:rsidR="0056703F" w:rsidRDefault="0056703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03F" w14:paraId="47D55AA0" w14:textId="77777777">
        <w:tblPrEx>
          <w:tblCellMar>
            <w:top w:w="0" w:type="dxa"/>
            <w:bottom w:w="0" w:type="dxa"/>
          </w:tblCellMar>
        </w:tblPrEx>
        <w:tc>
          <w:tcPr>
            <w:tcW w:w="9360" w:type="dxa"/>
            <w:tcBorders>
              <w:top w:val="single" w:sz="12" w:space="0" w:color="FF3F6C"/>
              <w:left w:val="single" w:sz="1" w:space="0" w:color="FFCCDA"/>
              <w:bottom w:val="single" w:sz="1" w:space="0" w:color="FFCCDA"/>
              <w:right w:val="single" w:sz="1" w:space="0" w:color="FFCCDA"/>
            </w:tcBorders>
            <w:shd w:val="clear" w:color="auto" w:fill="FFF0F4"/>
            <w:tcMar>
              <w:top w:w="140" w:type="dxa"/>
              <w:left w:w="200" w:type="dxa"/>
              <w:bottom w:w="140" w:type="dxa"/>
              <w:right w:w="200" w:type="dxa"/>
            </w:tcMar>
          </w:tcPr>
          <w:p w14:paraId="326E2D87" w14:textId="44650C42" w:rsidR="0056703F" w:rsidRDefault="00000000">
            <w:pPr>
              <w:spacing w:after="40"/>
            </w:pPr>
            <w:r>
              <w:rPr>
                <w:rFonts w:ascii="Arial" w:eastAsia="Arial" w:hAnsi="Arial" w:cs="Arial"/>
                <w:color w:val="2D2D2D"/>
                <w:sz w:val="21"/>
                <w:szCs w:val="21"/>
              </w:rPr>
              <w:t xml:space="preserve">Key Takeaway:  The 125–146 day aging buckets represent an estimated 4M–6M in tied-up working capital. Every additional month of inaction increases the required markdown depth by 8–12%. The </w:t>
            </w:r>
            <w:proofErr w:type="spellStart"/>
            <w:r>
              <w:rPr>
                <w:rFonts w:ascii="Arial" w:eastAsia="Arial" w:hAnsi="Arial" w:cs="Arial"/>
                <w:color w:val="2D2D2D"/>
                <w:sz w:val="21"/>
                <w:szCs w:val="21"/>
              </w:rPr>
              <w:t>treemap</w:t>
            </w:r>
            <w:proofErr w:type="spellEnd"/>
            <w:r>
              <w:rPr>
                <w:rFonts w:ascii="Arial" w:eastAsia="Arial" w:hAnsi="Arial" w:cs="Arial"/>
                <w:color w:val="2D2D2D"/>
                <w:sz w:val="21"/>
                <w:szCs w:val="21"/>
              </w:rPr>
              <w:t xml:space="preserve"> makes this risk visible in real time — and it gives us the brand-level detail to act fast rather than applying a blanket clearance sale.</w:t>
            </w:r>
          </w:p>
        </w:tc>
      </w:tr>
    </w:tbl>
    <w:p w14:paraId="5F028A02" w14:textId="77777777" w:rsidR="0056703F" w:rsidRDefault="0056703F">
      <w:pPr>
        <w:sectPr w:rsidR="0056703F">
          <w:headerReference w:type="default" r:id="rId24"/>
          <w:footerReference w:type="default" r:id="rId25"/>
          <w:pgSz w:w="12240" w:h="15840"/>
          <w:pgMar w:top="1440" w:right="1440" w:bottom="1440" w:left="1440" w:header="708" w:footer="708" w:gutter="0"/>
          <w:cols w:space="720"/>
          <w:docGrid w:linePitch="360"/>
        </w:sectPr>
      </w:pPr>
    </w:p>
    <w:p w14:paraId="7F755F6A" w14:textId="77777777" w:rsidR="0056703F" w:rsidRDefault="00000000">
      <w:pPr>
        <w:spacing w:after="80"/>
      </w:pPr>
      <w:r>
        <w:rPr>
          <w:rFonts w:ascii="Arial" w:eastAsia="Arial" w:hAnsi="Arial" w:cs="Arial"/>
          <w:b/>
          <w:bCs/>
          <w:color w:val="FF3F6C"/>
          <w:sz w:val="18"/>
          <w:szCs w:val="18"/>
        </w:rPr>
        <w:t xml:space="preserve">PAGE </w:t>
      </w:r>
      <w:proofErr w:type="gramStart"/>
      <w:r>
        <w:rPr>
          <w:rFonts w:ascii="Arial" w:eastAsia="Arial" w:hAnsi="Arial" w:cs="Arial"/>
          <w:b/>
          <w:bCs/>
          <w:color w:val="FF3F6C"/>
          <w:sz w:val="18"/>
          <w:szCs w:val="18"/>
        </w:rPr>
        <w:t>07  /</w:t>
      </w:r>
      <w:proofErr w:type="gramEnd"/>
      <w:r>
        <w:rPr>
          <w:rFonts w:ascii="Arial" w:eastAsia="Arial" w:hAnsi="Arial" w:cs="Arial"/>
          <w:b/>
          <w:bCs/>
          <w:color w:val="FF3F6C"/>
          <w:sz w:val="18"/>
          <w:szCs w:val="18"/>
        </w:rPr>
        <w:t xml:space="preserve">  RECOMMENDATIONS &amp; NEXT STEPS</w:t>
      </w:r>
    </w:p>
    <w:p w14:paraId="54DA6CE7" w14:textId="77777777" w:rsidR="0056703F" w:rsidRDefault="00000000">
      <w:pPr>
        <w:spacing w:after="80"/>
      </w:pPr>
      <w:r>
        <w:rPr>
          <w:rFonts w:ascii="Arial" w:eastAsia="Arial" w:hAnsi="Arial" w:cs="Arial"/>
          <w:b/>
          <w:bCs/>
          <w:color w:val="2D2D2D"/>
          <w:sz w:val="36"/>
          <w:szCs w:val="36"/>
        </w:rPr>
        <w:t>What We Should Do Next — and Why</w:t>
      </w:r>
    </w:p>
    <w:p w14:paraId="5A90BC73" w14:textId="77777777" w:rsidR="0056703F" w:rsidRDefault="00000000">
      <w:pPr>
        <w:spacing w:after="160"/>
      </w:pPr>
      <w:r>
        <w:rPr>
          <w:rFonts w:ascii="Arial" w:eastAsia="Arial" w:hAnsi="Arial" w:cs="Arial"/>
          <w:i/>
          <w:iCs/>
          <w:color w:val="535766"/>
          <w:sz w:val="22"/>
          <w:szCs w:val="22"/>
        </w:rPr>
        <w:t>Three concrete, data-validated actions that can move the needle within 90 days.</w:t>
      </w:r>
    </w:p>
    <w:p w14:paraId="7D9A5C25" w14:textId="77777777" w:rsidR="0056703F" w:rsidRDefault="0056703F">
      <w:pPr>
        <w:pBdr>
          <w:bottom w:val="single" w:sz="12" w:space="1" w:color="FF3F6C"/>
        </w:pBdr>
        <w:spacing w:after="120"/>
      </w:pPr>
    </w:p>
    <w:p w14:paraId="25CDE583" w14:textId="77777777" w:rsidR="0056703F" w:rsidRDefault="00000000">
      <w:pPr>
        <w:spacing w:before="80" w:after="60"/>
        <w:jc w:val="center"/>
      </w:pPr>
      <w:r>
        <w:rPr>
          <w:noProof/>
        </w:rPr>
        <w:drawing>
          <wp:inline distT="0" distB="0" distL="0" distR="0" wp14:anchorId="13BFDD4C" wp14:editId="429976B7">
            <wp:extent cx="3238500" cy="4352925"/>
            <wp:effectExtent l="0" t="0" r="0" b="0"/>
            <wp:docPr id="1567221644" name="Picture 156722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38500" cy="4352925"/>
                    </a:xfrm>
                    <a:prstGeom prst="rect">
                      <a:avLst/>
                    </a:prstGeom>
                  </pic:spPr>
                </pic:pic>
              </a:graphicData>
            </a:graphic>
          </wp:inline>
        </w:drawing>
      </w:r>
    </w:p>
    <w:p w14:paraId="66EAA5FC" w14:textId="77777777" w:rsidR="0056703F" w:rsidRDefault="00000000">
      <w:pPr>
        <w:spacing w:after="200"/>
        <w:jc w:val="center"/>
      </w:pPr>
      <w:r>
        <w:rPr>
          <w:rFonts w:ascii="Arial" w:eastAsia="Arial" w:hAnsi="Arial" w:cs="Arial"/>
          <w:i/>
          <w:iCs/>
          <w:color w:val="888888"/>
          <w:sz w:val="18"/>
          <w:szCs w:val="18"/>
        </w:rPr>
        <w:t>Total Revenue by Brand + Category Sub-Category Sales Mix</w:t>
      </w:r>
    </w:p>
    <w:p w14:paraId="52EE94C1" w14:textId="77777777" w:rsidR="0056703F" w:rsidRDefault="00000000">
      <w:pPr>
        <w:spacing w:before="240" w:after="80"/>
      </w:pPr>
      <w:r>
        <w:rPr>
          <w:rFonts w:ascii="Arial" w:eastAsia="Arial" w:hAnsi="Arial" w:cs="Arial"/>
          <w:b/>
          <w:bCs/>
          <w:color w:val="FF3F6C"/>
          <w:sz w:val="24"/>
          <w:szCs w:val="24"/>
        </w:rPr>
        <w:t>The Big Picture</w:t>
      </w:r>
    </w:p>
    <w:p w14:paraId="25CD92A5" w14:textId="2151D684" w:rsidR="0056703F" w:rsidRDefault="00000000">
      <w:pPr>
        <w:spacing w:after="100"/>
      </w:pPr>
      <w:r>
        <w:rPr>
          <w:rFonts w:ascii="Arial" w:eastAsia="Arial" w:hAnsi="Arial" w:cs="Arial"/>
          <w:color w:val="535766"/>
          <w:sz w:val="22"/>
          <w:szCs w:val="22"/>
        </w:rPr>
        <w:t xml:space="preserve">Biba leads on revenue at 35.86M, with </w:t>
      </w:r>
      <w:proofErr w:type="spellStart"/>
      <w:r>
        <w:rPr>
          <w:rFonts w:ascii="Arial" w:eastAsia="Arial" w:hAnsi="Arial" w:cs="Arial"/>
          <w:color w:val="535766"/>
          <w:sz w:val="22"/>
          <w:szCs w:val="22"/>
        </w:rPr>
        <w:t>FabIndia</w:t>
      </w:r>
      <w:proofErr w:type="spellEnd"/>
      <w:r>
        <w:rPr>
          <w:rFonts w:ascii="Arial" w:eastAsia="Arial" w:hAnsi="Arial" w:cs="Arial"/>
          <w:color w:val="535766"/>
          <w:sz w:val="22"/>
          <w:szCs w:val="22"/>
        </w:rPr>
        <w:t xml:space="preserve"> close behind at 33.66M. W contributes 20.91M and Libas adds 12.15M. Across sub-categories, Kurta Sets and Sarees are the highest-volume performers. These are our cash cows — and they are also the ones most exposed to return risk and aging inventory.</w:t>
      </w:r>
    </w:p>
    <w:p w14:paraId="5A7F984F" w14:textId="77777777" w:rsidR="0056703F" w:rsidRDefault="00000000">
      <w:pPr>
        <w:spacing w:after="100"/>
      </w:pPr>
      <w:r>
        <w:rPr>
          <w:rFonts w:ascii="Arial" w:eastAsia="Arial" w:hAnsi="Arial" w:cs="Arial"/>
          <w:color w:val="535766"/>
          <w:sz w:val="22"/>
          <w:szCs w:val="22"/>
        </w:rPr>
        <w:t>The following three recommendations are not generic suggestions. They are directly derived from the dashboard analysis, validated by A/B testing, and sequenced by ease of implementation and speed of impact.</w:t>
      </w:r>
    </w:p>
    <w:p w14:paraId="6C02FCC4" w14:textId="77777777" w:rsidR="0056703F" w:rsidRDefault="00000000">
      <w:pPr>
        <w:spacing w:before="240" w:after="80"/>
      </w:pPr>
      <w:r>
        <w:rPr>
          <w:rFonts w:ascii="Arial" w:eastAsia="Arial" w:hAnsi="Arial" w:cs="Arial"/>
          <w:b/>
          <w:bCs/>
          <w:color w:val="FF3F6C"/>
          <w:sz w:val="24"/>
          <w:szCs w:val="24"/>
        </w:rPr>
        <w:t>Recommendation 1 — Fix the Discount Strategy</w:t>
      </w:r>
    </w:p>
    <w:p w14:paraId="49A7E4E3" w14:textId="5B9F3EE6" w:rsidR="0056703F" w:rsidRDefault="00000000">
      <w:pPr>
        <w:spacing w:after="100"/>
      </w:pPr>
      <w:r>
        <w:rPr>
          <w:rFonts w:ascii="Arial" w:eastAsia="Arial" w:hAnsi="Arial" w:cs="Arial"/>
          <w:color w:val="535766"/>
          <w:sz w:val="22"/>
          <w:szCs w:val="22"/>
        </w:rPr>
        <w:t>Cap discounts at 30% for Libas and W outside of sale periods. Use the 15–30% sweet spot identified in the scatter analysis. The A/B test (Z-Score = 2.94) confirms a 1.04M profit gap between the current approach and the optimal band. This change requires only a policy update — no tech change needed.</w:t>
      </w:r>
    </w:p>
    <w:p w14:paraId="4904B1B4" w14:textId="77777777" w:rsidR="0056703F" w:rsidRDefault="00000000">
      <w:pPr>
        <w:spacing w:after="100"/>
      </w:pPr>
      <w:r>
        <w:rPr>
          <w:rFonts w:ascii="Arial" w:eastAsia="Arial" w:hAnsi="Arial" w:cs="Arial"/>
          <w:i/>
          <w:iCs/>
          <w:color w:val="888888"/>
          <w:sz w:val="22"/>
          <w:szCs w:val="22"/>
        </w:rPr>
        <w:t>Timeline: Immediate. Owner: Pricing team. Expected impact: $1.04M profit recovery within 2 quarters.</w:t>
      </w:r>
    </w:p>
    <w:p w14:paraId="54222D0B" w14:textId="77777777" w:rsidR="0056703F" w:rsidRDefault="00000000">
      <w:pPr>
        <w:spacing w:before="240" w:after="80"/>
      </w:pPr>
      <w:r>
        <w:rPr>
          <w:rFonts w:ascii="Arial" w:eastAsia="Arial" w:hAnsi="Arial" w:cs="Arial"/>
          <w:b/>
          <w:bCs/>
          <w:color w:val="FF3F6C"/>
          <w:sz w:val="24"/>
          <w:szCs w:val="24"/>
        </w:rPr>
        <w:t>Recommendation 2 — Reduce Returns Through Better Fit Guidance</w:t>
      </w:r>
    </w:p>
    <w:p w14:paraId="3E26D2FE" w14:textId="77777777" w:rsidR="0056703F" w:rsidRDefault="00000000">
      <w:pPr>
        <w:spacing w:after="100"/>
      </w:pPr>
      <w:r>
        <w:rPr>
          <w:rFonts w:ascii="Arial" w:eastAsia="Arial" w:hAnsi="Arial" w:cs="Arial"/>
          <w:color w:val="535766"/>
          <w:sz w:val="22"/>
          <w:szCs w:val="22"/>
        </w:rPr>
        <w:t xml:space="preserve">Add a </w:t>
      </w:r>
      <w:proofErr w:type="spellStart"/>
      <w:r>
        <w:rPr>
          <w:rFonts w:ascii="Arial" w:eastAsia="Arial" w:hAnsi="Arial" w:cs="Arial"/>
          <w:color w:val="535766"/>
          <w:sz w:val="22"/>
          <w:szCs w:val="22"/>
        </w:rPr>
        <w:t>standardised</w:t>
      </w:r>
      <w:proofErr w:type="spellEnd"/>
      <w:r>
        <w:rPr>
          <w:rFonts w:ascii="Arial" w:eastAsia="Arial" w:hAnsi="Arial" w:cs="Arial"/>
          <w:color w:val="535766"/>
          <w:sz w:val="22"/>
          <w:szCs w:val="22"/>
        </w:rPr>
        <w:t xml:space="preserve"> size guide and, where possible, an AI fit recommendation widget to all Libas and Biba product pages. The Rating vs Returns analysis shows that these two brands have the worst return-to-rating ratio — and 58% of returns are Size/Fit related. This is a content and tech fix, not a product quality issue.</w:t>
      </w:r>
    </w:p>
    <w:p w14:paraId="72792580" w14:textId="16520F59" w:rsidR="0056703F" w:rsidRDefault="00000000">
      <w:pPr>
        <w:spacing w:after="100"/>
      </w:pPr>
      <w:r>
        <w:rPr>
          <w:rFonts w:ascii="Arial" w:eastAsia="Arial" w:hAnsi="Arial" w:cs="Arial"/>
          <w:i/>
          <w:iCs/>
          <w:color w:val="888888"/>
          <w:sz w:val="22"/>
          <w:szCs w:val="22"/>
        </w:rPr>
        <w:t>Timeline: 30–45 days. Owner: Catalogue + Tech teams. Expected impact: 15–20% return reduction for Libas and Biba, saving 600K–720K annually.</w:t>
      </w:r>
    </w:p>
    <w:p w14:paraId="2CA0876D" w14:textId="77777777" w:rsidR="0056703F" w:rsidRDefault="00000000">
      <w:pPr>
        <w:spacing w:before="240" w:after="80"/>
      </w:pPr>
      <w:r>
        <w:rPr>
          <w:rFonts w:ascii="Arial" w:eastAsia="Arial" w:hAnsi="Arial" w:cs="Arial"/>
          <w:b/>
          <w:bCs/>
          <w:color w:val="FF3F6C"/>
          <w:sz w:val="24"/>
          <w:szCs w:val="24"/>
        </w:rPr>
        <w:t>Recommendation 3 — Liquidate Aged Inventory Before the Season Closes</w:t>
      </w:r>
    </w:p>
    <w:p w14:paraId="2578380A" w14:textId="77777777" w:rsidR="0056703F" w:rsidRDefault="00000000">
      <w:pPr>
        <w:spacing w:after="100"/>
      </w:pPr>
      <w:r>
        <w:rPr>
          <w:rFonts w:ascii="Arial" w:eastAsia="Arial" w:hAnsi="Arial" w:cs="Arial"/>
          <w:color w:val="535766"/>
          <w:sz w:val="22"/>
          <w:szCs w:val="22"/>
        </w:rPr>
        <w:t xml:space="preserve">Biba, W, and </w:t>
      </w:r>
      <w:proofErr w:type="spellStart"/>
      <w:r>
        <w:rPr>
          <w:rFonts w:ascii="Arial" w:eastAsia="Arial" w:hAnsi="Arial" w:cs="Arial"/>
          <w:color w:val="535766"/>
          <w:sz w:val="22"/>
          <w:szCs w:val="22"/>
        </w:rPr>
        <w:t>FabIndia</w:t>
      </w:r>
      <w:proofErr w:type="spellEnd"/>
      <w:r>
        <w:rPr>
          <w:rFonts w:ascii="Arial" w:eastAsia="Arial" w:hAnsi="Arial" w:cs="Arial"/>
          <w:color w:val="535766"/>
          <w:sz w:val="22"/>
          <w:szCs w:val="22"/>
        </w:rPr>
        <w:t xml:space="preserve"> all have significant stock sitting at 140–146 days. Activate brand-specific clearance plans: flash sale for Biba, bundling for W, regional targeting for </w:t>
      </w:r>
      <w:proofErr w:type="spellStart"/>
      <w:r>
        <w:rPr>
          <w:rFonts w:ascii="Arial" w:eastAsia="Arial" w:hAnsi="Arial" w:cs="Arial"/>
          <w:color w:val="535766"/>
          <w:sz w:val="22"/>
          <w:szCs w:val="22"/>
        </w:rPr>
        <w:t>FabIndia</w:t>
      </w:r>
      <w:proofErr w:type="spellEnd"/>
      <w:r>
        <w:rPr>
          <w:rFonts w:ascii="Arial" w:eastAsia="Arial" w:hAnsi="Arial" w:cs="Arial"/>
          <w:color w:val="535766"/>
          <w:sz w:val="22"/>
          <w:szCs w:val="22"/>
        </w:rPr>
        <w:t>. Do not wait for a category-wide EOL sale — that rewards inaction and deepens the markdown required.</w:t>
      </w:r>
    </w:p>
    <w:p w14:paraId="100AB080" w14:textId="29727ABA" w:rsidR="0056703F" w:rsidRDefault="00000000">
      <w:pPr>
        <w:spacing w:after="100"/>
      </w:pPr>
      <w:r>
        <w:rPr>
          <w:rFonts w:ascii="Arial" w:eastAsia="Arial" w:hAnsi="Arial" w:cs="Arial"/>
          <w:i/>
          <w:iCs/>
          <w:color w:val="888888"/>
          <w:sz w:val="22"/>
          <w:szCs w:val="22"/>
        </w:rPr>
        <w:t>Timeline: 15–30 days. Owner: Category + Marketing teams. Expected impact: 70–90% clearance of at-risk inventory, unlocking 4M–6M in working capital.</w:t>
      </w:r>
    </w:p>
    <w:p w14:paraId="0521E250" w14:textId="77777777" w:rsidR="0056703F" w:rsidRDefault="0056703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6703F" w14:paraId="31D8B674" w14:textId="77777777">
        <w:tblPrEx>
          <w:tblCellMar>
            <w:top w:w="0" w:type="dxa"/>
            <w:bottom w:w="0" w:type="dxa"/>
          </w:tblCellMar>
        </w:tblPrEx>
        <w:tc>
          <w:tcPr>
            <w:tcW w:w="3120" w:type="dxa"/>
            <w:tcBorders>
              <w:top w:val="nil"/>
              <w:left w:val="nil"/>
              <w:bottom w:val="nil"/>
              <w:right w:val="single" w:sz="1" w:space="0" w:color="FFFFFF"/>
            </w:tcBorders>
            <w:shd w:val="clear" w:color="auto" w:fill="FF3F6C"/>
            <w:tcMar>
              <w:top w:w="120" w:type="dxa"/>
              <w:left w:w="160" w:type="dxa"/>
              <w:bottom w:w="80" w:type="dxa"/>
              <w:right w:w="160" w:type="dxa"/>
            </w:tcMar>
          </w:tcPr>
          <w:p w14:paraId="7FF3D94C" w14:textId="77777777" w:rsidR="0056703F" w:rsidRDefault="00000000">
            <w:pPr>
              <w:jc w:val="center"/>
            </w:pPr>
            <w:r>
              <w:rPr>
                <w:rFonts w:ascii="Arial" w:eastAsia="Arial" w:hAnsi="Arial" w:cs="Arial"/>
                <w:b/>
                <w:bCs/>
                <w:color w:val="FFFFFF"/>
                <w:sz w:val="22"/>
                <w:szCs w:val="22"/>
              </w:rPr>
              <w:t>Discount Reform</w:t>
            </w:r>
          </w:p>
          <w:p w14:paraId="48E42854" w14:textId="71762B66" w:rsidR="0056703F" w:rsidRDefault="00000000">
            <w:pPr>
              <w:jc w:val="center"/>
            </w:pPr>
            <w:r>
              <w:rPr>
                <w:rFonts w:ascii="Arial" w:eastAsia="Arial" w:hAnsi="Arial" w:cs="Arial"/>
                <w:b/>
                <w:bCs/>
                <w:color w:val="FFFFFF"/>
                <w:sz w:val="36"/>
                <w:szCs w:val="36"/>
              </w:rPr>
              <w:t>1.04M</w:t>
            </w:r>
          </w:p>
          <w:p w14:paraId="73EBF1C2" w14:textId="77777777" w:rsidR="0056703F" w:rsidRDefault="00000000">
            <w:pPr>
              <w:jc w:val="center"/>
            </w:pPr>
            <w:r>
              <w:rPr>
                <w:rFonts w:ascii="Arial" w:eastAsia="Arial" w:hAnsi="Arial" w:cs="Arial"/>
                <w:color w:val="FFFFFF"/>
                <w:sz w:val="18"/>
                <w:szCs w:val="18"/>
              </w:rPr>
              <w:t>profit recovery</w:t>
            </w:r>
          </w:p>
        </w:tc>
        <w:tc>
          <w:tcPr>
            <w:tcW w:w="3120" w:type="dxa"/>
            <w:tcBorders>
              <w:top w:val="nil"/>
              <w:left w:val="nil"/>
              <w:bottom w:val="nil"/>
              <w:right w:val="single" w:sz="1" w:space="0" w:color="FFFFFF"/>
            </w:tcBorders>
            <w:shd w:val="clear" w:color="auto" w:fill="2D2D2D"/>
            <w:tcMar>
              <w:top w:w="120" w:type="dxa"/>
              <w:left w:w="160" w:type="dxa"/>
              <w:bottom w:w="80" w:type="dxa"/>
              <w:right w:w="160" w:type="dxa"/>
            </w:tcMar>
          </w:tcPr>
          <w:p w14:paraId="3DA6981D" w14:textId="77777777" w:rsidR="0056703F" w:rsidRDefault="00000000">
            <w:pPr>
              <w:jc w:val="center"/>
            </w:pPr>
            <w:r>
              <w:rPr>
                <w:rFonts w:ascii="Arial" w:eastAsia="Arial" w:hAnsi="Arial" w:cs="Arial"/>
                <w:b/>
                <w:bCs/>
                <w:color w:val="FFFFFF"/>
                <w:sz w:val="22"/>
                <w:szCs w:val="22"/>
              </w:rPr>
              <w:t>Return Reduction</w:t>
            </w:r>
          </w:p>
          <w:p w14:paraId="3B265518" w14:textId="5D6BE6C2" w:rsidR="0056703F" w:rsidRDefault="00000000">
            <w:pPr>
              <w:jc w:val="center"/>
            </w:pPr>
            <w:r>
              <w:rPr>
                <w:rFonts w:ascii="Arial" w:eastAsia="Arial" w:hAnsi="Arial" w:cs="Arial"/>
                <w:b/>
                <w:bCs/>
                <w:color w:val="FF3F6C"/>
                <w:sz w:val="36"/>
                <w:szCs w:val="36"/>
              </w:rPr>
              <w:t>720K</w:t>
            </w:r>
          </w:p>
          <w:p w14:paraId="489B5B46" w14:textId="77777777" w:rsidR="0056703F" w:rsidRDefault="00000000">
            <w:pPr>
              <w:jc w:val="center"/>
            </w:pPr>
            <w:r>
              <w:rPr>
                <w:rFonts w:ascii="Arial" w:eastAsia="Arial" w:hAnsi="Arial" w:cs="Arial"/>
                <w:color w:val="FFFFFF"/>
                <w:sz w:val="18"/>
                <w:szCs w:val="18"/>
              </w:rPr>
              <w:t>annual saving</w:t>
            </w:r>
          </w:p>
        </w:tc>
        <w:tc>
          <w:tcPr>
            <w:tcW w:w="3120" w:type="dxa"/>
            <w:tcBorders>
              <w:top w:val="nil"/>
              <w:left w:val="nil"/>
              <w:bottom w:val="nil"/>
              <w:right w:val="nil"/>
            </w:tcBorders>
            <w:shd w:val="clear" w:color="auto" w:fill="535766"/>
            <w:tcMar>
              <w:top w:w="120" w:type="dxa"/>
              <w:left w:w="160" w:type="dxa"/>
              <w:bottom w:w="80" w:type="dxa"/>
              <w:right w:w="160" w:type="dxa"/>
            </w:tcMar>
          </w:tcPr>
          <w:p w14:paraId="0B09794E" w14:textId="77777777" w:rsidR="0056703F" w:rsidRDefault="00000000">
            <w:pPr>
              <w:jc w:val="center"/>
            </w:pPr>
            <w:r>
              <w:rPr>
                <w:rFonts w:ascii="Arial" w:eastAsia="Arial" w:hAnsi="Arial" w:cs="Arial"/>
                <w:b/>
                <w:bCs/>
                <w:color w:val="FFFFFF"/>
                <w:sz w:val="22"/>
                <w:szCs w:val="22"/>
              </w:rPr>
              <w:t>Inventory Clearance</w:t>
            </w:r>
          </w:p>
          <w:p w14:paraId="057F55E5" w14:textId="0F808050" w:rsidR="0056703F" w:rsidRDefault="00000000">
            <w:pPr>
              <w:jc w:val="center"/>
            </w:pPr>
            <w:r>
              <w:rPr>
                <w:rFonts w:ascii="Arial" w:eastAsia="Arial" w:hAnsi="Arial" w:cs="Arial"/>
                <w:b/>
                <w:bCs/>
                <w:color w:val="FF3F6C"/>
                <w:sz w:val="36"/>
                <w:szCs w:val="36"/>
              </w:rPr>
              <w:t>4–6M</w:t>
            </w:r>
          </w:p>
          <w:p w14:paraId="010EDA48" w14:textId="77777777" w:rsidR="0056703F" w:rsidRDefault="00000000">
            <w:pPr>
              <w:jc w:val="center"/>
            </w:pPr>
            <w:r>
              <w:rPr>
                <w:rFonts w:ascii="Arial" w:eastAsia="Arial" w:hAnsi="Arial" w:cs="Arial"/>
                <w:color w:val="FFFFFF"/>
                <w:sz w:val="18"/>
                <w:szCs w:val="18"/>
              </w:rPr>
              <w:t>capital unlocked</w:t>
            </w:r>
          </w:p>
        </w:tc>
      </w:tr>
    </w:tbl>
    <w:p w14:paraId="61DC3FC1" w14:textId="77777777" w:rsidR="0056703F" w:rsidRDefault="0056703F">
      <w:pPr>
        <w:spacing w:after="280"/>
      </w:pPr>
    </w:p>
    <w:p w14:paraId="5986BC9F" w14:textId="77777777" w:rsidR="0056703F" w:rsidRDefault="0056703F">
      <w:pPr>
        <w:pBdr>
          <w:bottom w:val="single" w:sz="4" w:space="1" w:color="E0E0E0"/>
        </w:pBdr>
        <w:spacing w:after="120"/>
      </w:pPr>
    </w:p>
    <w:p w14:paraId="20FEF854" w14:textId="77777777" w:rsidR="0056703F" w:rsidRDefault="0056703F">
      <w:pPr>
        <w:spacing w:after="120"/>
      </w:pPr>
    </w:p>
    <w:p w14:paraId="70897CD0" w14:textId="77777777" w:rsidR="0056703F" w:rsidRDefault="00000000">
      <w:pPr>
        <w:spacing w:after="100"/>
      </w:pPr>
      <w:r>
        <w:rPr>
          <w:rFonts w:ascii="Arial" w:eastAsia="Arial" w:hAnsi="Arial" w:cs="Arial"/>
          <w:i/>
          <w:iCs/>
          <w:color w:val="888888"/>
          <w:sz w:val="18"/>
          <w:szCs w:val="18"/>
        </w:rPr>
        <w:t>This report was prepared by Mohit Vishwakarma as part of a self-initiated category intelligence project using Myntra's Ethnic Wear data. All analysis is based on Power BI dashboards built from scratch. The A/B test result (Z-Score 2.94) is statistically validated at 99% confidence.</w:t>
      </w:r>
    </w:p>
    <w:sectPr w:rsidR="0056703F">
      <w:headerReference w:type="default" r:id="rId27"/>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F63E7" w14:textId="77777777" w:rsidR="007213DE" w:rsidRDefault="007213DE">
      <w:r>
        <w:separator/>
      </w:r>
    </w:p>
  </w:endnote>
  <w:endnote w:type="continuationSeparator" w:id="0">
    <w:p w14:paraId="6175B0C3" w14:textId="77777777" w:rsidR="007213DE" w:rsidRDefault="00721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5290" w14:textId="61EB5FDE" w:rsidR="00B612D6" w:rsidRDefault="00B612D6" w:rsidP="00B612D6">
    <w:pPr>
      <w:pBdr>
        <w:top w:val="single" w:sz="4" w:space="0" w:color="E0E0E0"/>
      </w:pBdr>
      <w:tabs>
        <w:tab w:val="right" w:pos="9360"/>
      </w:tabs>
      <w:spacing w:before="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2069" w14:textId="0AFDB7FB" w:rsidR="0056703F" w:rsidRDefault="0056703F">
    <w:pPr>
      <w:pBdr>
        <w:top w:val="single" w:sz="4" w:space="0" w:color="E0E0E0"/>
      </w:pBdr>
      <w:tabs>
        <w:tab w:val="right" w:pos="9360"/>
      </w:tabs>
      <w:spacing w:before="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A569" w14:textId="4287E19D" w:rsidR="0056703F" w:rsidRDefault="0056703F">
    <w:pPr>
      <w:pBdr>
        <w:top w:val="single" w:sz="4" w:space="0" w:color="E0E0E0"/>
      </w:pBdr>
      <w:tabs>
        <w:tab w:val="right" w:pos="9360"/>
      </w:tabs>
      <w:spacing w:before="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C5D7" w14:textId="71E71E2C" w:rsidR="0056703F" w:rsidRDefault="0056703F">
    <w:pPr>
      <w:pBdr>
        <w:top w:val="single" w:sz="4" w:space="0" w:color="E0E0E0"/>
      </w:pBdr>
      <w:tabs>
        <w:tab w:val="right" w:pos="9360"/>
      </w:tabs>
      <w:spacing w:before="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DC241" w14:textId="4A7D6B87" w:rsidR="0056703F" w:rsidRDefault="0056703F">
    <w:pPr>
      <w:pBdr>
        <w:top w:val="single" w:sz="4" w:space="0" w:color="E0E0E0"/>
      </w:pBdr>
      <w:tabs>
        <w:tab w:val="right" w:pos="9360"/>
      </w:tabs>
      <w:spacing w:before="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E9B5F" w14:textId="48930976" w:rsidR="0056703F" w:rsidRDefault="0056703F">
    <w:pPr>
      <w:pBdr>
        <w:top w:val="single" w:sz="4" w:space="0" w:color="E0E0E0"/>
      </w:pBdr>
      <w:tabs>
        <w:tab w:val="right" w:pos="9360"/>
      </w:tabs>
      <w:spacing w:before="8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6643B" w14:textId="4BDED187" w:rsidR="0056703F" w:rsidRDefault="0056703F">
    <w:pPr>
      <w:pBdr>
        <w:top w:val="single" w:sz="4" w:space="0" w:color="E0E0E0"/>
      </w:pBdr>
      <w:tabs>
        <w:tab w:val="right" w:pos="93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ED908" w14:textId="77777777" w:rsidR="007213DE" w:rsidRDefault="007213DE">
      <w:r>
        <w:separator/>
      </w:r>
    </w:p>
  </w:footnote>
  <w:footnote w:type="continuationSeparator" w:id="0">
    <w:p w14:paraId="10CBA21B" w14:textId="77777777" w:rsidR="007213DE" w:rsidRDefault="00721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4FCF" w14:textId="77777777" w:rsidR="0056703F" w:rsidRDefault="00000000">
    <w:pPr>
      <w:pBdr>
        <w:bottom w:val="single" w:sz="4" w:space="0" w:color="E0E0E0"/>
      </w:pBdr>
    </w:pPr>
    <w:r>
      <w:rPr>
        <w:rFonts w:ascii="Arial" w:eastAsia="Arial" w:hAnsi="Arial" w:cs="Arial"/>
        <w:color w:val="888888"/>
        <w:sz w:val="18"/>
        <w:szCs w:val="18"/>
      </w:rPr>
      <w:t>Myntra Category Intelligence Project</w:t>
    </w:r>
    <w:r>
      <w:rPr>
        <w:rFonts w:ascii="Arial" w:eastAsia="Arial" w:hAnsi="Arial" w:cs="Arial"/>
        <w:color w:val="FF3F6C"/>
        <w:sz w:val="18"/>
        <w:szCs w:val="18"/>
      </w:rPr>
      <w:t xml:space="preserve">   |   Mohit Vishwakarma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0AAA4" w14:textId="77777777" w:rsidR="0056703F" w:rsidRDefault="00000000">
    <w:pPr>
      <w:pBdr>
        <w:bottom w:val="single" w:sz="4" w:space="0" w:color="E0E0E0"/>
      </w:pBdr>
    </w:pPr>
    <w:r>
      <w:rPr>
        <w:rFonts w:ascii="Arial" w:eastAsia="Arial" w:hAnsi="Arial" w:cs="Arial"/>
        <w:color w:val="888888"/>
        <w:sz w:val="18"/>
        <w:szCs w:val="18"/>
      </w:rPr>
      <w:t>Myntra Category Intelligence Project</w:t>
    </w:r>
    <w:r>
      <w:rPr>
        <w:rFonts w:ascii="Arial" w:eastAsia="Arial" w:hAnsi="Arial" w:cs="Arial"/>
        <w:color w:val="FF3F6C"/>
        <w:sz w:val="18"/>
        <w:szCs w:val="18"/>
      </w:rPr>
      <w:t xml:space="preserve">   |   Mohit Vishwakarma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F1774" w14:textId="77777777" w:rsidR="0056703F" w:rsidRDefault="00000000">
    <w:pPr>
      <w:pBdr>
        <w:bottom w:val="single" w:sz="4" w:space="0" w:color="E0E0E0"/>
      </w:pBdr>
    </w:pPr>
    <w:r>
      <w:rPr>
        <w:rFonts w:ascii="Arial" w:eastAsia="Arial" w:hAnsi="Arial" w:cs="Arial"/>
        <w:color w:val="888888"/>
        <w:sz w:val="18"/>
        <w:szCs w:val="18"/>
      </w:rPr>
      <w:t>Myntra Category Intelligence Project</w:t>
    </w:r>
    <w:r>
      <w:rPr>
        <w:rFonts w:ascii="Arial" w:eastAsia="Arial" w:hAnsi="Arial" w:cs="Arial"/>
        <w:color w:val="FF3F6C"/>
        <w:sz w:val="18"/>
        <w:szCs w:val="18"/>
      </w:rPr>
      <w:t xml:space="preserve">   |   Mohit Vishwakarma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FD458" w14:textId="77777777" w:rsidR="0056703F" w:rsidRDefault="00000000">
    <w:pPr>
      <w:pBdr>
        <w:bottom w:val="single" w:sz="4" w:space="0" w:color="E0E0E0"/>
      </w:pBdr>
    </w:pPr>
    <w:r>
      <w:rPr>
        <w:rFonts w:ascii="Arial" w:eastAsia="Arial" w:hAnsi="Arial" w:cs="Arial"/>
        <w:color w:val="888888"/>
        <w:sz w:val="18"/>
        <w:szCs w:val="18"/>
      </w:rPr>
      <w:t>Myntra Category Intelligence Project</w:t>
    </w:r>
    <w:r>
      <w:rPr>
        <w:rFonts w:ascii="Arial" w:eastAsia="Arial" w:hAnsi="Arial" w:cs="Arial"/>
        <w:color w:val="FF3F6C"/>
        <w:sz w:val="18"/>
        <w:szCs w:val="18"/>
      </w:rPr>
      <w:t xml:space="preserve">   |   Mohit Vishwakarma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2EA69" w14:textId="77777777" w:rsidR="0056703F" w:rsidRDefault="00000000">
    <w:pPr>
      <w:pBdr>
        <w:bottom w:val="single" w:sz="4" w:space="0" w:color="E0E0E0"/>
      </w:pBdr>
    </w:pPr>
    <w:r>
      <w:rPr>
        <w:rFonts w:ascii="Arial" w:eastAsia="Arial" w:hAnsi="Arial" w:cs="Arial"/>
        <w:color w:val="888888"/>
        <w:sz w:val="18"/>
        <w:szCs w:val="18"/>
      </w:rPr>
      <w:t>Myntra Category Intelligence Project</w:t>
    </w:r>
    <w:r>
      <w:rPr>
        <w:rFonts w:ascii="Arial" w:eastAsia="Arial" w:hAnsi="Arial" w:cs="Arial"/>
        <w:color w:val="FF3F6C"/>
        <w:sz w:val="18"/>
        <w:szCs w:val="18"/>
      </w:rPr>
      <w:t xml:space="preserve">   |   Mohit Vishwakarma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A059A" w14:textId="77777777" w:rsidR="0056703F" w:rsidRDefault="00000000">
    <w:pPr>
      <w:pBdr>
        <w:bottom w:val="single" w:sz="4" w:space="0" w:color="E0E0E0"/>
      </w:pBdr>
    </w:pPr>
    <w:r>
      <w:rPr>
        <w:rFonts w:ascii="Arial" w:eastAsia="Arial" w:hAnsi="Arial" w:cs="Arial"/>
        <w:color w:val="888888"/>
        <w:sz w:val="18"/>
        <w:szCs w:val="18"/>
      </w:rPr>
      <w:t>Myntra Category Intelligence Project</w:t>
    </w:r>
    <w:r>
      <w:rPr>
        <w:rFonts w:ascii="Arial" w:eastAsia="Arial" w:hAnsi="Arial" w:cs="Arial"/>
        <w:color w:val="FF3F6C"/>
        <w:sz w:val="18"/>
        <w:szCs w:val="18"/>
      </w:rPr>
      <w:t xml:space="preserve">   |   Mohit Vishwakarma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A1A27" w14:textId="77777777" w:rsidR="0056703F" w:rsidRDefault="00000000">
    <w:pPr>
      <w:pBdr>
        <w:bottom w:val="single" w:sz="4" w:space="0" w:color="E0E0E0"/>
      </w:pBdr>
    </w:pPr>
    <w:r>
      <w:rPr>
        <w:rFonts w:ascii="Arial" w:eastAsia="Arial" w:hAnsi="Arial" w:cs="Arial"/>
        <w:color w:val="888888"/>
        <w:sz w:val="18"/>
        <w:szCs w:val="18"/>
      </w:rPr>
      <w:t>Myntra Category Intelligence Project</w:t>
    </w:r>
    <w:r>
      <w:rPr>
        <w:rFonts w:ascii="Arial" w:eastAsia="Arial" w:hAnsi="Arial" w:cs="Arial"/>
        <w:color w:val="FF3F6C"/>
        <w:sz w:val="18"/>
        <w:szCs w:val="18"/>
      </w:rPr>
      <w:t xml:space="preserve">   |   Mohit Vishwakarma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70CB1"/>
    <w:multiLevelType w:val="hybridMultilevel"/>
    <w:tmpl w:val="1FF6A508"/>
    <w:lvl w:ilvl="0" w:tplc="8F9E26E4">
      <w:start w:val="1"/>
      <w:numFmt w:val="bullet"/>
      <w:lvlText w:val="•"/>
      <w:lvlJc w:val="left"/>
      <w:pPr>
        <w:spacing w:before="40" w:after="40"/>
        <w:ind w:left="560" w:hanging="280"/>
      </w:pPr>
    </w:lvl>
    <w:lvl w:ilvl="1" w:tplc="73F01FEA">
      <w:numFmt w:val="decimal"/>
      <w:lvlText w:val=""/>
      <w:lvlJc w:val="left"/>
    </w:lvl>
    <w:lvl w:ilvl="2" w:tplc="B3847618">
      <w:numFmt w:val="decimal"/>
      <w:lvlText w:val=""/>
      <w:lvlJc w:val="left"/>
    </w:lvl>
    <w:lvl w:ilvl="3" w:tplc="E03289B4">
      <w:numFmt w:val="decimal"/>
      <w:lvlText w:val=""/>
      <w:lvlJc w:val="left"/>
    </w:lvl>
    <w:lvl w:ilvl="4" w:tplc="3D6E2C70">
      <w:numFmt w:val="decimal"/>
      <w:lvlText w:val=""/>
      <w:lvlJc w:val="left"/>
    </w:lvl>
    <w:lvl w:ilvl="5" w:tplc="2BE2F97C">
      <w:numFmt w:val="decimal"/>
      <w:lvlText w:val=""/>
      <w:lvlJc w:val="left"/>
    </w:lvl>
    <w:lvl w:ilvl="6" w:tplc="A9CC9180">
      <w:numFmt w:val="decimal"/>
      <w:lvlText w:val=""/>
      <w:lvlJc w:val="left"/>
    </w:lvl>
    <w:lvl w:ilvl="7" w:tplc="5C327356">
      <w:numFmt w:val="decimal"/>
      <w:lvlText w:val=""/>
      <w:lvlJc w:val="left"/>
    </w:lvl>
    <w:lvl w:ilvl="8" w:tplc="454A7798">
      <w:numFmt w:val="decimal"/>
      <w:lvlText w:val=""/>
      <w:lvlJc w:val="left"/>
    </w:lvl>
  </w:abstractNum>
  <w:abstractNum w:abstractNumId="1" w15:restartNumberingAfterBreak="0">
    <w:nsid w:val="5E286FF2"/>
    <w:multiLevelType w:val="hybridMultilevel"/>
    <w:tmpl w:val="82E4044E"/>
    <w:lvl w:ilvl="0" w:tplc="8AECDFD2">
      <w:start w:val="1"/>
      <w:numFmt w:val="bullet"/>
      <w:lvlText w:val="●"/>
      <w:lvlJc w:val="left"/>
      <w:pPr>
        <w:ind w:left="720" w:hanging="360"/>
      </w:pPr>
    </w:lvl>
    <w:lvl w:ilvl="1" w:tplc="FF5C11C0">
      <w:start w:val="1"/>
      <w:numFmt w:val="bullet"/>
      <w:lvlText w:val="○"/>
      <w:lvlJc w:val="left"/>
      <w:pPr>
        <w:ind w:left="1440" w:hanging="360"/>
      </w:pPr>
    </w:lvl>
    <w:lvl w:ilvl="2" w:tplc="7006071A">
      <w:start w:val="1"/>
      <w:numFmt w:val="bullet"/>
      <w:lvlText w:val="■"/>
      <w:lvlJc w:val="left"/>
      <w:pPr>
        <w:ind w:left="2160" w:hanging="360"/>
      </w:pPr>
    </w:lvl>
    <w:lvl w:ilvl="3" w:tplc="DDF46D8A">
      <w:start w:val="1"/>
      <w:numFmt w:val="bullet"/>
      <w:lvlText w:val="●"/>
      <w:lvlJc w:val="left"/>
      <w:pPr>
        <w:ind w:left="2880" w:hanging="360"/>
      </w:pPr>
    </w:lvl>
    <w:lvl w:ilvl="4" w:tplc="B64E8362">
      <w:start w:val="1"/>
      <w:numFmt w:val="bullet"/>
      <w:lvlText w:val="○"/>
      <w:lvlJc w:val="left"/>
      <w:pPr>
        <w:ind w:left="3600" w:hanging="360"/>
      </w:pPr>
    </w:lvl>
    <w:lvl w:ilvl="5" w:tplc="BEC65F38">
      <w:start w:val="1"/>
      <w:numFmt w:val="bullet"/>
      <w:lvlText w:val="■"/>
      <w:lvlJc w:val="left"/>
      <w:pPr>
        <w:ind w:left="4320" w:hanging="360"/>
      </w:pPr>
    </w:lvl>
    <w:lvl w:ilvl="6" w:tplc="3F24C6B0">
      <w:start w:val="1"/>
      <w:numFmt w:val="bullet"/>
      <w:lvlText w:val="●"/>
      <w:lvlJc w:val="left"/>
      <w:pPr>
        <w:ind w:left="5040" w:hanging="360"/>
      </w:pPr>
    </w:lvl>
    <w:lvl w:ilvl="7" w:tplc="0B5C1042">
      <w:start w:val="1"/>
      <w:numFmt w:val="bullet"/>
      <w:lvlText w:val="●"/>
      <w:lvlJc w:val="left"/>
      <w:pPr>
        <w:ind w:left="5760" w:hanging="360"/>
      </w:pPr>
    </w:lvl>
    <w:lvl w:ilvl="8" w:tplc="36B87A76">
      <w:start w:val="1"/>
      <w:numFmt w:val="bullet"/>
      <w:lvlText w:val="●"/>
      <w:lvlJc w:val="left"/>
      <w:pPr>
        <w:ind w:left="6480" w:hanging="360"/>
      </w:pPr>
    </w:lvl>
  </w:abstractNum>
  <w:num w:numId="1" w16cid:durableId="4598899">
    <w:abstractNumId w:val="1"/>
    <w:lvlOverride w:ilvl="0">
      <w:startOverride w:val="1"/>
    </w:lvlOverride>
  </w:num>
  <w:num w:numId="2" w16cid:durableId="1388186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03F"/>
    <w:rsid w:val="0056703F"/>
    <w:rsid w:val="007213DE"/>
    <w:rsid w:val="00914FB8"/>
    <w:rsid w:val="00B612D6"/>
    <w:rsid w:val="00F40BAB"/>
    <w:rsid w:val="00F67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1075"/>
  <w15:docId w15:val="{647F20A5-2A89-4507-8267-8DF43CEE9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612D6"/>
    <w:pPr>
      <w:tabs>
        <w:tab w:val="center" w:pos="4680"/>
        <w:tab w:val="right" w:pos="9360"/>
      </w:tabs>
    </w:pPr>
  </w:style>
  <w:style w:type="character" w:customStyle="1" w:styleId="HeaderChar">
    <w:name w:val="Header Char"/>
    <w:basedOn w:val="DefaultParagraphFont"/>
    <w:link w:val="Header"/>
    <w:uiPriority w:val="99"/>
    <w:rsid w:val="00B612D6"/>
  </w:style>
  <w:style w:type="paragraph" w:styleId="Footer">
    <w:name w:val="footer"/>
    <w:basedOn w:val="Normal"/>
    <w:link w:val="FooterChar"/>
    <w:uiPriority w:val="99"/>
    <w:unhideWhenUsed/>
    <w:rsid w:val="00B612D6"/>
    <w:pPr>
      <w:tabs>
        <w:tab w:val="center" w:pos="4680"/>
        <w:tab w:val="right" w:pos="9360"/>
      </w:tabs>
    </w:pPr>
  </w:style>
  <w:style w:type="character" w:customStyle="1" w:styleId="FooterChar">
    <w:name w:val="Footer Char"/>
    <w:basedOn w:val="DefaultParagraphFont"/>
    <w:link w:val="Footer"/>
    <w:uiPriority w:val="99"/>
    <w:rsid w:val="00B61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oter" Target="footer5.xml"/><Relationship Id="rId27" Type="http://schemas.openxmlformats.org/officeDocument/2006/relationships/header" Target="header7.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84E52-BC00-456E-89E8-46045876E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1980</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 Vishwakarma</dc:creator>
  <cp:keywords>Myntra</cp:keywords>
  <cp:lastModifiedBy>Mohit Vishwakarma</cp:lastModifiedBy>
  <cp:revision>2</cp:revision>
  <dcterms:created xsi:type="dcterms:W3CDTF">2026-03-14T07:06:00Z</dcterms:created>
  <dcterms:modified xsi:type="dcterms:W3CDTF">2026-03-14T07:06:00Z</dcterms:modified>
</cp:coreProperties>
</file>