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sz w:val="28"/>
        </w:rPr>
        <w:t>LITERATURE REVIEW</w:t>
      </w:r>
    </w:p>
    <w:p>
      <w:pPr>
        <w:pStyle w:val="Heading1"/>
      </w:pPr>
      <w:r>
        <w:rPr>
          <w:rFonts w:ascii="Times New Roman" w:hAnsi="Times New Roman"/>
          <w:sz w:val="28"/>
        </w:rPr>
        <w:t>Bacterial Promoter Prediction: Research Gaps and Proposed Contributions</w:t>
      </w:r>
    </w:p>
    <w:p>
      <w:pPr>
        <w:jc w:val="both"/>
      </w:pPr>
      <w:r>
        <w:rPr>
          <w:rFonts w:ascii="Times New Roman" w:hAnsi="Times New Roman"/>
          <w:sz w:val="24"/>
        </w:rPr>
        <w:t>Field: Computational Biology &amp; Bioinformatics | Focus: Sigma Factor Classification and Compositional Feature Analysis</w:t>
      </w:r>
    </w:p>
    <w:p>
      <w:pPr>
        <w:pStyle w:val="Heading1"/>
      </w:pPr>
      <w:r>
        <w:rPr>
          <w:rFonts w:ascii="Times New Roman" w:hAnsi="Times New Roman"/>
          <w:sz w:val="28"/>
        </w:rPr>
        <w:t>1. Abstract</w:t>
      </w:r>
    </w:p>
    <w:p>
      <w:pPr>
        <w:jc w:val="both"/>
      </w:pPr>
      <w:r>
        <w:rPr>
          <w:rFonts w:ascii="Times New Roman" w:hAnsi="Times New Roman"/>
          <w:sz w:val="24"/>
        </w:rPr>
        <w:t>This review examines the development of computational methods for predicting bacterial promoters, focusing on unresolved research gaps. The current approach involves a two-stage process: Stage 1 differentiates promoter sequences from non-promoter sequences, and Stage 2 identifies the specific sigma (σ) factor class that binds each promoter. Although widely adopted, this approach has three main limitations: (i) compositional features such as AT content, GC/AT ratio, Shannon entropy, and homopolymer runs have not been used for sigma-type classification; (ii) no existing tool calculates these features within defined sub-regions (−10 box, −35 box, spacer, discriminator region); and (iii) no tool produces biologically interpretable, sigma-class-specific feature profiles. This review highlights these gaps and defines research objectives for a proposed three-stage pipeline that addresses them.</w:t>
      </w:r>
    </w:p>
    <w:p>
      <w:pPr>
        <w:pStyle w:val="Heading1"/>
      </w:pPr>
      <w:r>
        <w:rPr>
          <w:rFonts w:ascii="Times New Roman" w:hAnsi="Times New Roman"/>
          <w:sz w:val="28"/>
        </w:rPr>
        <w:t>2. Introduction</w:t>
      </w:r>
    </w:p>
    <w:p>
      <w:pPr>
        <w:jc w:val="both"/>
      </w:pPr>
      <w:r>
        <w:rPr>
          <w:rFonts w:ascii="Times New Roman" w:hAnsi="Times New Roman"/>
          <w:sz w:val="24"/>
        </w:rPr>
        <w:t>Promoters are key regulatory elements controlling bacterial gene expression. They serve as binding sites for RNA polymerase (RNAP) and its sigma (σ) subunit, determining the timing, location, and rate of transcription. Different sigma factors recognize distinct sequence motifs, mainly conserved hexamers at the −10 and −35 positions relative to the transcription start site (TSS). Identifying the sigma factor for a promoter is essential for understanding bacterial gene regulation, stress responses, and metabolism.</w:t>
        <w:br/>
        <w:br/>
        <w:t>Experimental identification of promoters is labor-intensive and not scalable for genome-wide studies. Therefore, computational prediction tools have been developed over the past two decades. Early rule-based and position weight matrix (PWM) methods have been succeeded by machine learning and, more recently, deep learning techniques, such as convolutional neural networks (CNNs) and long short-term memory (LSTM) networks. The dominant framework, formalized by iPromoter-2L and adopted by PromoterLCNN, MULTiPly, CNNPromoter, and others, follows a two-stage classification: first, distinguishing promoters from non-promoters, and second, assigning sigma types [1–5].</w:t>
        <w:br/>
        <w:br/>
        <w:t>Despite these advances, the biological question of which compositional features determine sigma-factor specificity remains unanswered. This study proposes a third stage that calculates and analyzes biologically meaningful features — including AT content, GC/AT ratio, Shannon entropy, and homopolymer runs — across the entire sequence and in functionally defined sub-windows.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