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446B6D" w14:textId="77777777" w:rsidR="00E93550" w:rsidRPr="00264341" w:rsidRDefault="00000000" w:rsidP="0066662E">
      <w:pPr>
        <w:spacing w:line="360" w:lineRule="auto"/>
        <w:jc w:val="center"/>
        <w:rPr>
          <w:rFonts w:ascii="Times New Roman" w:hAnsi="Times New Roman" w:cs="Times New Roman"/>
          <w:sz w:val="24"/>
          <w:szCs w:val="24"/>
        </w:rPr>
      </w:pPr>
      <w:r>
        <w:rPr>
          <w:rFonts w:ascii="Times New Roman" w:hAnsi="Times New Roman" w:cs="Times New Roman"/>
          <w:b/>
          <w:sz w:val="24"/>
          <w:szCs w:val="24"/>
        </w:rPr>
        <w:t>RESEARCH PROTOCOL</w:t>
      </w:r>
      <w:r>
        <w:rPr>
          <w:rFonts w:ascii="Times New Roman" w:hAnsi="Times New Roman" w:cs="Times New Roman"/>
          <w:b/>
          <w:sz w:val="24"/>
          <w:szCs w:val="24"/>
        </w:rPr>
        <w:br/>
        <w:t>UNMSM Doctoral Program in Deep Technologies</w:t>
      </w:r>
      <w:r>
        <w:rPr>
          <w:rFonts w:ascii="Times New Roman" w:hAnsi="Times New Roman" w:cs="Times New Roman"/>
          <w:b/>
          <w:sz w:val="24"/>
          <w:szCs w:val="24"/>
        </w:rPr>
        <w:br/>
      </w:r>
      <w:r>
        <w:rPr>
          <w:rFonts w:ascii="Times New Roman" w:hAnsi="Times New Roman" w:cs="Times New Roman"/>
          <w:sz w:val="24"/>
          <w:szCs w:val="24"/>
        </w:rPr>
        <w:t>Moisés Evangelista Gamarra</w:t>
      </w:r>
      <w:r>
        <w:rPr>
          <w:rFonts w:ascii="Times New Roman" w:hAnsi="Times New Roman" w:cs="Times New Roman"/>
          <w:sz w:val="24"/>
          <w:szCs w:val="24"/>
        </w:rPr>
        <w:br/>
        <w:t>Research Methods and Scientific Integrity in AI and Advanced Technologies</w:t>
      </w:r>
    </w:p>
    <w:p w14:paraId="61DA1A59" w14:textId="77777777" w:rsidR="00E93550" w:rsidRPr="00264341" w:rsidRDefault="00000000" w:rsidP="0066662E">
      <w:pPr>
        <w:pStyle w:val="Ttulo1"/>
        <w:spacing w:line="360" w:lineRule="auto"/>
        <w:rPr>
          <w:rFonts w:ascii="Times New Roman" w:hAnsi="Times New Roman" w:cs="Times New Roman"/>
          <w:color w:val="auto"/>
          <w:sz w:val="24"/>
          <w:szCs w:val="24"/>
        </w:rPr>
      </w:pPr>
      <w:r>
        <w:rPr>
          <w:rFonts w:ascii="Times New Roman" w:hAnsi="Times New Roman" w:cs="Times New Roman"/>
          <w:color w:val="auto"/>
          <w:sz w:val="24"/>
          <w:szCs w:val="24"/>
        </w:rPr>
        <w:t>01. TITLE / TÍTULO</w:t>
      </w:r>
    </w:p>
    <w:p w14:paraId="0731BBCD" w14:textId="77777777" w:rsidR="00E93550" w:rsidRPr="00264341" w:rsidRDefault="0066662E" w:rsidP="0066662E">
      <w:pPr>
        <w:spacing w:line="360" w:lineRule="auto"/>
        <w:rPr>
          <w:rFonts w:ascii="Times New Roman" w:hAnsi="Times New Roman" w:cs="Times New Roman"/>
          <w:sz w:val="24"/>
          <w:szCs w:val="24"/>
        </w:rPr>
      </w:pPr>
      <w:r>
        <w:rPr>
          <w:rFonts w:ascii="Times New Roman" w:hAnsi="Times New Roman" w:cs="Times New Roman"/>
          <w:sz w:val="24"/>
          <w:szCs w:val="24"/>
        </w:rPr>
        <w:t>“A Reproducible Trustworthy Artificial Intelligence Framework for Traffic-Flow Forecasting Using Open Data from Peru’s National Road Network”</w:t>
      </w:r>
    </w:p>
    <w:p w14:paraId="19FE576E" w14:textId="77777777" w:rsidR="00E93550" w:rsidRPr="00264341" w:rsidRDefault="00000000" w:rsidP="0066662E">
      <w:pPr>
        <w:pStyle w:val="Ttulo1"/>
        <w:spacing w:line="360" w:lineRule="auto"/>
        <w:rPr>
          <w:rFonts w:ascii="Times New Roman" w:hAnsi="Times New Roman" w:cs="Times New Roman"/>
          <w:color w:val="auto"/>
          <w:sz w:val="24"/>
          <w:szCs w:val="24"/>
        </w:rPr>
      </w:pPr>
      <w:r>
        <w:rPr>
          <w:rFonts w:ascii="Times New Roman" w:hAnsi="Times New Roman" w:cs="Times New Roman"/>
          <w:color w:val="auto"/>
          <w:sz w:val="24"/>
          <w:szCs w:val="24"/>
        </w:rPr>
        <w:t>02. ABSTRACT / RESUMEN</w:t>
      </w:r>
    </w:p>
    <w:p w14:paraId="4D6CD407" w14:textId="77777777" w:rsidR="0066662E" w:rsidRDefault="00000000" w:rsidP="0066662E">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This research proposes and evaluates a reproducible Trustworthy Artificial Intelligence (AI) Framework for forecasting traffic flow with open data from Peru’s National Road Network. It starts from a practical concern that is easy to overlook: a model that forecasts accurately is not necessarily part of a workflow that others can reproduce, trace, explain, or rely on once traffic conditions change. Closing that distance between accuracy and trust is the central motivation of the thesis.</w:t>
      </w:r>
    </w:p>
    <w:p w14:paraId="630EEBCE" w14:textId="77777777" w:rsidR="0006460C" w:rsidRDefault="00000000" w:rsidP="000565F1">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Following Design Science Research (DSR), the study designs a computational artifact that brings together, within a single workflow, data-quality assessment, reproducible feature engineering, temporal validation, forecasting models, uncertainty quantification, explainability, and robustness analysis. The artifact is then evaluated empirically on more than a decade of monthly toll records, so that each component is judged by the evidence it produces rather than by its conceptual appeal.</w:t>
      </w:r>
    </w:p>
    <w:p w14:paraId="4E7920D1" w14:textId="77777777" w:rsidR="000565F1" w:rsidRDefault="00000000" w:rsidP="000565F1">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Framework will be compared against a conventional forecasting workflow and against a seasonal naïve baseline, so that any improvement can be attributed to the Framework itself rather than to the strong seasonality already present in the data. The expected contribution is twofold: a tested artifact and design knowledge that other researchers and road agencies can reuse to build more reliable and reproducible traffic-flow forecasts in similar open-data settings. [1]</w:t>
      </w:r>
    </w:p>
    <w:p w14:paraId="17ECC9BF" w14:textId="77777777" w:rsidR="00E93550" w:rsidRPr="00264341" w:rsidRDefault="00000000" w:rsidP="0066662E">
      <w:pPr>
        <w:pStyle w:val="Ttulo1"/>
        <w:spacing w:line="360" w:lineRule="auto"/>
        <w:rPr>
          <w:rFonts w:ascii="Times New Roman" w:hAnsi="Times New Roman" w:cs="Times New Roman"/>
          <w:color w:val="auto"/>
          <w:sz w:val="24"/>
          <w:szCs w:val="24"/>
        </w:rPr>
      </w:pPr>
      <w:r>
        <w:rPr>
          <w:rFonts w:ascii="Times New Roman" w:hAnsi="Times New Roman" w:cs="Times New Roman"/>
          <w:color w:val="auto"/>
          <w:sz w:val="24"/>
          <w:szCs w:val="24"/>
        </w:rPr>
        <w:t>03. INTRODUCTION &amp; PROBLEM STATEMENT / INTRODUCCIÓN Y PROBLEMA</w:t>
      </w:r>
    </w:p>
    <w:p w14:paraId="7204535D" w14:textId="77777777" w:rsidR="00E93550" w:rsidRPr="00264341" w:rsidRDefault="00000000" w:rsidP="0006460C">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Traffic-flow forecasting supports transportation planning, toll-plaza operation, and road-network management in Peru, where the MTC now publishes more than a decade of monthly toll records as open data. What remains unknown is whether forecasts built on these data can be reproduced, traced back to their sources, explained, and trusted when traffic conditions change, because current studies report predictive accuracy but rarely integrate traceability, uncertainty, explainability, and robustness into a </w:t>
      </w:r>
      <w:r>
        <w:rPr>
          <w:rFonts w:ascii="Times New Roman" w:hAnsi="Times New Roman" w:cs="Times New Roman"/>
          <w:sz w:val="24"/>
          <w:szCs w:val="24"/>
        </w:rPr>
        <w:lastRenderedPageBreak/>
        <w:t>single workflow, and they remain exposed to data leakage that can inflate reported performance [2]. The question is pressing now because open data and Machine Learning are beginning to inform public decisions on toll operation, road maintenance, and investment, and a forecast that nobody can verify would weaken those decisions.</w:t>
      </w:r>
    </w:p>
    <w:p w14:paraId="2AFF12B8" w14:textId="77777777" w:rsidR="00E93550" w:rsidRPr="00264341" w:rsidRDefault="00000000" w:rsidP="0066662E">
      <w:pPr>
        <w:spacing w:line="360" w:lineRule="auto"/>
        <w:ind w:firstLine="720"/>
        <w:jc w:val="both"/>
        <w:rPr>
          <w:rFonts w:ascii="Times New Roman" w:hAnsi="Times New Roman" w:cs="Times New Roman"/>
          <w:sz w:val="24"/>
          <w:szCs w:val="24"/>
        </w:rPr>
      </w:pPr>
      <w:r>
        <w:rPr>
          <w:rFonts w:ascii="Times New Roman" w:hAnsi="Times New Roman" w:cs="Times New Roman"/>
          <w:bCs/>
          <w:sz w:val="24"/>
          <w:szCs w:val="24"/>
        </w:rPr>
        <w:t>So what?</w:t>
      </w:r>
      <w:r>
        <w:rPr>
          <w:rFonts w:ascii="Times New Roman" w:hAnsi="Times New Roman" w:cs="Times New Roman"/>
          <w:b/>
          <w:sz w:val="24"/>
          <w:szCs w:val="24"/>
        </w:rPr>
        <w:t xml:space="preserve"> </w:t>
      </w:r>
      <w:r>
        <w:rPr>
          <w:rFonts w:ascii="Times New Roman" w:hAnsi="Times New Roman" w:cs="Times New Roman"/>
          <w:sz w:val="24"/>
          <w:szCs w:val="24"/>
        </w:rPr>
        <w:t>The practical consequence is significant. A model may perform well in one period and, once the data or traffic conditions change, become difficult to audit, to reproduce, or even to interpret. When such a model supports decisions on toll operation, road maintenance, or investment in the national road network, that fragility becomes a public problem rather than a purely technical one, because nobody can verify why the forecast changed or whether it can still be trusted.</w:t>
      </w:r>
    </w:p>
    <w:p w14:paraId="167DE11B" w14:textId="77777777" w:rsidR="00E93550" w:rsidRPr="00264341" w:rsidRDefault="00000000" w:rsidP="0066662E">
      <w:pPr>
        <w:pStyle w:val="Ttulo1"/>
        <w:spacing w:line="360" w:lineRule="auto"/>
        <w:rPr>
          <w:rFonts w:ascii="Times New Roman" w:hAnsi="Times New Roman" w:cs="Times New Roman"/>
          <w:color w:val="auto"/>
          <w:sz w:val="24"/>
          <w:szCs w:val="24"/>
        </w:rPr>
      </w:pPr>
      <w:r>
        <w:rPr>
          <w:rFonts w:ascii="Times New Roman" w:hAnsi="Times New Roman" w:cs="Times New Roman"/>
          <w:color w:val="auto"/>
          <w:sz w:val="24"/>
          <w:szCs w:val="24"/>
        </w:rPr>
        <w:t>04. LITERATURE REVIEW / REVISIÓN DE LITERATURA</w:t>
      </w:r>
    </w:p>
    <w:p w14:paraId="76318E7D" w14:textId="77777777" w:rsidR="00E93550" w:rsidRPr="00264341" w:rsidRDefault="00000000" w:rsidP="0066662E">
      <w:pPr>
        <w:pStyle w:val="Ttulo2"/>
        <w:spacing w:line="360" w:lineRule="auto"/>
        <w:rPr>
          <w:rFonts w:ascii="Times New Roman" w:hAnsi="Times New Roman" w:cs="Times New Roman"/>
          <w:color w:val="auto"/>
          <w:sz w:val="24"/>
          <w:szCs w:val="24"/>
        </w:rPr>
      </w:pPr>
      <w:r>
        <w:rPr>
          <w:rFonts w:ascii="Times New Roman" w:hAnsi="Times New Roman" w:cs="Times New Roman"/>
          <w:color w:val="auto"/>
          <w:sz w:val="24"/>
          <w:szCs w:val="24"/>
        </w:rPr>
        <w:t>4.1 Traffic-Flow Forecasting</w:t>
      </w:r>
    </w:p>
    <w:p w14:paraId="66344EC3" w14:textId="77777777" w:rsidR="0006460C" w:rsidRDefault="00000000" w:rsidP="0006460C">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Traffic-flow forecasting has been approached through classical time-series models, Machine Learning, and, more recently, Deep Learning. This review covers ARIMA-type models, the seasonal naïve baseline, Gradient Boosting, Deep Learning architectures, temporal validation schemes, and prediction intervals. Together, these topics define both the state of the art and the minimum standard of comparison that any new proposal must meet before it can claim a real advance.</w:t>
      </w:r>
    </w:p>
    <w:p w14:paraId="7FBE8AB1" w14:textId="77777777" w:rsidR="00E93550" w:rsidRPr="0006460C" w:rsidRDefault="00000000" w:rsidP="0006460C">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XGBoost, LightGBM, and CatBoost are treated here as members of a single Gradient Boosting family rather than as independent contributions, since they share the same learning principle and differ mainly in implementation details. The seasonal naïve baseline deserves particular attention: because traffic flow follows strong seasonal cycles, a model that cannot beat this simple reference has not yet demonstrated genuine forecasting skill, however sophisticated its architecture may be. [1]</w:t>
      </w:r>
    </w:p>
    <w:p w14:paraId="4BDBB22B" w14:textId="77777777" w:rsidR="00E93550" w:rsidRPr="00264341" w:rsidRDefault="00000000" w:rsidP="0066662E">
      <w:pPr>
        <w:pStyle w:val="Ttulo2"/>
        <w:spacing w:line="360" w:lineRule="auto"/>
        <w:rPr>
          <w:rFonts w:ascii="Times New Roman" w:hAnsi="Times New Roman" w:cs="Times New Roman"/>
          <w:color w:val="auto"/>
          <w:sz w:val="24"/>
          <w:szCs w:val="24"/>
        </w:rPr>
      </w:pPr>
      <w:r>
        <w:rPr>
          <w:rFonts w:ascii="Times New Roman" w:hAnsi="Times New Roman" w:cs="Times New Roman"/>
          <w:color w:val="auto"/>
          <w:sz w:val="24"/>
          <w:szCs w:val="24"/>
        </w:rPr>
        <w:t>4.2 Trustworthy Artificial Intelligence</w:t>
      </w:r>
    </w:p>
    <w:p w14:paraId="464EFDDA" w14:textId="77777777" w:rsidR="0006460C" w:rsidRDefault="00000000" w:rsidP="0006460C">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Trustworthy AI goes beyond accuracy. In this study, it is understood through the properties that matter most for a forecasting system used in the public sector, namely reliability, robustness, explainability, transparency, the communication of uncertainty, and human oversight. The NIST AI Risk Management Framework and the Ethics Guidelines of the European Commission’s High-Level Expert Group on AI provide the main conceptual references, and the Framework translates their principles into checks that can be verified within the forecasting workflow. [2]</w:t>
      </w:r>
    </w:p>
    <w:p w14:paraId="5F6D730E" w14:textId="77777777" w:rsidR="00E93550" w:rsidRPr="00264341" w:rsidRDefault="00000000" w:rsidP="0039186C">
      <w:pPr>
        <w:pStyle w:val="Ttulo2"/>
        <w:spacing w:before="0" w:line="360" w:lineRule="auto"/>
        <w:rPr>
          <w:rFonts w:ascii="Times New Roman" w:hAnsi="Times New Roman" w:cs="Times New Roman"/>
          <w:color w:val="auto"/>
          <w:sz w:val="24"/>
          <w:szCs w:val="24"/>
        </w:rPr>
      </w:pPr>
      <w:r>
        <w:rPr>
          <w:rFonts w:ascii="Times New Roman" w:hAnsi="Times New Roman" w:cs="Times New Roman"/>
          <w:color w:val="auto"/>
          <w:sz w:val="24"/>
          <w:szCs w:val="24"/>
        </w:rPr>
        <w:lastRenderedPageBreak/>
        <w:t>4.3 Reproducibility, Repeatability and Replicability</w:t>
      </w:r>
    </w:p>
    <w:p w14:paraId="04E3B848" w14:textId="77777777" w:rsidR="0006460C" w:rsidRDefault="00000000" w:rsidP="0039186C">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study distinguishes three related concepts that are often used interchangeably. Repeatability means that the same team obtains comparable results under the same conditions, whereas reproducibility means that a different team obtains the same result by using the artifacts released with the study. Replicability goes one step further, since another team independently applies the methodology under a different setup, such as other data or a new implementation. Because rerunning my own pipeline demonstrates only repeatability, the research plan includes an independent reproduction attempt carried out by a third party. [3]</w:t>
      </w:r>
    </w:p>
    <w:p w14:paraId="478CC5D4" w14:textId="77777777" w:rsidR="0039186C" w:rsidRDefault="0039186C" w:rsidP="0039186C">
      <w:pPr>
        <w:pStyle w:val="Ttulo2"/>
        <w:spacing w:before="0" w:line="360" w:lineRule="auto"/>
        <w:rPr>
          <w:rFonts w:ascii="Times New Roman" w:hAnsi="Times New Roman" w:cs="Times New Roman"/>
          <w:color w:val="auto"/>
          <w:sz w:val="24"/>
          <w:szCs w:val="24"/>
        </w:rPr>
      </w:pPr>
    </w:p>
    <w:p w14:paraId="2F214D9E" w14:textId="54C93F43" w:rsidR="00E93550" w:rsidRPr="00264341" w:rsidRDefault="00000000" w:rsidP="0039186C">
      <w:pPr>
        <w:pStyle w:val="Ttulo2"/>
        <w:spacing w:before="0" w:line="360" w:lineRule="auto"/>
        <w:rPr>
          <w:rFonts w:ascii="Times New Roman" w:hAnsi="Times New Roman" w:cs="Times New Roman"/>
          <w:color w:val="auto"/>
          <w:sz w:val="24"/>
          <w:szCs w:val="24"/>
        </w:rPr>
      </w:pPr>
      <w:r>
        <w:rPr>
          <w:rFonts w:ascii="Times New Roman" w:hAnsi="Times New Roman" w:cs="Times New Roman"/>
          <w:color w:val="auto"/>
          <w:sz w:val="24"/>
          <w:szCs w:val="24"/>
        </w:rPr>
        <w:t>4.4 Data Leakage, Data Quality and Traceability</w:t>
      </w:r>
    </w:p>
    <w:p w14:paraId="2BAB675D" w14:textId="77777777" w:rsidR="00E93550" w:rsidRPr="00264341" w:rsidRDefault="00000000" w:rsidP="0039186C">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Data leakage can make Machine Learning results look better than they really are. The review therefore examines its main forms in time-series settings, namely temporal leakage, train-test contamination, preprocessing leakage, feature leakage, and leakage introduced during imputation or feature selection. Missing toll records will be handled through an explicit sequence of detection, classification, treatment or imputation, and justification, so that every decision can be traced and, if necessary, questioned. [4]</w:t>
      </w:r>
    </w:p>
    <w:p w14:paraId="32C873F6" w14:textId="77777777" w:rsidR="0039186C" w:rsidRDefault="0039186C" w:rsidP="0039186C">
      <w:pPr>
        <w:pStyle w:val="Ttulo2"/>
        <w:spacing w:before="0" w:line="360" w:lineRule="auto"/>
        <w:rPr>
          <w:rFonts w:ascii="Times New Roman" w:hAnsi="Times New Roman" w:cs="Times New Roman"/>
          <w:color w:val="auto"/>
          <w:sz w:val="24"/>
          <w:szCs w:val="24"/>
        </w:rPr>
      </w:pPr>
    </w:p>
    <w:p w14:paraId="69A920C4" w14:textId="7E8E43B5" w:rsidR="00E93550" w:rsidRPr="00264341" w:rsidRDefault="00000000" w:rsidP="0039186C">
      <w:pPr>
        <w:pStyle w:val="Ttulo2"/>
        <w:spacing w:before="0" w:line="360" w:lineRule="auto"/>
        <w:rPr>
          <w:rFonts w:ascii="Times New Roman" w:hAnsi="Times New Roman" w:cs="Times New Roman"/>
          <w:color w:val="auto"/>
          <w:sz w:val="24"/>
          <w:szCs w:val="24"/>
        </w:rPr>
      </w:pPr>
      <w:r>
        <w:rPr>
          <w:rFonts w:ascii="Times New Roman" w:hAnsi="Times New Roman" w:cs="Times New Roman"/>
          <w:color w:val="auto"/>
          <w:sz w:val="24"/>
          <w:szCs w:val="24"/>
        </w:rPr>
        <w:t>4.5 Design Science Research</w:t>
      </w:r>
    </w:p>
    <w:p w14:paraId="185AF212" w14:textId="77777777" w:rsidR="0006460C" w:rsidRDefault="00000000" w:rsidP="0039186C">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Design Science Research is the main methodology because the central contribution of the thesis is a computational artifact, the Reproducible Trustworthy AI Framework. Hevner et al. [5] provide the foundation for designing and evaluating such artifacts in information systems research, and Peffers et al. [6] complement this foundation with a structured DSR process. Gregor and Hevner [7], in turn, stress that doctoral research should deliver design knowledge that others can reuse, not only a working artifact, which is precisely the standard this thesis adopts.</w:t>
      </w:r>
    </w:p>
    <w:p w14:paraId="03DA287C" w14:textId="77777777" w:rsidR="0039186C" w:rsidRDefault="0039186C" w:rsidP="0039186C">
      <w:pPr>
        <w:pStyle w:val="Ttulo2"/>
        <w:spacing w:before="0" w:line="360" w:lineRule="auto"/>
        <w:rPr>
          <w:rFonts w:ascii="Times New Roman" w:hAnsi="Times New Roman" w:cs="Times New Roman"/>
          <w:color w:val="auto"/>
          <w:sz w:val="24"/>
          <w:szCs w:val="24"/>
        </w:rPr>
      </w:pPr>
    </w:p>
    <w:p w14:paraId="74056178" w14:textId="4F156BEC" w:rsidR="00E93550" w:rsidRPr="00264341" w:rsidRDefault="00000000" w:rsidP="0039186C">
      <w:pPr>
        <w:pStyle w:val="Ttulo2"/>
        <w:spacing w:before="0" w:line="360" w:lineRule="auto"/>
        <w:rPr>
          <w:rFonts w:ascii="Times New Roman" w:hAnsi="Times New Roman" w:cs="Times New Roman"/>
          <w:color w:val="auto"/>
          <w:sz w:val="24"/>
          <w:szCs w:val="24"/>
        </w:rPr>
      </w:pPr>
      <w:r>
        <w:rPr>
          <w:rFonts w:ascii="Times New Roman" w:hAnsi="Times New Roman" w:cs="Times New Roman"/>
          <w:color w:val="auto"/>
          <w:sz w:val="24"/>
          <w:szCs w:val="24"/>
        </w:rPr>
        <w:t>4.6 Prediction-Model Reporting</w:t>
      </w:r>
    </w:p>
    <w:p w14:paraId="0D793CFF" w14:textId="77777777" w:rsidR="00E93550" w:rsidRPr="00264341" w:rsidRDefault="00000000" w:rsidP="0039186C">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TRIPOD+AI will guide the transparent reporting of the prediction models. Although the guideline was developed for clinical prediction, its checklist transfers well to this setting, and the protocol will use it to report the dataset, predictors, preprocessing, missing-data handling, validation strategy, model configuration, metrics, uncertainty, and limitations. Following a recognized reporting standard also makes it easier for reviewers and future users to judge whether the results are complete and whether the models can be reused safely. [8]</w:t>
      </w:r>
    </w:p>
    <w:p w14:paraId="7F25B49C" w14:textId="77777777" w:rsidR="00E93550" w:rsidRPr="00264341" w:rsidRDefault="00000000" w:rsidP="0039186C">
      <w:pPr>
        <w:pStyle w:val="Ttulo2"/>
        <w:spacing w:before="0" w:line="360" w:lineRule="auto"/>
        <w:rPr>
          <w:rFonts w:ascii="Times New Roman" w:hAnsi="Times New Roman" w:cs="Times New Roman"/>
          <w:color w:val="auto"/>
          <w:sz w:val="24"/>
          <w:szCs w:val="24"/>
        </w:rPr>
      </w:pPr>
      <w:r>
        <w:rPr>
          <w:rFonts w:ascii="Times New Roman" w:hAnsi="Times New Roman" w:cs="Times New Roman"/>
          <w:color w:val="auto"/>
          <w:sz w:val="24"/>
          <w:szCs w:val="24"/>
        </w:rPr>
        <w:lastRenderedPageBreak/>
        <w:t>4.7 Explainability and SHAP</w:t>
      </w:r>
    </w:p>
    <w:p w14:paraId="648ECACB" w14:textId="77777777" w:rsidR="00E93550" w:rsidRPr="00264341" w:rsidRDefault="00000000" w:rsidP="0039186C">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SHAP will be used to explain individual predictions and the contribution of each feature. Its results will not be read as evidence of causality, especially because traffic-forecasting features such as lags and rolling averages are strongly correlated and autocorrelated, a condition under which attributions tend to be shared among related variables. Instead, SHAP values will be treated as descriptions of how the fitted models use the available information, and their stability across temporal validation windows will be checked before any interpretation. [9]</w:t>
      </w:r>
    </w:p>
    <w:p w14:paraId="0924A92A" w14:textId="77777777" w:rsidR="0039186C" w:rsidRPr="0039186C" w:rsidRDefault="0039186C" w:rsidP="0039186C">
      <w:pPr>
        <w:pStyle w:val="Ttulo2"/>
        <w:spacing w:before="0" w:line="360" w:lineRule="auto"/>
        <w:rPr>
          <w:rFonts w:ascii="Times New Roman" w:hAnsi="Times New Roman" w:cs="Times New Roman"/>
          <w:color w:val="auto"/>
          <w:sz w:val="12"/>
          <w:szCs w:val="12"/>
        </w:rPr>
      </w:pPr>
    </w:p>
    <w:p w14:paraId="5506ACFB" w14:textId="634FD82A" w:rsidR="00E93550" w:rsidRPr="00264341" w:rsidRDefault="00000000" w:rsidP="0039186C">
      <w:pPr>
        <w:pStyle w:val="Ttulo2"/>
        <w:spacing w:before="0" w:line="360" w:lineRule="auto"/>
        <w:rPr>
          <w:rFonts w:ascii="Times New Roman" w:hAnsi="Times New Roman" w:cs="Times New Roman"/>
          <w:color w:val="auto"/>
          <w:sz w:val="24"/>
          <w:szCs w:val="24"/>
        </w:rPr>
      </w:pPr>
      <w:r>
        <w:rPr>
          <w:rFonts w:ascii="Times New Roman" w:hAnsi="Times New Roman" w:cs="Times New Roman"/>
          <w:color w:val="auto"/>
          <w:sz w:val="24"/>
          <w:szCs w:val="24"/>
        </w:rPr>
        <w:t>4.8 FAIR and Data Governance</w:t>
      </w:r>
    </w:p>
    <w:p w14:paraId="7C26EDD9" w14:textId="77777777" w:rsidR="00E93550" w:rsidRPr="00264341" w:rsidRDefault="00000000" w:rsidP="0039186C">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FAIR principles, which require data to be Findable, Accessible, Interoperable, and Reusable, will shape the data-governance component of the Framework. In practice, this means documenting the MTC source and its versions, describing every processed dataset with clear metadata, and releasing code and derived data under open licenses whenever the terms of the original source allow it, so that the whole chain from raw records to results remains available to others. [10]</w:t>
      </w:r>
    </w:p>
    <w:p w14:paraId="187EF2E7" w14:textId="77777777" w:rsidR="0039186C" w:rsidRPr="0039186C" w:rsidRDefault="0039186C" w:rsidP="0039186C">
      <w:pPr>
        <w:pStyle w:val="Ttulo2"/>
        <w:spacing w:before="0" w:line="360" w:lineRule="auto"/>
        <w:rPr>
          <w:rFonts w:ascii="Times New Roman" w:hAnsi="Times New Roman" w:cs="Times New Roman"/>
          <w:color w:val="auto"/>
          <w:sz w:val="16"/>
          <w:szCs w:val="16"/>
        </w:rPr>
      </w:pPr>
    </w:p>
    <w:p w14:paraId="7C7FA7C6" w14:textId="5E7A64EE" w:rsidR="00E93550" w:rsidRPr="00264341" w:rsidRDefault="00000000" w:rsidP="0039186C">
      <w:pPr>
        <w:pStyle w:val="Ttulo2"/>
        <w:spacing w:before="0" w:line="360" w:lineRule="auto"/>
        <w:rPr>
          <w:rFonts w:ascii="Times New Roman" w:hAnsi="Times New Roman" w:cs="Times New Roman"/>
          <w:color w:val="auto"/>
          <w:sz w:val="24"/>
          <w:szCs w:val="24"/>
        </w:rPr>
      </w:pPr>
      <w:r>
        <w:rPr>
          <w:rFonts w:ascii="Times New Roman" w:hAnsi="Times New Roman" w:cs="Times New Roman"/>
          <w:color w:val="auto"/>
          <w:sz w:val="24"/>
          <w:szCs w:val="24"/>
        </w:rPr>
        <w:t>4.9 Distribution Shift</w:t>
      </w:r>
    </w:p>
    <w:p w14:paraId="48544034" w14:textId="77777777" w:rsidR="00FE3220" w:rsidRDefault="00000000" w:rsidP="0039186C">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Framework will also account for distribution shift caused by holidays, road closures, strikes, blockades, special events, and atypical periods such as the COVID-19 pandemic. Each episode will follow the same sequence: it is detected, flagged, evaluated for its effect on performance, and reported, and the evaluation then informs whether the models should be recalibrated or retrained. This explicit routine prevents atypical periods from silently distorting either the training of the models or the interpretation of their errors. [2]</w:t>
      </w:r>
    </w:p>
    <w:p w14:paraId="05351185" w14:textId="77777777" w:rsidR="0039186C" w:rsidRPr="0039186C" w:rsidRDefault="0039186C" w:rsidP="0039186C">
      <w:pPr>
        <w:pStyle w:val="Ttulo2"/>
        <w:spacing w:before="0" w:line="360" w:lineRule="auto"/>
        <w:rPr>
          <w:rFonts w:ascii="Times New Roman" w:hAnsi="Times New Roman" w:cs="Times New Roman"/>
          <w:color w:val="auto"/>
          <w:sz w:val="14"/>
          <w:szCs w:val="14"/>
        </w:rPr>
      </w:pPr>
    </w:p>
    <w:p w14:paraId="632FECAC" w14:textId="593945BC" w:rsidR="00E93550" w:rsidRPr="00264341" w:rsidRDefault="00000000" w:rsidP="0039186C">
      <w:pPr>
        <w:pStyle w:val="Ttulo2"/>
        <w:spacing w:before="0" w:line="360" w:lineRule="auto"/>
        <w:rPr>
          <w:rFonts w:ascii="Times New Roman" w:hAnsi="Times New Roman" w:cs="Times New Roman"/>
          <w:color w:val="auto"/>
          <w:sz w:val="24"/>
          <w:szCs w:val="24"/>
        </w:rPr>
      </w:pPr>
      <w:r>
        <w:rPr>
          <w:rFonts w:ascii="Times New Roman" w:hAnsi="Times New Roman" w:cs="Times New Roman"/>
          <w:color w:val="auto"/>
          <w:sz w:val="24"/>
          <w:szCs w:val="24"/>
        </w:rPr>
        <w:t>4.10 Literature Gap</w:t>
      </w:r>
    </w:p>
    <w:p w14:paraId="40975DE6" w14:textId="77777777" w:rsidR="00D32405" w:rsidRDefault="00000000" w:rsidP="0039186C">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Taken together, the literature offers forecasting methods, Trustworthy AI principles, reproducibility practices, explainability techniques, and data-governance principles, but it tends to treat them in isolation. The gap addressed by this thesis lies in their integration into a single, empirically evaluated, and reproducible framework for traffic-flow forecasting based on Peruvian open data. The thesis therefore does not propose new principles; instead, it shows how existing ones can work together in practice and what that integration demands. [2]</w:t>
      </w:r>
    </w:p>
    <w:p w14:paraId="537C73BF" w14:textId="77777777" w:rsidR="0039186C" w:rsidRPr="0039186C" w:rsidRDefault="0039186C" w:rsidP="0039186C">
      <w:pPr>
        <w:spacing w:after="0" w:line="360" w:lineRule="auto"/>
        <w:jc w:val="both"/>
        <w:rPr>
          <w:rFonts w:ascii="Times New Roman" w:hAnsi="Times New Roman" w:cs="Times New Roman"/>
          <w:b/>
          <w:bCs/>
          <w:sz w:val="16"/>
          <w:szCs w:val="16"/>
          <w:lang w:val="es-PE"/>
        </w:rPr>
      </w:pPr>
    </w:p>
    <w:p w14:paraId="700E798E" w14:textId="77777777" w:rsidR="0039186C" w:rsidRDefault="00000000" w:rsidP="0039186C">
      <w:pPr>
        <w:spacing w:after="0" w:line="360" w:lineRule="auto"/>
        <w:jc w:val="both"/>
        <w:rPr>
          <w:rFonts w:ascii="Times New Roman" w:hAnsi="Times New Roman" w:cs="Times New Roman"/>
          <w:b/>
          <w:bCs/>
          <w:sz w:val="24"/>
          <w:szCs w:val="24"/>
          <w:lang w:val="es-PE"/>
        </w:rPr>
      </w:pPr>
      <w:r>
        <w:rPr>
          <w:rFonts w:ascii="Times New Roman" w:hAnsi="Times New Roman" w:cs="Times New Roman"/>
          <w:b/>
          <w:bCs/>
          <w:sz w:val="24"/>
          <w:szCs w:val="24"/>
          <w:lang w:val="es-PE"/>
        </w:rPr>
        <w:t xml:space="preserve">05. RESEARCH QUESTIONS, HYPOTHESES &amp; OBJECTIVES </w:t>
      </w:r>
    </w:p>
    <w:p w14:paraId="0765B4DC" w14:textId="77777777" w:rsidR="0039186C" w:rsidRDefault="00D32405" w:rsidP="0039186C">
      <w:pPr>
        <w:spacing w:after="0" w:line="360" w:lineRule="auto"/>
        <w:jc w:val="both"/>
        <w:rPr>
          <w:rFonts w:ascii="Times New Roman" w:hAnsi="Times New Roman" w:cs="Times New Roman"/>
          <w:b/>
          <w:bCs/>
          <w:color w:val="000000" w:themeColor="text1"/>
          <w:sz w:val="24"/>
          <w:szCs w:val="24"/>
          <w:lang w:val="es-PE"/>
        </w:rPr>
      </w:pPr>
      <w:r w:rsidRPr="0039186C">
        <w:rPr>
          <w:rFonts w:ascii="Times New Roman" w:hAnsi="Times New Roman" w:cs="Times New Roman"/>
          <w:b/>
          <w:bCs/>
          <w:color w:val="000000" w:themeColor="text1"/>
          <w:sz w:val="24"/>
          <w:szCs w:val="24"/>
          <w:lang w:val="es-PE"/>
        </w:rPr>
        <w:t>General Research Question</w:t>
      </w:r>
      <w:r w:rsidR="0039186C">
        <w:rPr>
          <w:rFonts w:ascii="Times New Roman" w:hAnsi="Times New Roman" w:cs="Times New Roman"/>
          <w:b/>
          <w:bCs/>
          <w:color w:val="000000" w:themeColor="text1"/>
          <w:sz w:val="24"/>
          <w:szCs w:val="24"/>
          <w:lang w:val="es-PE"/>
        </w:rPr>
        <w:t xml:space="preserve">: </w:t>
      </w:r>
    </w:p>
    <w:p w14:paraId="491DBE35" w14:textId="649A1D5F" w:rsidR="00D32405" w:rsidRPr="005D065E" w:rsidRDefault="00D32405" w:rsidP="0039186C">
      <w:pPr>
        <w:spacing w:after="0" w:line="360" w:lineRule="auto"/>
        <w:jc w:val="both"/>
        <w:rPr>
          <w:rFonts w:ascii="Times New Roman" w:hAnsi="Times New Roman" w:cs="Times New Roman"/>
          <w:b/>
          <w:bCs/>
          <w:color w:val="000000" w:themeColor="text1"/>
          <w:sz w:val="24"/>
          <w:szCs w:val="24"/>
          <w:lang w:val="es-PE"/>
        </w:rPr>
      </w:pPr>
      <w:r>
        <w:rPr>
          <w:rFonts w:ascii="Times New Roman" w:hAnsi="Times New Roman" w:cs="Times New Roman"/>
          <w:color w:val="000000" w:themeColor="text1"/>
          <w:sz w:val="24"/>
          <w:szCs w:val="24"/>
          <w:lang w:val="es-PE"/>
        </w:rPr>
        <w:t>How can a reproducible Trustworthy AI Framework make Peru’s traffic forecasts more reliable?</w:t>
      </w:r>
    </w:p>
    <w:p w14:paraId="4214888E" w14:textId="77777777" w:rsidR="0039186C" w:rsidRDefault="0039186C" w:rsidP="0039186C">
      <w:pPr>
        <w:pStyle w:val="Ttulo1"/>
        <w:spacing w:before="0" w:line="360" w:lineRule="auto"/>
        <w:jc w:val="both"/>
        <w:rPr>
          <w:rFonts w:ascii="Times New Roman" w:hAnsi="Times New Roman" w:cs="Times New Roman"/>
          <w:color w:val="000000" w:themeColor="text1"/>
          <w:sz w:val="24"/>
          <w:szCs w:val="24"/>
          <w:lang w:val="es-PE"/>
        </w:rPr>
      </w:pPr>
    </w:p>
    <w:p w14:paraId="78A18C99" w14:textId="5FEDD516" w:rsidR="005D065E" w:rsidRPr="005D065E" w:rsidRDefault="005D065E" w:rsidP="0039186C">
      <w:pPr>
        <w:pStyle w:val="Ttulo1"/>
        <w:spacing w:before="0" w:line="360" w:lineRule="auto"/>
        <w:jc w:val="both"/>
        <w:rPr>
          <w:rFonts w:ascii="Times New Roman" w:hAnsi="Times New Roman" w:cs="Times New Roman"/>
          <w:color w:val="000000" w:themeColor="text1"/>
          <w:sz w:val="24"/>
          <w:szCs w:val="24"/>
          <w:lang w:val="es-PE"/>
        </w:rPr>
      </w:pPr>
      <w:r>
        <w:rPr>
          <w:rFonts w:ascii="Times New Roman" w:hAnsi="Times New Roman" w:cs="Times New Roman"/>
          <w:color w:val="000000" w:themeColor="text1"/>
          <w:sz w:val="24"/>
          <w:szCs w:val="24"/>
          <w:lang w:val="es-PE"/>
        </w:rPr>
        <w:t>Specific Research Questions</w:t>
      </w:r>
    </w:p>
    <w:p w14:paraId="689BB660" w14:textId="77777777" w:rsidR="005D065E" w:rsidRDefault="005D065E" w:rsidP="0039186C">
      <w:pPr>
        <w:pStyle w:val="Ttulo1"/>
        <w:spacing w:before="0" w:line="360" w:lineRule="auto"/>
        <w:ind w:left="720" w:hanging="720"/>
        <w:jc w:val="both"/>
        <w:rPr>
          <w:rFonts w:ascii="Times New Roman" w:hAnsi="Times New Roman" w:cs="Times New Roman"/>
          <w:b w:val="0"/>
          <w:bCs w:val="0"/>
          <w:color w:val="000000" w:themeColor="text1"/>
          <w:sz w:val="24"/>
          <w:szCs w:val="24"/>
          <w:lang w:val="es-PE"/>
        </w:rPr>
      </w:pPr>
      <w:r>
        <w:rPr>
          <w:rFonts w:ascii="Times New Roman" w:hAnsi="Times New Roman" w:cs="Times New Roman"/>
          <w:b w:val="0"/>
          <w:bCs w:val="0"/>
          <w:color w:val="000000" w:themeColor="text1"/>
          <w:sz w:val="24"/>
          <w:szCs w:val="24"/>
          <w:lang w:val="es-PE"/>
        </w:rPr>
        <w:t>RQ1.</w:t>
      </w:r>
      <w:r>
        <w:rPr>
          <w:rFonts w:ascii="Times New Roman" w:hAnsi="Times New Roman" w:cs="Times New Roman"/>
          <w:b w:val="0"/>
          <w:bCs w:val="0"/>
          <w:color w:val="000000" w:themeColor="text1"/>
          <w:sz w:val="24"/>
          <w:szCs w:val="24"/>
          <w:lang w:val="es-PE"/>
        </w:rPr>
        <w:tab/>
        <w:t>How can data quality and traceability be integrated into a reproducible traffic-flow forecasting workflow?</w:t>
      </w:r>
    </w:p>
    <w:p w14:paraId="38B07730" w14:textId="77777777" w:rsidR="005D065E" w:rsidRDefault="005D065E" w:rsidP="0039186C">
      <w:pPr>
        <w:pStyle w:val="Ttulo1"/>
        <w:spacing w:before="0" w:line="360" w:lineRule="auto"/>
        <w:ind w:left="720" w:hanging="720"/>
        <w:jc w:val="both"/>
        <w:rPr>
          <w:rFonts w:ascii="Times New Roman" w:hAnsi="Times New Roman" w:cs="Times New Roman"/>
          <w:b w:val="0"/>
          <w:bCs w:val="0"/>
          <w:color w:val="000000" w:themeColor="text1"/>
          <w:sz w:val="24"/>
          <w:szCs w:val="24"/>
          <w:lang w:val="es-PE"/>
        </w:rPr>
      </w:pPr>
      <w:r>
        <w:rPr>
          <w:rFonts w:ascii="Times New Roman" w:hAnsi="Times New Roman" w:cs="Times New Roman"/>
          <w:b w:val="0"/>
          <w:bCs w:val="0"/>
          <w:color w:val="000000" w:themeColor="text1"/>
          <w:sz w:val="24"/>
          <w:szCs w:val="24"/>
          <w:lang w:val="es-PE"/>
        </w:rPr>
        <w:t xml:space="preserve">RQ2. </w:t>
      </w:r>
      <w:r>
        <w:rPr>
          <w:rFonts w:ascii="Times New Roman" w:hAnsi="Times New Roman" w:cs="Times New Roman"/>
          <w:b w:val="0"/>
          <w:bCs w:val="0"/>
          <w:color w:val="000000" w:themeColor="text1"/>
          <w:sz w:val="24"/>
          <w:szCs w:val="24"/>
          <w:lang w:val="es-PE"/>
        </w:rPr>
        <w:tab/>
        <w:t>How does the Framework perform under temporal validation, relative to the conventional workflow and the seasonal naïve baseline?</w:t>
      </w:r>
    </w:p>
    <w:p w14:paraId="64D93F02" w14:textId="77777777" w:rsidR="005D065E" w:rsidRDefault="005D065E" w:rsidP="0039186C">
      <w:pPr>
        <w:pStyle w:val="Ttulo1"/>
        <w:spacing w:before="0" w:line="360" w:lineRule="auto"/>
        <w:ind w:left="720" w:hanging="720"/>
        <w:jc w:val="both"/>
        <w:rPr>
          <w:rFonts w:ascii="Times New Roman" w:hAnsi="Times New Roman" w:cs="Times New Roman"/>
          <w:b w:val="0"/>
          <w:bCs w:val="0"/>
          <w:color w:val="000000" w:themeColor="text1"/>
          <w:sz w:val="24"/>
          <w:szCs w:val="24"/>
          <w:lang w:val="es-PE"/>
        </w:rPr>
      </w:pPr>
      <w:r>
        <w:rPr>
          <w:rFonts w:ascii="Times New Roman" w:hAnsi="Times New Roman" w:cs="Times New Roman"/>
          <w:b w:val="0"/>
          <w:bCs w:val="0"/>
          <w:color w:val="000000" w:themeColor="text1"/>
          <w:sz w:val="24"/>
          <w:szCs w:val="24"/>
          <w:lang w:val="es-PE"/>
        </w:rPr>
        <w:t xml:space="preserve">RQ3. </w:t>
      </w:r>
      <w:r>
        <w:rPr>
          <w:rFonts w:ascii="Times New Roman" w:hAnsi="Times New Roman" w:cs="Times New Roman"/>
          <w:b w:val="0"/>
          <w:bCs w:val="0"/>
          <w:color w:val="000000" w:themeColor="text1"/>
          <w:sz w:val="24"/>
          <w:szCs w:val="24"/>
          <w:lang w:val="es-PE"/>
        </w:rPr>
        <w:tab/>
        <w:t>How robust is the Framework when the temporal distribution of traffic flow shifts?</w:t>
      </w:r>
    </w:p>
    <w:p w14:paraId="7D531002" w14:textId="77777777" w:rsidR="005D065E" w:rsidRPr="005D065E" w:rsidRDefault="005D065E" w:rsidP="0039186C">
      <w:pPr>
        <w:pStyle w:val="Ttulo1"/>
        <w:spacing w:before="0" w:line="360" w:lineRule="auto"/>
        <w:ind w:left="720" w:hanging="720"/>
        <w:jc w:val="both"/>
        <w:rPr>
          <w:rFonts w:ascii="Times New Roman" w:hAnsi="Times New Roman" w:cs="Times New Roman"/>
          <w:b w:val="0"/>
          <w:bCs w:val="0"/>
          <w:color w:val="000000" w:themeColor="text1"/>
          <w:sz w:val="24"/>
          <w:szCs w:val="24"/>
          <w:lang w:val="es-PE"/>
        </w:rPr>
      </w:pPr>
      <w:r>
        <w:rPr>
          <w:rFonts w:ascii="Times New Roman" w:hAnsi="Times New Roman" w:cs="Times New Roman"/>
          <w:b w:val="0"/>
          <w:bCs w:val="0"/>
          <w:color w:val="000000" w:themeColor="text1"/>
          <w:sz w:val="24"/>
          <w:szCs w:val="24"/>
          <w:lang w:val="es-PE"/>
        </w:rPr>
        <w:t>RQ4.</w:t>
      </w:r>
      <w:r>
        <w:rPr>
          <w:rFonts w:ascii="Times New Roman" w:hAnsi="Times New Roman" w:cs="Times New Roman"/>
          <w:b w:val="0"/>
          <w:bCs w:val="0"/>
          <w:color w:val="000000" w:themeColor="text1"/>
          <w:sz w:val="24"/>
          <w:szCs w:val="24"/>
          <w:lang w:val="es-PE"/>
        </w:rPr>
        <w:tab/>
        <w:t>How can explainability and uncertainty quantification support trustworthy traffic-flow forecasting?</w:t>
      </w:r>
    </w:p>
    <w:p w14:paraId="769A0639" w14:textId="77777777" w:rsidR="005D065E" w:rsidRPr="005D065E" w:rsidRDefault="005D065E" w:rsidP="0039186C">
      <w:pPr>
        <w:pStyle w:val="Ttulo1"/>
        <w:spacing w:before="0" w:line="360" w:lineRule="auto"/>
        <w:jc w:val="both"/>
        <w:rPr>
          <w:rFonts w:ascii="Times New Roman" w:hAnsi="Times New Roman" w:cs="Times New Roman"/>
          <w:color w:val="000000" w:themeColor="text1"/>
          <w:sz w:val="4"/>
          <w:szCs w:val="4"/>
          <w:lang w:val="es-PE"/>
        </w:rPr>
      </w:pPr>
    </w:p>
    <w:p w14:paraId="0DEDAF52" w14:textId="77777777" w:rsidR="005D065E" w:rsidRPr="005D065E" w:rsidRDefault="005D065E" w:rsidP="0039186C">
      <w:pPr>
        <w:pStyle w:val="Ttulo1"/>
        <w:spacing w:before="0" w:line="360" w:lineRule="auto"/>
        <w:jc w:val="both"/>
        <w:rPr>
          <w:rFonts w:ascii="Times New Roman" w:hAnsi="Times New Roman" w:cs="Times New Roman"/>
          <w:color w:val="000000" w:themeColor="text1"/>
          <w:sz w:val="24"/>
          <w:szCs w:val="24"/>
          <w:lang w:val="es-PE"/>
        </w:rPr>
      </w:pPr>
      <w:r>
        <w:rPr>
          <w:rFonts w:ascii="Times New Roman" w:hAnsi="Times New Roman" w:cs="Times New Roman"/>
          <w:color w:val="000000" w:themeColor="text1"/>
          <w:sz w:val="24"/>
          <w:szCs w:val="24"/>
          <w:lang w:val="es-PE"/>
        </w:rPr>
        <w:t>Hypotheses for the Experimental Evaluation</w:t>
      </w:r>
    </w:p>
    <w:p w14:paraId="726BA4F1" w14:textId="77777777" w:rsidR="00F66939" w:rsidRDefault="00000000" w:rsidP="0039186C">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Because the study adopts a pragmatist, design-science paradigm, the research questions above lead the inquiry. The hypotheses below apply only to the experimental evaluation of the artifact, where predictions can be tested: each one will be stated as a null and an alternative hypothesis, fixed before the test data are examined, and assessed at a significance level of 0.05 wherever a statistical test applies.</w:t>
      </w:r>
    </w:p>
    <w:p w14:paraId="26A3AEAF" w14:textId="13547A6D" w:rsidR="005D065E" w:rsidRDefault="005D065E" w:rsidP="00BE2891">
      <w:pPr>
        <w:pStyle w:val="Ttulo1"/>
        <w:spacing w:before="0" w:line="360" w:lineRule="auto"/>
        <w:ind w:left="720" w:hanging="720"/>
        <w:jc w:val="both"/>
        <w:rPr>
          <w:rFonts w:ascii="Times New Roman" w:hAnsi="Times New Roman" w:cs="Times New Roman"/>
          <w:b w:val="0"/>
          <w:bCs w:val="0"/>
          <w:color w:val="000000" w:themeColor="text1"/>
          <w:sz w:val="24"/>
          <w:szCs w:val="24"/>
          <w:lang w:val="es-PE"/>
        </w:rPr>
      </w:pPr>
      <w:r>
        <w:rPr>
          <w:rFonts w:ascii="Times New Roman" w:hAnsi="Times New Roman" w:cs="Times New Roman"/>
          <w:b w:val="0"/>
          <w:bCs w:val="0"/>
          <w:color w:val="000000" w:themeColor="text1"/>
          <w:sz w:val="24"/>
          <w:szCs w:val="24"/>
          <w:lang w:val="es-PE"/>
        </w:rPr>
        <w:t>H1.</w:t>
      </w:r>
      <w:r>
        <w:rPr>
          <w:rFonts w:ascii="Times New Roman" w:hAnsi="Times New Roman" w:cs="Times New Roman"/>
          <w:b w:val="0"/>
          <w:bCs w:val="0"/>
          <w:color w:val="000000" w:themeColor="text1"/>
          <w:sz w:val="24"/>
          <w:szCs w:val="24"/>
          <w:lang w:val="es-PE"/>
        </w:rPr>
        <w:tab/>
        <w:t>The proposed Framework achieves lower forecasting error than the conventional workflow, measured by the Mean Absolute Scaled Error (MASE) with respect to the seasonal naïve baseline under temporal validation (Diebold–Mariano test, p &lt; 0.05).</w:t>
      </w:r>
    </w:p>
    <w:p w14:paraId="7071303C" w14:textId="77777777" w:rsidR="005D065E" w:rsidRDefault="005D065E" w:rsidP="0039186C">
      <w:pPr>
        <w:pStyle w:val="Ttulo1"/>
        <w:spacing w:before="0" w:line="360" w:lineRule="auto"/>
        <w:ind w:left="720" w:hanging="720"/>
        <w:jc w:val="both"/>
        <w:rPr>
          <w:rFonts w:ascii="Times New Roman" w:hAnsi="Times New Roman" w:cs="Times New Roman"/>
          <w:b w:val="0"/>
          <w:bCs w:val="0"/>
          <w:color w:val="000000" w:themeColor="text1"/>
          <w:sz w:val="24"/>
          <w:szCs w:val="24"/>
          <w:lang w:val="es-PE"/>
        </w:rPr>
      </w:pPr>
      <w:r>
        <w:rPr>
          <w:rFonts w:ascii="Times New Roman" w:hAnsi="Times New Roman" w:cs="Times New Roman"/>
          <w:b w:val="0"/>
          <w:bCs w:val="0"/>
          <w:color w:val="000000" w:themeColor="text1"/>
          <w:sz w:val="24"/>
          <w:szCs w:val="24"/>
          <w:lang w:val="es-PE"/>
        </w:rPr>
        <w:t xml:space="preserve">H2. </w:t>
      </w:r>
      <w:r>
        <w:rPr>
          <w:rFonts w:ascii="Times New Roman" w:hAnsi="Times New Roman" w:cs="Times New Roman"/>
          <w:b w:val="0"/>
          <w:bCs w:val="0"/>
          <w:color w:val="000000" w:themeColor="text1"/>
          <w:sz w:val="24"/>
          <w:szCs w:val="24"/>
          <w:lang w:val="es-PE"/>
        </w:rPr>
        <w:tab/>
        <w:t>The proposed Framework achieves higher reproducibility and traceability than the conventional workflow, as evidenced by an independent reproduction attempt and by a complete data-to-result lineage.</w:t>
      </w:r>
    </w:p>
    <w:p w14:paraId="415464A2" w14:textId="77777777" w:rsidR="005D065E" w:rsidRDefault="005D065E" w:rsidP="0039186C">
      <w:pPr>
        <w:pStyle w:val="Ttulo1"/>
        <w:spacing w:before="0" w:line="360" w:lineRule="auto"/>
        <w:ind w:left="720" w:hanging="720"/>
        <w:jc w:val="both"/>
        <w:rPr>
          <w:rFonts w:ascii="Times New Roman" w:hAnsi="Times New Roman" w:cs="Times New Roman"/>
          <w:b w:val="0"/>
          <w:bCs w:val="0"/>
          <w:color w:val="000000" w:themeColor="text1"/>
          <w:sz w:val="24"/>
          <w:szCs w:val="24"/>
          <w:lang w:val="es-PE"/>
        </w:rPr>
      </w:pPr>
      <w:r>
        <w:rPr>
          <w:rFonts w:ascii="Times New Roman" w:hAnsi="Times New Roman" w:cs="Times New Roman"/>
          <w:b w:val="0"/>
          <w:bCs w:val="0"/>
          <w:color w:val="000000" w:themeColor="text1"/>
          <w:sz w:val="24"/>
          <w:szCs w:val="24"/>
          <w:lang w:val="es-PE"/>
        </w:rPr>
        <w:t>H3.</w:t>
      </w:r>
      <w:r>
        <w:rPr>
          <w:rFonts w:ascii="Times New Roman" w:hAnsi="Times New Roman" w:cs="Times New Roman"/>
          <w:b w:val="0"/>
          <w:bCs w:val="0"/>
          <w:color w:val="000000" w:themeColor="text1"/>
          <w:sz w:val="24"/>
          <w:szCs w:val="24"/>
          <w:lang w:val="es-PE"/>
        </w:rPr>
        <w:tab/>
        <w:t>The proposed Framework maintains more stable forecasting performance than the conventional workflow during periods of temporal distribution shift (p &lt; 0.05).</w:t>
      </w:r>
    </w:p>
    <w:p w14:paraId="5DA577FC" w14:textId="77777777" w:rsidR="005D065E" w:rsidRPr="005D065E" w:rsidRDefault="005D065E" w:rsidP="0039186C">
      <w:pPr>
        <w:pStyle w:val="Ttulo1"/>
        <w:spacing w:before="0" w:line="360" w:lineRule="auto"/>
        <w:ind w:left="720" w:hanging="720"/>
        <w:jc w:val="both"/>
        <w:rPr>
          <w:rFonts w:ascii="Times New Roman" w:hAnsi="Times New Roman" w:cs="Times New Roman"/>
          <w:b w:val="0"/>
          <w:bCs w:val="0"/>
          <w:color w:val="000000" w:themeColor="text1"/>
          <w:sz w:val="24"/>
          <w:szCs w:val="24"/>
          <w:lang w:val="es-PE"/>
        </w:rPr>
      </w:pPr>
      <w:r>
        <w:rPr>
          <w:rFonts w:ascii="Times New Roman" w:hAnsi="Times New Roman" w:cs="Times New Roman"/>
          <w:b w:val="0"/>
          <w:bCs w:val="0"/>
          <w:color w:val="000000" w:themeColor="text1"/>
          <w:sz w:val="24"/>
          <w:szCs w:val="24"/>
          <w:lang w:val="es-PE"/>
        </w:rPr>
        <w:t xml:space="preserve">H4. </w:t>
      </w:r>
      <w:r>
        <w:rPr>
          <w:rFonts w:ascii="Times New Roman" w:hAnsi="Times New Roman" w:cs="Times New Roman"/>
          <w:b w:val="0"/>
          <w:bCs w:val="0"/>
          <w:color w:val="000000" w:themeColor="text1"/>
          <w:sz w:val="24"/>
          <w:szCs w:val="24"/>
          <w:lang w:val="es-PE"/>
        </w:rPr>
        <w:tab/>
        <w:t>The integration of explainability and uncertainty quantification improves the interpretability and reliability of the proposed traffic-flow forecasting Framework, as evidenced by explainability analysis and uncertainty-coverage metrics.</w:t>
      </w:r>
    </w:p>
    <w:p w14:paraId="2FF8F649" w14:textId="77777777" w:rsidR="005D065E" w:rsidRPr="005D065E" w:rsidRDefault="005D065E" w:rsidP="0039186C">
      <w:pPr>
        <w:pStyle w:val="Ttulo1"/>
        <w:spacing w:before="0" w:line="360" w:lineRule="auto"/>
        <w:jc w:val="both"/>
        <w:rPr>
          <w:rFonts w:ascii="Times New Roman" w:hAnsi="Times New Roman" w:cs="Times New Roman"/>
          <w:color w:val="000000" w:themeColor="text1"/>
          <w:sz w:val="10"/>
          <w:szCs w:val="10"/>
          <w:lang w:val="es-PE"/>
        </w:rPr>
      </w:pPr>
    </w:p>
    <w:p w14:paraId="7D0D0C08" w14:textId="77777777" w:rsidR="005D065E" w:rsidRPr="005D065E" w:rsidRDefault="005D065E" w:rsidP="0039186C">
      <w:pPr>
        <w:pStyle w:val="Ttulo1"/>
        <w:spacing w:before="0" w:line="360" w:lineRule="auto"/>
        <w:jc w:val="both"/>
        <w:rPr>
          <w:rFonts w:ascii="Times New Roman" w:hAnsi="Times New Roman" w:cs="Times New Roman"/>
          <w:color w:val="000000" w:themeColor="text1"/>
          <w:sz w:val="24"/>
          <w:szCs w:val="24"/>
          <w:lang w:val="es-PE"/>
        </w:rPr>
      </w:pPr>
      <w:r>
        <w:rPr>
          <w:rFonts w:ascii="Times New Roman" w:hAnsi="Times New Roman" w:cs="Times New Roman"/>
          <w:color w:val="000000" w:themeColor="text1"/>
          <w:sz w:val="24"/>
          <w:szCs w:val="24"/>
          <w:lang w:val="es-PE"/>
        </w:rPr>
        <w:t>General Objective</w:t>
      </w:r>
    </w:p>
    <w:p w14:paraId="789393FA" w14:textId="77777777" w:rsidR="005D065E" w:rsidRDefault="005D065E" w:rsidP="0039186C">
      <w:pPr>
        <w:pStyle w:val="Ttulo1"/>
        <w:spacing w:before="0" w:line="360" w:lineRule="auto"/>
        <w:jc w:val="both"/>
        <w:rPr>
          <w:rFonts w:ascii="Times New Roman" w:hAnsi="Times New Roman" w:cs="Times New Roman"/>
          <w:b w:val="0"/>
          <w:bCs w:val="0"/>
          <w:color w:val="000000" w:themeColor="text1"/>
          <w:sz w:val="24"/>
          <w:szCs w:val="24"/>
          <w:lang w:val="es-PE"/>
        </w:rPr>
      </w:pPr>
      <w:r>
        <w:rPr>
          <w:rFonts w:ascii="Times New Roman" w:hAnsi="Times New Roman" w:cs="Times New Roman"/>
          <w:b w:val="0"/>
          <w:bCs w:val="0"/>
          <w:color w:val="000000" w:themeColor="text1"/>
          <w:sz w:val="24"/>
          <w:szCs w:val="24"/>
          <w:lang w:val="es-PE"/>
        </w:rPr>
        <w:t>By September 2029, design, develop, and validate a reproducible Trustworthy AI Framework for traffic-flow forecasting using the MTC open toll-flow data from Peru’s National Road Network, and determine, through temporal validation, robustness analysis, and an independent reproduction attempt, whether it improves on a conventional forecasting workflow.</w:t>
      </w:r>
    </w:p>
    <w:p w14:paraId="50A0CE70" w14:textId="77777777" w:rsidR="00D32405" w:rsidRPr="00D32405" w:rsidRDefault="00D32405" w:rsidP="0039186C">
      <w:pPr>
        <w:pStyle w:val="Ttulo1"/>
        <w:spacing w:before="0" w:line="360" w:lineRule="auto"/>
        <w:jc w:val="both"/>
        <w:rPr>
          <w:rFonts w:ascii="Times New Roman" w:hAnsi="Times New Roman" w:cs="Times New Roman"/>
          <w:color w:val="000000" w:themeColor="text1"/>
          <w:sz w:val="10"/>
          <w:szCs w:val="10"/>
          <w:lang w:val="es-PE"/>
        </w:rPr>
      </w:pPr>
    </w:p>
    <w:p w14:paraId="441C78D4" w14:textId="77777777" w:rsidR="005D065E" w:rsidRPr="005D065E" w:rsidRDefault="005D065E" w:rsidP="0039186C">
      <w:pPr>
        <w:pStyle w:val="Ttulo1"/>
        <w:spacing w:before="0" w:line="360" w:lineRule="auto"/>
        <w:jc w:val="both"/>
        <w:rPr>
          <w:rFonts w:ascii="Times New Roman" w:hAnsi="Times New Roman" w:cs="Times New Roman"/>
          <w:color w:val="000000" w:themeColor="text1"/>
          <w:sz w:val="24"/>
          <w:szCs w:val="24"/>
          <w:lang w:val="es-PE"/>
        </w:rPr>
      </w:pPr>
      <w:r>
        <w:rPr>
          <w:rFonts w:ascii="Times New Roman" w:hAnsi="Times New Roman" w:cs="Times New Roman"/>
          <w:color w:val="000000" w:themeColor="text1"/>
          <w:sz w:val="24"/>
          <w:szCs w:val="24"/>
          <w:lang w:val="es-PE"/>
        </w:rPr>
        <w:t>Specific Objectives</w:t>
      </w:r>
    </w:p>
    <w:p w14:paraId="13542433" w14:textId="77777777" w:rsidR="00F66939" w:rsidRDefault="00000000" w:rsidP="0039186C">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specific objectives follow the SMART criteria proposed by Doran [11], so that each one is specific, measurable, achievable, relevant, and time-bound. Each objective names the data it relies on, the </w:t>
      </w:r>
      <w:r>
        <w:rPr>
          <w:rFonts w:ascii="Times New Roman" w:hAnsi="Times New Roman" w:cs="Times New Roman"/>
          <w:sz w:val="24"/>
          <w:szCs w:val="24"/>
        </w:rPr>
        <w:lastRenderedPageBreak/>
        <w:t>indicators that will show whether it has been achieved, and a deadline taken from the research schedule in Table 3, while its relevance comes from the research question and hypothesis it answers. Table 1 summarizes how the four objectives meet each criterion.</w:t>
      </w:r>
    </w:p>
    <w:p w14:paraId="6CBDF721" w14:textId="77777777" w:rsidR="00BE2891" w:rsidRPr="00BE2891" w:rsidRDefault="00BE2891" w:rsidP="0039186C">
      <w:pPr>
        <w:spacing w:after="0" w:line="360" w:lineRule="auto"/>
        <w:ind w:firstLine="720"/>
        <w:jc w:val="both"/>
        <w:rPr>
          <w:rFonts w:ascii="Times New Roman" w:hAnsi="Times New Roman" w:cs="Times New Roman"/>
          <w:sz w:val="14"/>
          <w:szCs w:val="14"/>
        </w:rPr>
      </w:pPr>
    </w:p>
    <w:p w14:paraId="1DFD816F" w14:textId="77777777" w:rsidR="005D065E" w:rsidRDefault="005D065E" w:rsidP="005D065E">
      <w:pPr>
        <w:pStyle w:val="Ttulo1"/>
        <w:numPr>
          <w:ilvl w:val="0"/>
          <w:numId w:val="10"/>
        </w:numPr>
        <w:spacing w:before="0" w:line="360" w:lineRule="auto"/>
        <w:jc w:val="both"/>
        <w:rPr>
          <w:rFonts w:ascii="Times New Roman" w:hAnsi="Times New Roman" w:cs="Times New Roman"/>
          <w:b w:val="0"/>
          <w:bCs w:val="0"/>
          <w:color w:val="000000" w:themeColor="text1"/>
          <w:sz w:val="24"/>
          <w:szCs w:val="24"/>
          <w:lang w:val="es-PE"/>
        </w:rPr>
      </w:pPr>
      <w:r>
        <w:rPr>
          <w:rFonts w:ascii="Times New Roman" w:hAnsi="Times New Roman" w:cs="Times New Roman"/>
          <w:b w:val="0"/>
          <w:bCs w:val="0"/>
          <w:color w:val="000000" w:themeColor="text1"/>
          <w:sz w:val="24"/>
          <w:szCs w:val="24"/>
          <w:lang w:val="es-PE"/>
        </w:rPr>
        <w:t>By September 2027, assess the quality, completeness, and traceability of the MTC toll records from 2014 to the first quarter of 2026, and develop a reproducible, leakage-free data and feature-engineering pipeline, measured by the share of missing and inconsistent records detected and treated and by a documented lineage for every derived feature.</w:t>
      </w:r>
    </w:p>
    <w:p w14:paraId="215B4F0D" w14:textId="77777777" w:rsidR="005D065E" w:rsidRDefault="005D065E" w:rsidP="005D065E">
      <w:pPr>
        <w:pStyle w:val="Ttulo1"/>
        <w:numPr>
          <w:ilvl w:val="0"/>
          <w:numId w:val="10"/>
        </w:numPr>
        <w:spacing w:before="0" w:line="360" w:lineRule="auto"/>
        <w:jc w:val="both"/>
        <w:rPr>
          <w:rFonts w:ascii="Times New Roman" w:hAnsi="Times New Roman" w:cs="Times New Roman"/>
          <w:b w:val="0"/>
          <w:bCs w:val="0"/>
          <w:color w:val="000000" w:themeColor="text1"/>
          <w:sz w:val="24"/>
          <w:szCs w:val="24"/>
          <w:lang w:val="es-PE"/>
        </w:rPr>
      </w:pPr>
      <w:r>
        <w:rPr>
          <w:rFonts w:ascii="Times New Roman" w:hAnsi="Times New Roman" w:cs="Times New Roman"/>
          <w:b w:val="0"/>
          <w:bCs w:val="0"/>
          <w:color w:val="000000" w:themeColor="text1"/>
          <w:sz w:val="24"/>
          <w:szCs w:val="24"/>
          <w:lang w:val="es-PE"/>
        </w:rPr>
        <w:t>By April 2028, compare the forecasting performance of the proposed Framework against the conventional workflow and the seasonal naïve baseline under temporal validation, measured by MASE as the primary metric and by MAE, RMSE, and MAPE as secondary metrics.</w:t>
      </w:r>
    </w:p>
    <w:p w14:paraId="46F46363" w14:textId="77777777" w:rsidR="005D065E" w:rsidRDefault="005D065E" w:rsidP="005D065E">
      <w:pPr>
        <w:pStyle w:val="Ttulo1"/>
        <w:numPr>
          <w:ilvl w:val="0"/>
          <w:numId w:val="10"/>
        </w:numPr>
        <w:spacing w:before="0" w:line="360" w:lineRule="auto"/>
        <w:jc w:val="both"/>
        <w:rPr>
          <w:rFonts w:ascii="Times New Roman" w:hAnsi="Times New Roman" w:cs="Times New Roman"/>
          <w:b w:val="0"/>
          <w:bCs w:val="0"/>
          <w:color w:val="000000" w:themeColor="text1"/>
          <w:sz w:val="24"/>
          <w:szCs w:val="24"/>
          <w:lang w:val="es-PE"/>
        </w:rPr>
      </w:pPr>
      <w:r>
        <w:rPr>
          <w:rFonts w:ascii="Times New Roman" w:hAnsi="Times New Roman" w:cs="Times New Roman"/>
          <w:b w:val="0"/>
          <w:bCs w:val="0"/>
          <w:color w:val="000000" w:themeColor="text1"/>
          <w:sz w:val="24"/>
          <w:szCs w:val="24"/>
          <w:lang w:val="es-PE"/>
        </w:rPr>
        <w:t>By July 2028, evaluate the robustness of the proposed Framework during periods of distribution shift, such as holidays, road blockades, and the COVID-19 period, and quantify its predictive uncertainty, measured by the change in MASE between regular and atypical periods and by the empirical coverage of 80% and 95% prediction intervals.</w:t>
      </w:r>
    </w:p>
    <w:p w14:paraId="2895B99D" w14:textId="77777777" w:rsidR="005D065E" w:rsidRDefault="005D065E" w:rsidP="00A16BAC">
      <w:pPr>
        <w:pStyle w:val="Ttulo1"/>
        <w:numPr>
          <w:ilvl w:val="0"/>
          <w:numId w:val="10"/>
        </w:numPr>
        <w:spacing w:before="0" w:line="360" w:lineRule="auto"/>
        <w:jc w:val="both"/>
        <w:rPr>
          <w:rFonts w:ascii="Times New Roman" w:hAnsi="Times New Roman" w:cs="Times New Roman"/>
          <w:b w:val="0"/>
          <w:bCs w:val="0"/>
          <w:color w:val="auto"/>
          <w:sz w:val="24"/>
          <w:szCs w:val="24"/>
          <w:lang w:val="es-PE"/>
        </w:rPr>
      </w:pPr>
      <w:r>
        <w:rPr>
          <w:rFonts w:ascii="Times New Roman" w:hAnsi="Times New Roman" w:cs="Times New Roman"/>
          <w:b w:val="0"/>
          <w:bCs w:val="0"/>
          <w:color w:val="000000" w:themeColor="text1"/>
          <w:sz w:val="24"/>
          <w:szCs w:val="24"/>
          <w:lang w:val="es-PE"/>
        </w:rPr>
        <w:t>By February 2029, evaluate the trustworthiness of the complete Framework through SHAP-based explainability, data-to-result traceability, and an independent reproduction attempt, measured by the stability of feature attributions across validation windows and by the agreement between the original and the reproduced results.</w:t>
      </w:r>
    </w:p>
    <w:p w14:paraId="12FE7E0D" w14:textId="77777777" w:rsidR="00F66939" w:rsidRDefault="00000000">
      <w:pPr>
        <w:keepNext/>
        <w:spacing w:before="240" w:after="60" w:line="360" w:lineRule="auto"/>
      </w:pPr>
      <w:r>
        <w:rPr>
          <w:rFonts w:ascii="Times New Roman" w:hAnsi="Times New Roman" w:cs="Times New Roman"/>
          <w:b/>
          <w:sz w:val="24"/>
          <w:szCs w:val="24"/>
        </w:rPr>
        <w:t xml:space="preserve">Table 1. </w:t>
      </w:r>
      <w:r>
        <w:rPr>
          <w:rFonts w:ascii="Times New Roman" w:hAnsi="Times New Roman" w:cs="Times New Roman"/>
          <w:i/>
          <w:sz w:val="24"/>
          <w:szCs w:val="24"/>
        </w:rPr>
        <w:t>SMART assessment of the specific objectives</w:t>
      </w:r>
    </w:p>
    <w:tbl>
      <w:tblPr>
        <w:tblStyle w:val="Tablaconcuadrcula"/>
        <w:tblW w:w="10070" w:type="dxa"/>
        <w:tblLook w:val="04A0" w:firstRow="1" w:lastRow="0" w:firstColumn="1" w:lastColumn="0" w:noHBand="0" w:noVBand="1"/>
      </w:tblPr>
      <w:tblGrid>
        <w:gridCol w:w="1060"/>
        <w:gridCol w:w="1800"/>
        <w:gridCol w:w="1800"/>
        <w:gridCol w:w="1800"/>
        <w:gridCol w:w="1800"/>
        <w:gridCol w:w="1810"/>
      </w:tblGrid>
      <w:tr w:rsidR="00F66939" w14:paraId="1232771B" w14:textId="77777777">
        <w:tc>
          <w:tcPr>
            <w:tcW w:w="1060" w:type="dxa"/>
          </w:tcPr>
          <w:p w14:paraId="48366D2C" w14:textId="77777777" w:rsidR="00F66939" w:rsidRDefault="00000000">
            <w:pPr>
              <w:spacing w:before="20" w:after="20"/>
            </w:pPr>
            <w:r>
              <w:rPr>
                <w:rFonts w:ascii="Times New Roman" w:hAnsi="Times New Roman" w:cs="Times New Roman"/>
                <w:b/>
                <w:sz w:val="20"/>
                <w:szCs w:val="20"/>
              </w:rPr>
              <w:t>Objective</w:t>
            </w:r>
          </w:p>
        </w:tc>
        <w:tc>
          <w:tcPr>
            <w:tcW w:w="1800" w:type="dxa"/>
          </w:tcPr>
          <w:p w14:paraId="6B071084" w14:textId="77777777" w:rsidR="00F66939" w:rsidRDefault="00000000">
            <w:pPr>
              <w:spacing w:before="20" w:after="20"/>
            </w:pPr>
            <w:r>
              <w:rPr>
                <w:rFonts w:ascii="Times New Roman" w:hAnsi="Times New Roman" w:cs="Times New Roman"/>
                <w:b/>
                <w:sz w:val="20"/>
                <w:szCs w:val="20"/>
              </w:rPr>
              <w:t>Specific</w:t>
            </w:r>
          </w:p>
        </w:tc>
        <w:tc>
          <w:tcPr>
            <w:tcW w:w="1800" w:type="dxa"/>
          </w:tcPr>
          <w:p w14:paraId="09118880" w14:textId="77777777" w:rsidR="00F66939" w:rsidRDefault="00000000">
            <w:pPr>
              <w:spacing w:before="20" w:after="20"/>
            </w:pPr>
            <w:r>
              <w:rPr>
                <w:rFonts w:ascii="Times New Roman" w:hAnsi="Times New Roman" w:cs="Times New Roman"/>
                <w:b/>
                <w:sz w:val="20"/>
                <w:szCs w:val="20"/>
              </w:rPr>
              <w:t>Measurable</w:t>
            </w:r>
          </w:p>
        </w:tc>
        <w:tc>
          <w:tcPr>
            <w:tcW w:w="1800" w:type="dxa"/>
          </w:tcPr>
          <w:p w14:paraId="00AE4363" w14:textId="77777777" w:rsidR="00F66939" w:rsidRDefault="00000000">
            <w:pPr>
              <w:spacing w:before="20" w:after="20"/>
            </w:pPr>
            <w:r>
              <w:rPr>
                <w:rFonts w:ascii="Times New Roman" w:hAnsi="Times New Roman" w:cs="Times New Roman"/>
                <w:b/>
                <w:sz w:val="20"/>
                <w:szCs w:val="20"/>
              </w:rPr>
              <w:t>Achievable</w:t>
            </w:r>
          </w:p>
        </w:tc>
        <w:tc>
          <w:tcPr>
            <w:tcW w:w="1800" w:type="dxa"/>
          </w:tcPr>
          <w:p w14:paraId="385BD8E0" w14:textId="77777777" w:rsidR="00F66939" w:rsidRDefault="00000000">
            <w:pPr>
              <w:spacing w:before="20" w:after="20"/>
            </w:pPr>
            <w:r>
              <w:rPr>
                <w:rFonts w:ascii="Times New Roman" w:hAnsi="Times New Roman" w:cs="Times New Roman"/>
                <w:b/>
                <w:sz w:val="20"/>
                <w:szCs w:val="20"/>
              </w:rPr>
              <w:t>Relevant</w:t>
            </w:r>
          </w:p>
        </w:tc>
        <w:tc>
          <w:tcPr>
            <w:tcW w:w="1810" w:type="dxa"/>
          </w:tcPr>
          <w:p w14:paraId="369BCDC9" w14:textId="77777777" w:rsidR="00F66939" w:rsidRDefault="00000000">
            <w:pPr>
              <w:spacing w:before="20" w:after="20"/>
            </w:pPr>
            <w:r>
              <w:rPr>
                <w:rFonts w:ascii="Times New Roman" w:hAnsi="Times New Roman" w:cs="Times New Roman"/>
                <w:b/>
                <w:sz w:val="20"/>
                <w:szCs w:val="20"/>
              </w:rPr>
              <w:t>Time-bound</w:t>
            </w:r>
          </w:p>
        </w:tc>
      </w:tr>
      <w:tr w:rsidR="00F66939" w14:paraId="197FB113" w14:textId="77777777">
        <w:tc>
          <w:tcPr>
            <w:tcW w:w="1060" w:type="dxa"/>
          </w:tcPr>
          <w:p w14:paraId="35100D8B" w14:textId="77777777" w:rsidR="00F66939" w:rsidRDefault="00000000">
            <w:pPr>
              <w:spacing w:before="20" w:after="20"/>
            </w:pPr>
            <w:r>
              <w:rPr>
                <w:rFonts w:ascii="Times New Roman" w:hAnsi="Times New Roman" w:cs="Times New Roman"/>
                <w:sz w:val="20"/>
                <w:szCs w:val="20"/>
              </w:rPr>
              <w:t>1</w:t>
            </w:r>
          </w:p>
        </w:tc>
        <w:tc>
          <w:tcPr>
            <w:tcW w:w="1800" w:type="dxa"/>
          </w:tcPr>
          <w:p w14:paraId="43E452F4" w14:textId="77777777" w:rsidR="00F66939" w:rsidRDefault="00000000">
            <w:pPr>
              <w:spacing w:before="20" w:after="20"/>
            </w:pPr>
            <w:r>
              <w:rPr>
                <w:rFonts w:ascii="Times New Roman" w:hAnsi="Times New Roman" w:cs="Times New Roman"/>
                <w:sz w:val="20"/>
                <w:szCs w:val="20"/>
              </w:rPr>
              <w:t>MTC toll records, 2014 to Q1 2026; data quality and features</w:t>
            </w:r>
          </w:p>
        </w:tc>
        <w:tc>
          <w:tcPr>
            <w:tcW w:w="1800" w:type="dxa"/>
          </w:tcPr>
          <w:p w14:paraId="294F4318" w14:textId="77777777" w:rsidR="00F66939" w:rsidRDefault="00000000">
            <w:pPr>
              <w:spacing w:before="20" w:after="20"/>
            </w:pPr>
            <w:r>
              <w:rPr>
                <w:rFonts w:ascii="Times New Roman" w:hAnsi="Times New Roman" w:cs="Times New Roman"/>
                <w:sz w:val="20"/>
                <w:szCs w:val="20"/>
              </w:rPr>
              <w:t>Share of missing and inconsistent records treated; lineage for every feature</w:t>
            </w:r>
          </w:p>
        </w:tc>
        <w:tc>
          <w:tcPr>
            <w:tcW w:w="1800" w:type="dxa"/>
          </w:tcPr>
          <w:p w14:paraId="60CDAB23" w14:textId="77777777" w:rsidR="00F66939" w:rsidRDefault="00000000">
            <w:pPr>
              <w:spacing w:before="20" w:after="20"/>
            </w:pPr>
            <w:r>
              <w:rPr>
                <w:rFonts w:ascii="Times New Roman" w:hAnsi="Times New Roman" w:cs="Times New Roman"/>
                <w:sz w:val="20"/>
                <w:szCs w:val="20"/>
              </w:rPr>
              <w:t>Official open dataset already available</w:t>
            </w:r>
          </w:p>
        </w:tc>
        <w:tc>
          <w:tcPr>
            <w:tcW w:w="1800" w:type="dxa"/>
          </w:tcPr>
          <w:p w14:paraId="4D2B3920" w14:textId="77777777" w:rsidR="00F66939" w:rsidRDefault="00000000">
            <w:pPr>
              <w:spacing w:before="20" w:after="20"/>
            </w:pPr>
            <w:r>
              <w:rPr>
                <w:rFonts w:ascii="Times New Roman" w:hAnsi="Times New Roman" w:cs="Times New Roman"/>
                <w:sz w:val="20"/>
                <w:szCs w:val="20"/>
              </w:rPr>
              <w:t>RQ1, H2</w:t>
            </w:r>
          </w:p>
        </w:tc>
        <w:tc>
          <w:tcPr>
            <w:tcW w:w="1810" w:type="dxa"/>
          </w:tcPr>
          <w:p w14:paraId="0E3B718C" w14:textId="77777777" w:rsidR="00F66939" w:rsidRDefault="00000000">
            <w:pPr>
              <w:spacing w:before="20" w:after="20"/>
            </w:pPr>
            <w:r>
              <w:rPr>
                <w:rFonts w:ascii="Times New Roman" w:hAnsi="Times New Roman" w:cs="Times New Roman"/>
                <w:sz w:val="20"/>
                <w:szCs w:val="20"/>
              </w:rPr>
              <w:t>September 2027</w:t>
            </w:r>
          </w:p>
        </w:tc>
      </w:tr>
      <w:tr w:rsidR="00F66939" w14:paraId="21D96ADE" w14:textId="77777777">
        <w:tc>
          <w:tcPr>
            <w:tcW w:w="1060" w:type="dxa"/>
          </w:tcPr>
          <w:p w14:paraId="52B8D5A1" w14:textId="77777777" w:rsidR="00F66939" w:rsidRDefault="00000000">
            <w:pPr>
              <w:spacing w:before="20" w:after="20"/>
            </w:pPr>
            <w:r>
              <w:rPr>
                <w:rFonts w:ascii="Times New Roman" w:hAnsi="Times New Roman" w:cs="Times New Roman"/>
                <w:sz w:val="20"/>
                <w:szCs w:val="20"/>
              </w:rPr>
              <w:t>2</w:t>
            </w:r>
          </w:p>
        </w:tc>
        <w:tc>
          <w:tcPr>
            <w:tcW w:w="1800" w:type="dxa"/>
          </w:tcPr>
          <w:p w14:paraId="17E87661" w14:textId="77777777" w:rsidR="00F66939" w:rsidRDefault="00000000">
            <w:pPr>
              <w:spacing w:before="20" w:after="20"/>
            </w:pPr>
            <w:r>
              <w:rPr>
                <w:rFonts w:ascii="Times New Roman" w:hAnsi="Times New Roman" w:cs="Times New Roman"/>
                <w:sz w:val="20"/>
                <w:szCs w:val="20"/>
              </w:rPr>
              <w:t>Framework vs. conventional workflow and seasonal naïve baseline</w:t>
            </w:r>
          </w:p>
        </w:tc>
        <w:tc>
          <w:tcPr>
            <w:tcW w:w="1800" w:type="dxa"/>
          </w:tcPr>
          <w:p w14:paraId="4C122880" w14:textId="4EBEAB3E" w:rsidR="00F66939" w:rsidRDefault="00000000">
            <w:pPr>
              <w:spacing w:before="20" w:after="20"/>
            </w:pPr>
            <w:r>
              <w:rPr>
                <w:rFonts w:ascii="Times New Roman" w:hAnsi="Times New Roman" w:cs="Times New Roman"/>
                <w:sz w:val="20"/>
                <w:szCs w:val="20"/>
              </w:rPr>
              <w:t>MASE; MAE, RMSE, MAPE</w:t>
            </w:r>
          </w:p>
        </w:tc>
        <w:tc>
          <w:tcPr>
            <w:tcW w:w="1800" w:type="dxa"/>
          </w:tcPr>
          <w:p w14:paraId="6FA8985B" w14:textId="77777777" w:rsidR="00F66939" w:rsidRDefault="00000000">
            <w:pPr>
              <w:spacing w:before="20" w:after="20"/>
            </w:pPr>
            <w:r>
              <w:rPr>
                <w:rFonts w:ascii="Times New Roman" w:hAnsi="Times New Roman" w:cs="Times New Roman"/>
                <w:sz w:val="20"/>
                <w:szCs w:val="20"/>
              </w:rPr>
              <w:t>Same temporal splits; open-source models</w:t>
            </w:r>
          </w:p>
        </w:tc>
        <w:tc>
          <w:tcPr>
            <w:tcW w:w="1800" w:type="dxa"/>
          </w:tcPr>
          <w:p w14:paraId="31E9BD71" w14:textId="77777777" w:rsidR="00F66939" w:rsidRDefault="00000000">
            <w:pPr>
              <w:spacing w:before="20" w:after="20"/>
            </w:pPr>
            <w:r>
              <w:rPr>
                <w:rFonts w:ascii="Times New Roman" w:hAnsi="Times New Roman" w:cs="Times New Roman"/>
                <w:sz w:val="20"/>
                <w:szCs w:val="20"/>
              </w:rPr>
              <w:t>RQ2, H1</w:t>
            </w:r>
          </w:p>
        </w:tc>
        <w:tc>
          <w:tcPr>
            <w:tcW w:w="1810" w:type="dxa"/>
          </w:tcPr>
          <w:p w14:paraId="6F155E8E" w14:textId="77777777" w:rsidR="00F66939" w:rsidRDefault="00000000">
            <w:pPr>
              <w:spacing w:before="20" w:after="20"/>
            </w:pPr>
            <w:r>
              <w:rPr>
                <w:rFonts w:ascii="Times New Roman" w:hAnsi="Times New Roman" w:cs="Times New Roman"/>
                <w:sz w:val="20"/>
                <w:szCs w:val="20"/>
              </w:rPr>
              <w:t>April 2028</w:t>
            </w:r>
          </w:p>
        </w:tc>
      </w:tr>
      <w:tr w:rsidR="00F66939" w14:paraId="0C907D2E" w14:textId="77777777">
        <w:tc>
          <w:tcPr>
            <w:tcW w:w="1060" w:type="dxa"/>
          </w:tcPr>
          <w:p w14:paraId="2CE5951A" w14:textId="77777777" w:rsidR="00F66939" w:rsidRDefault="00000000">
            <w:pPr>
              <w:spacing w:before="20" w:after="20"/>
            </w:pPr>
            <w:r>
              <w:rPr>
                <w:rFonts w:ascii="Times New Roman" w:hAnsi="Times New Roman" w:cs="Times New Roman"/>
                <w:sz w:val="20"/>
                <w:szCs w:val="20"/>
              </w:rPr>
              <w:t>3</w:t>
            </w:r>
          </w:p>
        </w:tc>
        <w:tc>
          <w:tcPr>
            <w:tcW w:w="1800" w:type="dxa"/>
          </w:tcPr>
          <w:p w14:paraId="7E95C0BC" w14:textId="77777777" w:rsidR="00F66939" w:rsidRDefault="00000000">
            <w:pPr>
              <w:spacing w:before="20" w:after="20"/>
            </w:pPr>
            <w:r>
              <w:rPr>
                <w:rFonts w:ascii="Times New Roman" w:hAnsi="Times New Roman" w:cs="Times New Roman"/>
                <w:sz w:val="20"/>
                <w:szCs w:val="20"/>
              </w:rPr>
              <w:t>Holidays, road blockades, and the COVID-19 period</w:t>
            </w:r>
          </w:p>
        </w:tc>
        <w:tc>
          <w:tcPr>
            <w:tcW w:w="1800" w:type="dxa"/>
          </w:tcPr>
          <w:p w14:paraId="520FF8A3" w14:textId="77777777" w:rsidR="00F66939" w:rsidRDefault="00000000">
            <w:pPr>
              <w:spacing w:before="20" w:after="20"/>
            </w:pPr>
            <w:r>
              <w:rPr>
                <w:rFonts w:ascii="Times New Roman" w:hAnsi="Times New Roman" w:cs="Times New Roman"/>
                <w:sz w:val="20"/>
                <w:szCs w:val="20"/>
              </w:rPr>
              <w:t>Change in MASE; coverage of 80% and 95% intervals</w:t>
            </w:r>
          </w:p>
        </w:tc>
        <w:tc>
          <w:tcPr>
            <w:tcW w:w="1800" w:type="dxa"/>
          </w:tcPr>
          <w:p w14:paraId="49C2674C" w14:textId="77777777" w:rsidR="00F66939" w:rsidRDefault="00000000">
            <w:pPr>
              <w:spacing w:before="20" w:after="20"/>
            </w:pPr>
            <w:r>
              <w:rPr>
                <w:rFonts w:ascii="Times New Roman" w:hAnsi="Times New Roman" w:cs="Times New Roman"/>
                <w:sz w:val="20"/>
                <w:szCs w:val="20"/>
              </w:rPr>
              <w:t>Atypical periods identifiable in the series</w:t>
            </w:r>
          </w:p>
        </w:tc>
        <w:tc>
          <w:tcPr>
            <w:tcW w:w="1800" w:type="dxa"/>
          </w:tcPr>
          <w:p w14:paraId="42019F88" w14:textId="77777777" w:rsidR="00F66939" w:rsidRDefault="00000000">
            <w:pPr>
              <w:spacing w:before="20" w:after="20"/>
            </w:pPr>
            <w:r>
              <w:rPr>
                <w:rFonts w:ascii="Times New Roman" w:hAnsi="Times New Roman" w:cs="Times New Roman"/>
                <w:sz w:val="20"/>
                <w:szCs w:val="20"/>
              </w:rPr>
              <w:t>RQ3, H3</w:t>
            </w:r>
          </w:p>
        </w:tc>
        <w:tc>
          <w:tcPr>
            <w:tcW w:w="1810" w:type="dxa"/>
          </w:tcPr>
          <w:p w14:paraId="535204D7" w14:textId="77777777" w:rsidR="00F66939" w:rsidRDefault="00000000">
            <w:pPr>
              <w:spacing w:before="20" w:after="20"/>
            </w:pPr>
            <w:r>
              <w:rPr>
                <w:rFonts w:ascii="Times New Roman" w:hAnsi="Times New Roman" w:cs="Times New Roman"/>
                <w:sz w:val="20"/>
                <w:szCs w:val="20"/>
              </w:rPr>
              <w:t>July 2028</w:t>
            </w:r>
          </w:p>
        </w:tc>
      </w:tr>
      <w:tr w:rsidR="00F66939" w14:paraId="67F6D041" w14:textId="77777777">
        <w:tc>
          <w:tcPr>
            <w:tcW w:w="1060" w:type="dxa"/>
          </w:tcPr>
          <w:p w14:paraId="1E1F15B8" w14:textId="77777777" w:rsidR="00F66939" w:rsidRDefault="00000000">
            <w:pPr>
              <w:spacing w:before="20" w:after="20"/>
            </w:pPr>
            <w:r>
              <w:rPr>
                <w:rFonts w:ascii="Times New Roman" w:hAnsi="Times New Roman" w:cs="Times New Roman"/>
                <w:sz w:val="20"/>
                <w:szCs w:val="20"/>
              </w:rPr>
              <w:t>4</w:t>
            </w:r>
          </w:p>
        </w:tc>
        <w:tc>
          <w:tcPr>
            <w:tcW w:w="1800" w:type="dxa"/>
          </w:tcPr>
          <w:p w14:paraId="2990FCAD" w14:textId="77777777" w:rsidR="00F66939" w:rsidRDefault="00000000">
            <w:pPr>
              <w:spacing w:before="20" w:after="20"/>
            </w:pPr>
            <w:r>
              <w:rPr>
                <w:rFonts w:ascii="Times New Roman" w:hAnsi="Times New Roman" w:cs="Times New Roman"/>
                <w:sz w:val="20"/>
                <w:szCs w:val="20"/>
              </w:rPr>
              <w:t>SHAP, traceability, and independent reproduction</w:t>
            </w:r>
          </w:p>
        </w:tc>
        <w:tc>
          <w:tcPr>
            <w:tcW w:w="1800" w:type="dxa"/>
          </w:tcPr>
          <w:p w14:paraId="3A3A419B" w14:textId="77777777" w:rsidR="00F66939" w:rsidRDefault="00000000">
            <w:pPr>
              <w:spacing w:before="20" w:after="20"/>
            </w:pPr>
            <w:r>
              <w:rPr>
                <w:rFonts w:ascii="Times New Roman" w:hAnsi="Times New Roman" w:cs="Times New Roman"/>
                <w:sz w:val="20"/>
                <w:szCs w:val="20"/>
              </w:rPr>
              <w:t>Attribution stability; agreement between original and reproduced results</w:t>
            </w:r>
          </w:p>
        </w:tc>
        <w:tc>
          <w:tcPr>
            <w:tcW w:w="1800" w:type="dxa"/>
          </w:tcPr>
          <w:p w14:paraId="67F39918" w14:textId="77777777" w:rsidR="00F66939" w:rsidRDefault="00000000">
            <w:pPr>
              <w:spacing w:before="20" w:after="20"/>
            </w:pPr>
            <w:r>
              <w:rPr>
                <w:rFonts w:ascii="Times New Roman" w:hAnsi="Times New Roman" w:cs="Times New Roman"/>
                <w:sz w:val="20"/>
                <w:szCs w:val="20"/>
              </w:rPr>
              <w:t>Third party reproduces with released artifacts</w:t>
            </w:r>
          </w:p>
        </w:tc>
        <w:tc>
          <w:tcPr>
            <w:tcW w:w="1800" w:type="dxa"/>
          </w:tcPr>
          <w:p w14:paraId="074519FE" w14:textId="77777777" w:rsidR="00F66939" w:rsidRDefault="00000000">
            <w:pPr>
              <w:spacing w:before="20" w:after="20"/>
            </w:pPr>
            <w:r>
              <w:rPr>
                <w:rFonts w:ascii="Times New Roman" w:hAnsi="Times New Roman" w:cs="Times New Roman"/>
                <w:sz w:val="20"/>
                <w:szCs w:val="20"/>
              </w:rPr>
              <w:t>RQ4, H2, H4</w:t>
            </w:r>
          </w:p>
        </w:tc>
        <w:tc>
          <w:tcPr>
            <w:tcW w:w="1810" w:type="dxa"/>
          </w:tcPr>
          <w:p w14:paraId="0102EAD0" w14:textId="77777777" w:rsidR="00F66939" w:rsidRDefault="00000000">
            <w:pPr>
              <w:spacing w:before="20" w:after="20"/>
            </w:pPr>
            <w:r>
              <w:rPr>
                <w:rFonts w:ascii="Times New Roman" w:hAnsi="Times New Roman" w:cs="Times New Roman"/>
                <w:sz w:val="20"/>
                <w:szCs w:val="20"/>
              </w:rPr>
              <w:t>February 2029</w:t>
            </w:r>
          </w:p>
        </w:tc>
      </w:tr>
    </w:tbl>
    <w:p w14:paraId="02A02B47" w14:textId="77777777" w:rsidR="00F66939" w:rsidRDefault="00F66939">
      <w:pPr>
        <w:spacing w:after="0"/>
      </w:pPr>
    </w:p>
    <w:p w14:paraId="55A903AE" w14:textId="77777777" w:rsidR="00E93550" w:rsidRPr="005D065E" w:rsidRDefault="00000000" w:rsidP="00D317A7">
      <w:pPr>
        <w:pStyle w:val="Ttulo1"/>
        <w:spacing w:before="0" w:line="360" w:lineRule="auto"/>
        <w:jc w:val="both"/>
        <w:rPr>
          <w:rFonts w:ascii="Times New Roman" w:hAnsi="Times New Roman" w:cs="Times New Roman"/>
          <w:color w:val="auto"/>
          <w:sz w:val="24"/>
          <w:szCs w:val="24"/>
          <w:lang w:val="es-PE"/>
        </w:rPr>
      </w:pPr>
      <w:r>
        <w:rPr>
          <w:rFonts w:ascii="Times New Roman" w:hAnsi="Times New Roman" w:cs="Times New Roman"/>
          <w:color w:val="auto"/>
          <w:sz w:val="24"/>
          <w:szCs w:val="24"/>
          <w:lang w:val="es-PE"/>
        </w:rPr>
        <w:lastRenderedPageBreak/>
        <w:t xml:space="preserve">06. </w:t>
      </w:r>
      <w:r>
        <w:rPr>
          <w:rFonts w:ascii="Times New Roman" w:hAnsi="Times New Roman" w:cs="Times New Roman"/>
          <w:color w:val="auto"/>
          <w:sz w:val="24"/>
          <w:szCs w:val="24"/>
          <w:lang w:val="es-PE"/>
        </w:rPr>
        <w:tab/>
        <w:t>METHODOLOGY / METODOLOGÍA</w:t>
      </w:r>
    </w:p>
    <w:p w14:paraId="4FFF0F97" w14:textId="77777777" w:rsidR="00E93550" w:rsidRPr="00264341" w:rsidRDefault="00000000" w:rsidP="00D317A7">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study adopts a pragmatist philosophical position, since the value of its contribution depends on whether the proposed artifact works in practice and solves the problem for which it was built. Consistent with this position, Design Science Research is the main methodology, the artifact under study is the Reproducible Trustworthy AI Framework, and the evaluation is experimental and relies on temporal validation, which respects the chronological order of the data and prevents the models from using future information. [5]</w:t>
      </w:r>
    </w:p>
    <w:p w14:paraId="0705FB7C" w14:textId="77777777" w:rsidR="00E93550" w:rsidRPr="00264341" w:rsidRDefault="00000000" w:rsidP="00D317A7">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research follows the DSR process model, which moves from problem identification to the definition of objectives, design and development, demonstration, evaluation, and communication. Although these stages are presented in sequence, the process is iterative, and the findings of each evaluation may send the work back to the design stage. In this thesis, that iteration is expected mainly between development and evaluation, since each experiment may reveal a weakness that must be corrected before the next evaluation cycle. [6]</w:t>
      </w:r>
    </w:p>
    <w:p w14:paraId="56A80390" w14:textId="77777777" w:rsidR="00D317A7" w:rsidRDefault="00D317A7" w:rsidP="00D317A7">
      <w:pPr>
        <w:pStyle w:val="Ttulo2"/>
        <w:spacing w:before="0" w:line="360" w:lineRule="auto"/>
        <w:rPr>
          <w:rFonts w:ascii="Times New Roman" w:hAnsi="Times New Roman" w:cs="Times New Roman"/>
          <w:color w:val="auto"/>
          <w:sz w:val="24"/>
          <w:szCs w:val="24"/>
        </w:rPr>
      </w:pPr>
    </w:p>
    <w:p w14:paraId="0B8D7F8B" w14:textId="531E90DB" w:rsidR="00E93550" w:rsidRPr="00264341" w:rsidRDefault="00000000" w:rsidP="00D317A7">
      <w:pPr>
        <w:pStyle w:val="Ttulo2"/>
        <w:spacing w:before="0" w:line="360" w:lineRule="auto"/>
        <w:rPr>
          <w:rFonts w:ascii="Times New Roman" w:hAnsi="Times New Roman" w:cs="Times New Roman"/>
          <w:color w:val="auto"/>
          <w:sz w:val="24"/>
          <w:szCs w:val="24"/>
        </w:rPr>
      </w:pPr>
      <w:r>
        <w:rPr>
          <w:rFonts w:ascii="Times New Roman" w:hAnsi="Times New Roman" w:cs="Times New Roman"/>
          <w:color w:val="auto"/>
          <w:sz w:val="24"/>
          <w:szCs w:val="24"/>
        </w:rPr>
        <w:t>Data and Models</w:t>
      </w:r>
    </w:p>
    <w:p w14:paraId="4E62B383" w14:textId="77777777" w:rsidR="00E93550" w:rsidRPr="00264341" w:rsidRDefault="00000000" w:rsidP="00D317A7">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study uses the official open dataset of traffic flow recorded at the toll units of Peru’s National Road Network, published by the Ministry of Transport and Communications (MTC) [12]. The comparison begins with a seasonal naïve baseline [1] and a classical time-series model [13], continues with the Gradient Boosting family formed by XGBoost, LightGBM, and CatBoost [13], and includes Deep Learning models whenever they are computationally feasible [13]. All models will be evaluated on the same temporal splits and on the same test observations, so that differences in performance reflect the models rather than the evaluation design. To pass the stranger test, the analysis is fixed in advance: models are trained on data up to December 2023 and tested on January 2024 to March 2026, while model selection uses rolling-origin evaluation within the training period only.</w:t>
      </w:r>
    </w:p>
    <w:p w14:paraId="0C2DC656" w14:textId="77777777" w:rsidR="00D317A7" w:rsidRDefault="00D317A7" w:rsidP="00D317A7">
      <w:pPr>
        <w:pStyle w:val="Ttulo2"/>
        <w:spacing w:before="0" w:line="360" w:lineRule="auto"/>
        <w:rPr>
          <w:rFonts w:ascii="Times New Roman" w:hAnsi="Times New Roman" w:cs="Times New Roman"/>
          <w:color w:val="auto"/>
          <w:sz w:val="24"/>
          <w:szCs w:val="24"/>
        </w:rPr>
      </w:pPr>
    </w:p>
    <w:p w14:paraId="3B8D9563" w14:textId="7BA536A1" w:rsidR="00E93550" w:rsidRPr="00264341" w:rsidRDefault="00000000" w:rsidP="00D317A7">
      <w:pPr>
        <w:pStyle w:val="Ttulo2"/>
        <w:spacing w:before="0" w:line="360" w:lineRule="auto"/>
        <w:rPr>
          <w:rFonts w:ascii="Times New Roman" w:hAnsi="Times New Roman" w:cs="Times New Roman"/>
          <w:color w:val="auto"/>
          <w:sz w:val="24"/>
          <w:szCs w:val="24"/>
        </w:rPr>
      </w:pPr>
      <w:r>
        <w:rPr>
          <w:rFonts w:ascii="Times New Roman" w:hAnsi="Times New Roman" w:cs="Times New Roman"/>
          <w:color w:val="auto"/>
          <w:sz w:val="24"/>
          <w:szCs w:val="24"/>
        </w:rPr>
        <w:t>Evaluation Dimensions</w:t>
      </w:r>
    </w:p>
    <w:p w14:paraId="41A8C6EA" w14:textId="77777777" w:rsidR="00D32405" w:rsidRDefault="00000000" w:rsidP="00D317A7">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Table 2 summarizes how each dimension of the Framework will be evaluated, what evidence will be collected, and why that evidence matters. MASE will serve as the primary accuracy metric because it is scale-free and compares every model against a naïve forecast, which makes the results comparable across toll units with very different traffic volumes. MAE, RMSE, and MAPE will also be reported to allow comparison with previous studies, although MAPE will be interpreted with caution where traffic volumes are low. [14]</w:t>
      </w:r>
    </w:p>
    <w:p w14:paraId="02E3D195" w14:textId="77777777" w:rsidR="00D32405" w:rsidRDefault="00D32405" w:rsidP="00D317A7">
      <w:pPr>
        <w:spacing w:after="0" w:line="360" w:lineRule="auto"/>
        <w:ind w:firstLine="720"/>
        <w:jc w:val="both"/>
        <w:rPr>
          <w:rFonts w:ascii="Times New Roman" w:hAnsi="Times New Roman" w:cs="Times New Roman"/>
          <w:sz w:val="24"/>
          <w:szCs w:val="24"/>
        </w:rPr>
      </w:pPr>
    </w:p>
    <w:p w14:paraId="54E8A23F" w14:textId="77777777" w:rsidR="00D317A7" w:rsidRDefault="00D317A7" w:rsidP="00D317A7">
      <w:pPr>
        <w:spacing w:after="0" w:line="360" w:lineRule="auto"/>
        <w:ind w:firstLine="720"/>
        <w:jc w:val="both"/>
        <w:rPr>
          <w:rFonts w:ascii="Times New Roman" w:hAnsi="Times New Roman" w:cs="Times New Roman"/>
          <w:sz w:val="24"/>
          <w:szCs w:val="24"/>
        </w:rPr>
      </w:pPr>
    </w:p>
    <w:p w14:paraId="78EBFB0C" w14:textId="4659D24C" w:rsidR="00CD630E" w:rsidRDefault="00000000">
      <w:pPr>
        <w:keepNext/>
        <w:spacing w:before="120" w:after="60" w:line="360" w:lineRule="auto"/>
      </w:pPr>
      <w:r>
        <w:rPr>
          <w:rFonts w:ascii="Times New Roman" w:hAnsi="Times New Roman" w:cs="Times New Roman"/>
          <w:b/>
          <w:sz w:val="24"/>
          <w:szCs w:val="24"/>
        </w:rPr>
        <w:lastRenderedPageBreak/>
        <w:t xml:space="preserve">Table 2. </w:t>
      </w:r>
      <w:r>
        <w:rPr>
          <w:rFonts w:ascii="Times New Roman" w:hAnsi="Times New Roman" w:cs="Times New Roman"/>
          <w:i/>
          <w:sz w:val="24"/>
          <w:szCs w:val="24"/>
        </w:rPr>
        <w:t>Evaluation dimensions of the Framework</w:t>
      </w:r>
    </w:p>
    <w:tbl>
      <w:tblPr>
        <w:tblStyle w:val="Tablaconcuadrcula"/>
        <w:tblW w:w="0" w:type="auto"/>
        <w:tblLook w:val="04A0" w:firstRow="1" w:lastRow="0" w:firstColumn="1" w:lastColumn="0" w:noHBand="0" w:noVBand="1"/>
      </w:tblPr>
      <w:tblGrid>
        <w:gridCol w:w="3357"/>
        <w:gridCol w:w="3356"/>
        <w:gridCol w:w="3357"/>
      </w:tblGrid>
      <w:tr w:rsidR="00264341" w:rsidRPr="00264341" w14:paraId="18011E4D" w14:textId="77777777">
        <w:tc>
          <w:tcPr>
            <w:tcW w:w="3360" w:type="dxa"/>
          </w:tcPr>
          <w:p w14:paraId="100AE4DD" w14:textId="77777777" w:rsidR="00E93550" w:rsidRPr="0073671B" w:rsidRDefault="00000000" w:rsidP="00D32405">
            <w:pPr>
              <w:rPr>
                <w:rFonts w:ascii="Times New Roman" w:hAnsi="Times New Roman" w:cs="Times New Roman"/>
                <w:b/>
                <w:bCs/>
                <w:sz w:val="24"/>
                <w:szCs w:val="24"/>
              </w:rPr>
            </w:pPr>
            <w:r>
              <w:rPr>
                <w:rFonts w:ascii="Times New Roman" w:hAnsi="Times New Roman" w:cs="Times New Roman"/>
                <w:b/>
                <w:bCs/>
                <w:sz w:val="24"/>
                <w:szCs w:val="24"/>
              </w:rPr>
              <w:t>Dimension</w:t>
            </w:r>
          </w:p>
        </w:tc>
        <w:tc>
          <w:tcPr>
            <w:tcW w:w="3360" w:type="dxa"/>
          </w:tcPr>
          <w:p w14:paraId="0CFAB340" w14:textId="77777777" w:rsidR="00E93550" w:rsidRPr="0073671B" w:rsidRDefault="00000000" w:rsidP="00D32405">
            <w:pPr>
              <w:rPr>
                <w:rFonts w:ascii="Times New Roman" w:hAnsi="Times New Roman" w:cs="Times New Roman"/>
                <w:b/>
                <w:bCs/>
                <w:sz w:val="24"/>
                <w:szCs w:val="24"/>
              </w:rPr>
            </w:pPr>
            <w:r>
              <w:rPr>
                <w:rFonts w:ascii="Times New Roman" w:hAnsi="Times New Roman" w:cs="Times New Roman"/>
                <w:b/>
                <w:bCs/>
                <w:sz w:val="24"/>
                <w:szCs w:val="24"/>
              </w:rPr>
              <w:t>Evidence</w:t>
            </w:r>
          </w:p>
        </w:tc>
        <w:tc>
          <w:tcPr>
            <w:tcW w:w="3360" w:type="dxa"/>
          </w:tcPr>
          <w:p w14:paraId="08BB643D" w14:textId="77777777" w:rsidR="00E93550" w:rsidRPr="0073671B" w:rsidRDefault="00000000" w:rsidP="00D32405">
            <w:pPr>
              <w:rPr>
                <w:rFonts w:ascii="Times New Roman" w:hAnsi="Times New Roman" w:cs="Times New Roman"/>
                <w:b/>
                <w:bCs/>
                <w:sz w:val="24"/>
                <w:szCs w:val="24"/>
              </w:rPr>
            </w:pPr>
            <w:r>
              <w:rPr>
                <w:rFonts w:ascii="Times New Roman" w:hAnsi="Times New Roman" w:cs="Times New Roman"/>
                <w:b/>
                <w:bCs/>
                <w:sz w:val="24"/>
                <w:szCs w:val="24"/>
              </w:rPr>
              <w:t>Purpose</w:t>
            </w:r>
          </w:p>
        </w:tc>
      </w:tr>
      <w:tr w:rsidR="00264341" w:rsidRPr="00264341" w14:paraId="23E4A3F7" w14:textId="77777777">
        <w:tc>
          <w:tcPr>
            <w:tcW w:w="3360" w:type="dxa"/>
          </w:tcPr>
          <w:p w14:paraId="7DF434E7" w14:textId="77777777" w:rsidR="00E93550" w:rsidRPr="00264341" w:rsidRDefault="00000000" w:rsidP="00D32405">
            <w:pPr>
              <w:rPr>
                <w:rFonts w:ascii="Times New Roman" w:hAnsi="Times New Roman" w:cs="Times New Roman"/>
                <w:sz w:val="24"/>
                <w:szCs w:val="24"/>
              </w:rPr>
            </w:pPr>
            <w:r>
              <w:rPr>
                <w:rFonts w:ascii="Times New Roman" w:hAnsi="Times New Roman" w:cs="Times New Roman"/>
                <w:sz w:val="24"/>
                <w:szCs w:val="24"/>
              </w:rPr>
              <w:t>Predictive performance</w:t>
            </w:r>
          </w:p>
        </w:tc>
        <w:tc>
          <w:tcPr>
            <w:tcW w:w="3360" w:type="dxa"/>
          </w:tcPr>
          <w:p w14:paraId="1C9E8652" w14:textId="77777777" w:rsidR="00E93550" w:rsidRPr="00264341" w:rsidRDefault="00000000" w:rsidP="00D32405">
            <w:pPr>
              <w:rPr>
                <w:rFonts w:ascii="Times New Roman" w:hAnsi="Times New Roman" w:cs="Times New Roman"/>
                <w:sz w:val="24"/>
                <w:szCs w:val="24"/>
              </w:rPr>
            </w:pPr>
            <w:r>
              <w:rPr>
                <w:rFonts w:ascii="Times New Roman" w:hAnsi="Times New Roman" w:cs="Times New Roman"/>
                <w:sz w:val="24"/>
                <w:szCs w:val="24"/>
              </w:rPr>
              <w:t>MASE, MAE, RMSE, MAPE</w:t>
            </w:r>
          </w:p>
        </w:tc>
        <w:tc>
          <w:tcPr>
            <w:tcW w:w="3360" w:type="dxa"/>
          </w:tcPr>
          <w:p w14:paraId="0893A9C5" w14:textId="77777777" w:rsidR="00E93550" w:rsidRPr="00264341" w:rsidRDefault="00000000" w:rsidP="00D32405">
            <w:pPr>
              <w:rPr>
                <w:rFonts w:ascii="Times New Roman" w:hAnsi="Times New Roman" w:cs="Times New Roman"/>
                <w:sz w:val="24"/>
                <w:szCs w:val="24"/>
              </w:rPr>
            </w:pPr>
            <w:r>
              <w:rPr>
                <w:rFonts w:ascii="Times New Roman" w:hAnsi="Times New Roman" w:cs="Times New Roman"/>
                <w:sz w:val="24"/>
                <w:szCs w:val="24"/>
              </w:rPr>
              <w:t>Forecast quality</w:t>
            </w:r>
          </w:p>
        </w:tc>
      </w:tr>
      <w:tr w:rsidR="00264341" w:rsidRPr="00264341" w14:paraId="441238E7" w14:textId="77777777">
        <w:tc>
          <w:tcPr>
            <w:tcW w:w="3360" w:type="dxa"/>
          </w:tcPr>
          <w:p w14:paraId="1572F374" w14:textId="77777777" w:rsidR="00E93550" w:rsidRPr="00264341" w:rsidRDefault="00000000" w:rsidP="00D32405">
            <w:pPr>
              <w:rPr>
                <w:rFonts w:ascii="Times New Roman" w:hAnsi="Times New Roman" w:cs="Times New Roman"/>
                <w:sz w:val="24"/>
                <w:szCs w:val="24"/>
              </w:rPr>
            </w:pPr>
            <w:r>
              <w:rPr>
                <w:rFonts w:ascii="Times New Roman" w:hAnsi="Times New Roman" w:cs="Times New Roman"/>
                <w:sz w:val="24"/>
                <w:szCs w:val="24"/>
              </w:rPr>
              <w:t>Uncertainty</w:t>
            </w:r>
          </w:p>
        </w:tc>
        <w:tc>
          <w:tcPr>
            <w:tcW w:w="3360" w:type="dxa"/>
          </w:tcPr>
          <w:p w14:paraId="75F26FDF" w14:textId="77777777" w:rsidR="00E93550" w:rsidRPr="00264341" w:rsidRDefault="00000000" w:rsidP="00D32405">
            <w:pPr>
              <w:rPr>
                <w:rFonts w:ascii="Times New Roman" w:hAnsi="Times New Roman" w:cs="Times New Roman"/>
                <w:sz w:val="24"/>
                <w:szCs w:val="24"/>
              </w:rPr>
            </w:pPr>
            <w:r>
              <w:rPr>
                <w:rFonts w:ascii="Times New Roman" w:hAnsi="Times New Roman" w:cs="Times New Roman"/>
                <w:sz w:val="24"/>
                <w:szCs w:val="24"/>
              </w:rPr>
              <w:t>Prediction intervals and their empirical coverage</w:t>
            </w:r>
          </w:p>
        </w:tc>
        <w:tc>
          <w:tcPr>
            <w:tcW w:w="3360" w:type="dxa"/>
          </w:tcPr>
          <w:p w14:paraId="70BAA9D5" w14:textId="77777777" w:rsidR="00E93550" w:rsidRPr="00264341" w:rsidRDefault="00000000" w:rsidP="00D32405">
            <w:pPr>
              <w:rPr>
                <w:rFonts w:ascii="Times New Roman" w:hAnsi="Times New Roman" w:cs="Times New Roman"/>
                <w:sz w:val="24"/>
                <w:szCs w:val="24"/>
              </w:rPr>
            </w:pPr>
            <w:r>
              <w:rPr>
                <w:rFonts w:ascii="Times New Roman" w:hAnsi="Times New Roman" w:cs="Times New Roman"/>
                <w:sz w:val="24"/>
                <w:szCs w:val="24"/>
              </w:rPr>
              <w:t>Quantify uncertainty</w:t>
            </w:r>
          </w:p>
        </w:tc>
      </w:tr>
      <w:tr w:rsidR="00264341" w:rsidRPr="00264341" w14:paraId="3B9682F1" w14:textId="77777777">
        <w:tc>
          <w:tcPr>
            <w:tcW w:w="3360" w:type="dxa"/>
          </w:tcPr>
          <w:p w14:paraId="0A1DDEBF" w14:textId="77777777" w:rsidR="00E93550" w:rsidRPr="00264341" w:rsidRDefault="00000000" w:rsidP="00D32405">
            <w:pPr>
              <w:rPr>
                <w:rFonts w:ascii="Times New Roman" w:hAnsi="Times New Roman" w:cs="Times New Roman"/>
                <w:sz w:val="24"/>
                <w:szCs w:val="24"/>
              </w:rPr>
            </w:pPr>
            <w:r>
              <w:rPr>
                <w:rFonts w:ascii="Times New Roman" w:hAnsi="Times New Roman" w:cs="Times New Roman"/>
                <w:sz w:val="24"/>
                <w:szCs w:val="24"/>
              </w:rPr>
              <w:t>Robustness</w:t>
            </w:r>
          </w:p>
        </w:tc>
        <w:tc>
          <w:tcPr>
            <w:tcW w:w="3360" w:type="dxa"/>
          </w:tcPr>
          <w:p w14:paraId="36F6FD49" w14:textId="77777777" w:rsidR="00E93550" w:rsidRPr="00264341" w:rsidRDefault="00000000" w:rsidP="00D32405">
            <w:pPr>
              <w:rPr>
                <w:rFonts w:ascii="Times New Roman" w:hAnsi="Times New Roman" w:cs="Times New Roman"/>
                <w:sz w:val="24"/>
                <w:szCs w:val="24"/>
              </w:rPr>
            </w:pPr>
            <w:r>
              <w:rPr>
                <w:rFonts w:ascii="Times New Roman" w:hAnsi="Times New Roman" w:cs="Times New Roman"/>
                <w:sz w:val="24"/>
                <w:szCs w:val="24"/>
              </w:rPr>
              <w:t>Performance under distribution shift</w:t>
            </w:r>
          </w:p>
        </w:tc>
        <w:tc>
          <w:tcPr>
            <w:tcW w:w="3360" w:type="dxa"/>
          </w:tcPr>
          <w:p w14:paraId="3C5FA054" w14:textId="77777777" w:rsidR="00E93550" w:rsidRPr="00264341" w:rsidRDefault="00000000" w:rsidP="00D32405">
            <w:pPr>
              <w:rPr>
                <w:rFonts w:ascii="Times New Roman" w:hAnsi="Times New Roman" w:cs="Times New Roman"/>
                <w:sz w:val="24"/>
                <w:szCs w:val="24"/>
              </w:rPr>
            </w:pPr>
            <w:r>
              <w:rPr>
                <w:rFonts w:ascii="Times New Roman" w:hAnsi="Times New Roman" w:cs="Times New Roman"/>
                <w:sz w:val="24"/>
                <w:szCs w:val="24"/>
              </w:rPr>
              <w:t>Check stability when conditions change</w:t>
            </w:r>
          </w:p>
        </w:tc>
      </w:tr>
      <w:tr w:rsidR="00264341" w:rsidRPr="00264341" w14:paraId="78BE2EF0" w14:textId="77777777">
        <w:tc>
          <w:tcPr>
            <w:tcW w:w="3360" w:type="dxa"/>
          </w:tcPr>
          <w:p w14:paraId="182A3BE2" w14:textId="77777777" w:rsidR="00E93550" w:rsidRPr="00264341" w:rsidRDefault="00000000" w:rsidP="00D32405">
            <w:pPr>
              <w:rPr>
                <w:rFonts w:ascii="Times New Roman" w:hAnsi="Times New Roman" w:cs="Times New Roman"/>
                <w:sz w:val="24"/>
                <w:szCs w:val="24"/>
              </w:rPr>
            </w:pPr>
            <w:r>
              <w:rPr>
                <w:rFonts w:ascii="Times New Roman" w:hAnsi="Times New Roman" w:cs="Times New Roman"/>
                <w:sz w:val="24"/>
                <w:szCs w:val="24"/>
              </w:rPr>
              <w:t>Reproducibility</w:t>
            </w:r>
          </w:p>
        </w:tc>
        <w:tc>
          <w:tcPr>
            <w:tcW w:w="3360" w:type="dxa"/>
          </w:tcPr>
          <w:p w14:paraId="274808E5" w14:textId="77777777" w:rsidR="00E93550" w:rsidRPr="00264341" w:rsidRDefault="00000000" w:rsidP="00D32405">
            <w:pPr>
              <w:rPr>
                <w:rFonts w:ascii="Times New Roman" w:hAnsi="Times New Roman" w:cs="Times New Roman"/>
                <w:sz w:val="24"/>
                <w:szCs w:val="24"/>
              </w:rPr>
            </w:pPr>
            <w:r>
              <w:rPr>
                <w:rFonts w:ascii="Times New Roman" w:hAnsi="Times New Roman" w:cs="Times New Roman"/>
                <w:sz w:val="24"/>
                <w:szCs w:val="24"/>
              </w:rPr>
              <w:t>Independent reproduction</w:t>
            </w:r>
          </w:p>
        </w:tc>
        <w:tc>
          <w:tcPr>
            <w:tcW w:w="3360" w:type="dxa"/>
          </w:tcPr>
          <w:p w14:paraId="118A1116" w14:textId="77777777" w:rsidR="00E93550" w:rsidRPr="00264341" w:rsidRDefault="00000000" w:rsidP="00D32405">
            <w:pPr>
              <w:rPr>
                <w:rFonts w:ascii="Times New Roman" w:hAnsi="Times New Roman" w:cs="Times New Roman"/>
                <w:sz w:val="24"/>
                <w:szCs w:val="24"/>
              </w:rPr>
            </w:pPr>
            <w:r>
              <w:rPr>
                <w:rFonts w:ascii="Times New Roman" w:hAnsi="Times New Roman" w:cs="Times New Roman"/>
                <w:sz w:val="24"/>
                <w:szCs w:val="24"/>
              </w:rPr>
              <w:t>Test reproducibility</w:t>
            </w:r>
          </w:p>
        </w:tc>
      </w:tr>
      <w:tr w:rsidR="00264341" w:rsidRPr="00264341" w14:paraId="0B7D11BD" w14:textId="77777777">
        <w:tc>
          <w:tcPr>
            <w:tcW w:w="3360" w:type="dxa"/>
          </w:tcPr>
          <w:p w14:paraId="331BA500" w14:textId="77777777" w:rsidR="00E93550" w:rsidRPr="00264341" w:rsidRDefault="00000000" w:rsidP="00D32405">
            <w:pPr>
              <w:rPr>
                <w:rFonts w:ascii="Times New Roman" w:hAnsi="Times New Roman" w:cs="Times New Roman"/>
                <w:sz w:val="24"/>
                <w:szCs w:val="24"/>
              </w:rPr>
            </w:pPr>
            <w:r>
              <w:rPr>
                <w:rFonts w:ascii="Times New Roman" w:hAnsi="Times New Roman" w:cs="Times New Roman"/>
                <w:sz w:val="24"/>
                <w:szCs w:val="24"/>
              </w:rPr>
              <w:t>Traceability</w:t>
            </w:r>
          </w:p>
        </w:tc>
        <w:tc>
          <w:tcPr>
            <w:tcW w:w="3360" w:type="dxa"/>
          </w:tcPr>
          <w:p w14:paraId="4695B58F" w14:textId="77777777" w:rsidR="00E93550" w:rsidRPr="00264341" w:rsidRDefault="00000000" w:rsidP="00D32405">
            <w:pPr>
              <w:rPr>
                <w:rFonts w:ascii="Times New Roman" w:hAnsi="Times New Roman" w:cs="Times New Roman"/>
                <w:sz w:val="24"/>
                <w:szCs w:val="24"/>
              </w:rPr>
            </w:pPr>
            <w:r>
              <w:rPr>
                <w:rFonts w:ascii="Times New Roman" w:hAnsi="Times New Roman" w:cs="Times New Roman"/>
                <w:sz w:val="24"/>
                <w:szCs w:val="24"/>
              </w:rPr>
              <w:t>Data-to-result lineage</w:t>
            </w:r>
          </w:p>
        </w:tc>
        <w:tc>
          <w:tcPr>
            <w:tcW w:w="3360" w:type="dxa"/>
          </w:tcPr>
          <w:p w14:paraId="78631081" w14:textId="77777777" w:rsidR="00E93550" w:rsidRPr="00264341" w:rsidRDefault="00000000" w:rsidP="00D32405">
            <w:pPr>
              <w:rPr>
                <w:rFonts w:ascii="Times New Roman" w:hAnsi="Times New Roman" w:cs="Times New Roman"/>
                <w:sz w:val="24"/>
                <w:szCs w:val="24"/>
              </w:rPr>
            </w:pPr>
            <w:r>
              <w:rPr>
                <w:rFonts w:ascii="Times New Roman" w:hAnsi="Times New Roman" w:cs="Times New Roman"/>
                <w:sz w:val="24"/>
                <w:szCs w:val="24"/>
              </w:rPr>
              <w:t>Audit the workflow</w:t>
            </w:r>
          </w:p>
        </w:tc>
      </w:tr>
      <w:tr w:rsidR="00264341" w:rsidRPr="00264341" w14:paraId="733CAB93" w14:textId="77777777">
        <w:tc>
          <w:tcPr>
            <w:tcW w:w="3360" w:type="dxa"/>
          </w:tcPr>
          <w:p w14:paraId="581E304A" w14:textId="77777777" w:rsidR="00E93550" w:rsidRPr="00264341" w:rsidRDefault="00000000" w:rsidP="00D32405">
            <w:pPr>
              <w:rPr>
                <w:rFonts w:ascii="Times New Roman" w:hAnsi="Times New Roman" w:cs="Times New Roman"/>
                <w:sz w:val="24"/>
                <w:szCs w:val="24"/>
              </w:rPr>
            </w:pPr>
            <w:r>
              <w:rPr>
                <w:rFonts w:ascii="Times New Roman" w:hAnsi="Times New Roman" w:cs="Times New Roman"/>
                <w:sz w:val="24"/>
                <w:szCs w:val="24"/>
              </w:rPr>
              <w:t>Explainability</w:t>
            </w:r>
          </w:p>
        </w:tc>
        <w:tc>
          <w:tcPr>
            <w:tcW w:w="3360" w:type="dxa"/>
          </w:tcPr>
          <w:p w14:paraId="192F5C4E" w14:textId="77777777" w:rsidR="00E93550" w:rsidRPr="00264341" w:rsidRDefault="00000000" w:rsidP="00D32405">
            <w:pPr>
              <w:rPr>
                <w:rFonts w:ascii="Times New Roman" w:hAnsi="Times New Roman" w:cs="Times New Roman"/>
                <w:sz w:val="24"/>
                <w:szCs w:val="24"/>
              </w:rPr>
            </w:pPr>
            <w:r>
              <w:rPr>
                <w:rFonts w:ascii="Times New Roman" w:hAnsi="Times New Roman" w:cs="Times New Roman"/>
                <w:sz w:val="24"/>
                <w:szCs w:val="24"/>
              </w:rPr>
              <w:t>SHAP</w:t>
            </w:r>
          </w:p>
        </w:tc>
        <w:tc>
          <w:tcPr>
            <w:tcW w:w="3360" w:type="dxa"/>
          </w:tcPr>
          <w:p w14:paraId="48F4D282" w14:textId="77777777" w:rsidR="00E93550" w:rsidRPr="00264341" w:rsidRDefault="00000000" w:rsidP="00D32405">
            <w:pPr>
              <w:rPr>
                <w:rFonts w:ascii="Times New Roman" w:hAnsi="Times New Roman" w:cs="Times New Roman"/>
                <w:sz w:val="24"/>
                <w:szCs w:val="24"/>
              </w:rPr>
            </w:pPr>
            <w:r>
              <w:rPr>
                <w:rFonts w:ascii="Times New Roman" w:hAnsi="Times New Roman" w:cs="Times New Roman"/>
                <w:sz w:val="24"/>
                <w:szCs w:val="24"/>
              </w:rPr>
              <w:t>Explain model behavior</w:t>
            </w:r>
          </w:p>
        </w:tc>
      </w:tr>
      <w:tr w:rsidR="00264341" w:rsidRPr="00264341" w14:paraId="5CA7CAF5" w14:textId="77777777">
        <w:tc>
          <w:tcPr>
            <w:tcW w:w="3360" w:type="dxa"/>
          </w:tcPr>
          <w:p w14:paraId="798F2B3F" w14:textId="77777777" w:rsidR="00E93550" w:rsidRPr="00264341" w:rsidRDefault="00000000" w:rsidP="00D32405">
            <w:pPr>
              <w:rPr>
                <w:rFonts w:ascii="Times New Roman" w:hAnsi="Times New Roman" w:cs="Times New Roman"/>
                <w:sz w:val="24"/>
                <w:szCs w:val="24"/>
              </w:rPr>
            </w:pPr>
            <w:r>
              <w:rPr>
                <w:rFonts w:ascii="Times New Roman" w:hAnsi="Times New Roman" w:cs="Times New Roman"/>
                <w:sz w:val="24"/>
                <w:szCs w:val="24"/>
              </w:rPr>
              <w:t>Data quality</w:t>
            </w:r>
          </w:p>
        </w:tc>
        <w:tc>
          <w:tcPr>
            <w:tcW w:w="3360" w:type="dxa"/>
          </w:tcPr>
          <w:p w14:paraId="047B120B" w14:textId="77777777" w:rsidR="00E93550" w:rsidRPr="00264341" w:rsidRDefault="00000000" w:rsidP="00D32405">
            <w:pPr>
              <w:rPr>
                <w:rFonts w:ascii="Times New Roman" w:hAnsi="Times New Roman" w:cs="Times New Roman"/>
                <w:sz w:val="24"/>
                <w:szCs w:val="24"/>
              </w:rPr>
            </w:pPr>
            <w:r>
              <w:rPr>
                <w:rFonts w:ascii="Times New Roman" w:hAnsi="Times New Roman" w:cs="Times New Roman"/>
                <w:sz w:val="24"/>
                <w:szCs w:val="24"/>
              </w:rPr>
              <w:t>Quality and missingness checks</w:t>
            </w:r>
          </w:p>
        </w:tc>
        <w:tc>
          <w:tcPr>
            <w:tcW w:w="3360" w:type="dxa"/>
          </w:tcPr>
          <w:p w14:paraId="006FD0BE" w14:textId="77777777" w:rsidR="00E93550" w:rsidRPr="00264341" w:rsidRDefault="00000000" w:rsidP="00D32405">
            <w:pPr>
              <w:rPr>
                <w:rFonts w:ascii="Times New Roman" w:hAnsi="Times New Roman" w:cs="Times New Roman"/>
                <w:sz w:val="24"/>
                <w:szCs w:val="24"/>
              </w:rPr>
            </w:pPr>
            <w:r>
              <w:rPr>
                <w:rFonts w:ascii="Times New Roman" w:hAnsi="Times New Roman" w:cs="Times New Roman"/>
                <w:sz w:val="24"/>
                <w:szCs w:val="24"/>
              </w:rPr>
              <w:t>Support reliable data use</w:t>
            </w:r>
          </w:p>
        </w:tc>
      </w:tr>
    </w:tbl>
    <w:p w14:paraId="2C221337" w14:textId="77777777" w:rsidR="00DB5D82" w:rsidRDefault="00DB5D82" w:rsidP="00DB5D82">
      <w:pPr>
        <w:pStyle w:val="Ttulo1"/>
        <w:spacing w:before="0" w:line="360" w:lineRule="auto"/>
        <w:rPr>
          <w:rFonts w:ascii="Times New Roman" w:hAnsi="Times New Roman" w:cs="Times New Roman"/>
          <w:color w:val="auto"/>
          <w:sz w:val="24"/>
          <w:szCs w:val="24"/>
        </w:rPr>
      </w:pPr>
    </w:p>
    <w:p w14:paraId="3247EDBD" w14:textId="77777777" w:rsidR="00E93550" w:rsidRPr="00264341" w:rsidRDefault="00000000" w:rsidP="00DB5D82">
      <w:pPr>
        <w:pStyle w:val="Ttulo1"/>
        <w:spacing w:before="0" w:line="360" w:lineRule="auto"/>
        <w:rPr>
          <w:rFonts w:ascii="Times New Roman" w:hAnsi="Times New Roman" w:cs="Times New Roman"/>
          <w:color w:val="auto"/>
          <w:sz w:val="24"/>
          <w:szCs w:val="24"/>
        </w:rPr>
      </w:pPr>
      <w:r>
        <w:rPr>
          <w:rFonts w:ascii="Times New Roman" w:hAnsi="Times New Roman" w:cs="Times New Roman"/>
          <w:color w:val="auto"/>
          <w:sz w:val="24"/>
          <w:szCs w:val="24"/>
        </w:rPr>
        <w:t xml:space="preserve">07. ETHICAL CONSIDERATIONS </w:t>
      </w:r>
    </w:p>
    <w:p w14:paraId="0C782D73" w14:textId="77777777" w:rsidR="00DB5D82" w:rsidRDefault="00DB5D82" w:rsidP="00DB5D82">
      <w:pPr>
        <w:pStyle w:val="Ttulo1"/>
        <w:spacing w:before="0" w:line="360" w:lineRule="auto"/>
        <w:ind w:firstLine="720"/>
        <w:jc w:val="both"/>
        <w:rPr>
          <w:rFonts w:ascii="Times New Roman" w:eastAsiaTheme="minorEastAsia" w:hAnsi="Times New Roman" w:cs="Times New Roman"/>
          <w:b w:val="0"/>
          <w:bCs w:val="0"/>
          <w:color w:val="auto"/>
          <w:sz w:val="24"/>
          <w:szCs w:val="24"/>
        </w:rPr>
      </w:pPr>
      <w:r>
        <w:rPr>
          <w:rFonts w:ascii="Times New Roman" w:eastAsiaTheme="minorEastAsia" w:hAnsi="Times New Roman" w:cs="Times New Roman"/>
          <w:b w:val="0"/>
          <w:bCs w:val="0"/>
          <w:color w:val="auto"/>
          <w:sz w:val="24"/>
          <w:szCs w:val="24"/>
        </w:rPr>
        <w:t>Because the study relies on official open data from the National Open Data Portal of the Peruvian Government, which reports traffic counts aggregated by toll unit and month, it involves no personal information and no direct contact with human participants. The main risk of harm lies elsewhere: road users, local communities, and toll operators could be affected if an unreliable or poorly explained forecast guided decisions on toll operation, maintenance, or investment. For this reason, the Framework reports uncertainty and limitations alongside every forecast and never presents SHAP attributions as causal evidence.</w:t>
      </w:r>
    </w:p>
    <w:p w14:paraId="79745AAF" w14:textId="77777777" w:rsidR="00F66939"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protocol also addresses data provenance, integrity, storage, and access, the treatment of missing data, potential conflicts of interest, and a transparent declaration of the use of AI tools, in line with the Ethics Guidelines for Trustworthy AI [15]. Research integrity will follow Peru’s National Code of Scientific Integrity, approved by CONCYTEC through Resolution No. 028-2024-CONCYTEC-P [16]. The study will be submitted to the corresponding UNMSM ethics committee before any data processing begins, and the schedule reserves up to six months for this review.</w:t>
      </w:r>
    </w:p>
    <w:p w14:paraId="7FC7D778" w14:textId="77777777" w:rsidR="00E93550" w:rsidRPr="00264341" w:rsidRDefault="00000000" w:rsidP="0066662E">
      <w:pPr>
        <w:pStyle w:val="Ttulo1"/>
        <w:spacing w:line="360" w:lineRule="auto"/>
        <w:rPr>
          <w:rFonts w:ascii="Times New Roman" w:hAnsi="Times New Roman" w:cs="Times New Roman"/>
          <w:color w:val="auto"/>
          <w:sz w:val="24"/>
          <w:szCs w:val="24"/>
          <w:lang w:val="es-PE"/>
        </w:rPr>
      </w:pPr>
      <w:r>
        <w:rPr>
          <w:rFonts w:ascii="Times New Roman" w:hAnsi="Times New Roman" w:cs="Times New Roman"/>
          <w:color w:val="auto"/>
          <w:sz w:val="24"/>
          <w:szCs w:val="24"/>
          <w:lang w:val="es-PE"/>
        </w:rPr>
        <w:t>08. EXPECTED RESULTS / RESULTADOS ESPERADOS</w:t>
      </w:r>
    </w:p>
    <w:p w14:paraId="30A20603" w14:textId="77777777" w:rsidR="00E93550" w:rsidRPr="00264341" w:rsidRDefault="00000000" w:rsidP="0066662E">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main expected result is a reproducible Trustworthy AI Framework, and its delivery will be verifiable through five concrete outputs: (1) a documented data-quality and traceability pipeline with a recorded lineage for every derived feature; (2) a comparison against the conventional workflow and the seasonal naïve baseline, in which a mean MASE below 1.0 would indicate a real improvement over the naïve reference; (3) prediction intervals whose empirical coverage stays within five percentage points of the nominal 80% and 95% levels; (4) an independent reproduction that recovers the primary metrics within ±0.01 of the reported MASE; and (5) an open-source code repository with versioned, citable datasets. Together, these outputs allow reviewers to check whether each objective was actually delivered.</w:t>
      </w:r>
    </w:p>
    <w:p w14:paraId="52CD7ED3" w14:textId="77777777" w:rsidR="00E93550" w:rsidRPr="00264341" w:rsidRDefault="00000000" w:rsidP="00D317A7">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In sum, the doctoral contribution lies in the combination of three elements: the artifact itself, the empirical evidence that supports or refutes the hypotheses, and design knowledge that has been tested rather than merely proposed. This combination distinguishes a doctoral contribution from a technical implementation, because it explains not only what was built but also why it works, under which conditions, and where its limits lie. [7]</w:t>
      </w:r>
    </w:p>
    <w:p w14:paraId="30874769" w14:textId="77777777" w:rsidR="00E93550" w:rsidRPr="00264341" w:rsidRDefault="00000000" w:rsidP="00D317A7">
      <w:pPr>
        <w:pStyle w:val="Ttulo1"/>
        <w:spacing w:before="0" w:line="360" w:lineRule="auto"/>
        <w:rPr>
          <w:rFonts w:ascii="Times New Roman" w:hAnsi="Times New Roman" w:cs="Times New Roman"/>
          <w:color w:val="auto"/>
          <w:sz w:val="24"/>
          <w:szCs w:val="24"/>
        </w:rPr>
      </w:pPr>
      <w:r>
        <w:rPr>
          <w:rFonts w:ascii="Times New Roman" w:hAnsi="Times New Roman" w:cs="Times New Roman"/>
          <w:color w:val="auto"/>
          <w:sz w:val="24"/>
          <w:szCs w:val="24"/>
        </w:rPr>
        <w:t xml:space="preserve">09. TIMELINE &amp; BUDGET </w:t>
      </w:r>
    </w:p>
    <w:p w14:paraId="50CB4A0E" w14:textId="77777777" w:rsidR="0073671B" w:rsidRDefault="00000000" w:rsidP="00D317A7">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research will run for 36 months, from 6 September 2026, when the doctoral program begins, to 5 September 2029, when it ends. Table 3 presents the schedule as a Gantt chart of thirteen partially overlapping phases that follow the DSR process, from the literature review and the protocol to data preparation, modeling, evaluation, the integration and independent reproduction of the Framework, knowledge transfer to the MTC, and the defense. The ethics review is scheduled before any data processing begins, and publications will be prepared progressively as each phase produces results rather than being left for the final months.</w:t>
      </w:r>
    </w:p>
    <w:p w14:paraId="568BA60D" w14:textId="77777777" w:rsidR="00D317A7" w:rsidRDefault="00D317A7" w:rsidP="00D317A7">
      <w:pPr>
        <w:spacing w:after="0" w:line="360" w:lineRule="auto"/>
        <w:ind w:firstLine="720"/>
        <w:jc w:val="both"/>
        <w:rPr>
          <w:rFonts w:ascii="Times New Roman" w:hAnsi="Times New Roman" w:cs="Times New Roman"/>
          <w:sz w:val="24"/>
          <w:szCs w:val="24"/>
        </w:rPr>
      </w:pPr>
    </w:p>
    <w:p w14:paraId="21E4DCCB" w14:textId="77777777" w:rsidR="00CD630E" w:rsidRPr="00D32405" w:rsidRDefault="00000000" w:rsidP="00D32405">
      <w:pPr>
        <w:spacing w:line="360" w:lineRule="auto"/>
        <w:jc w:val="both"/>
        <w:rPr>
          <w:rFonts w:ascii="Times New Roman" w:hAnsi="Times New Roman" w:cs="Times New Roman"/>
          <w:sz w:val="24"/>
          <w:szCs w:val="24"/>
        </w:rPr>
      </w:pPr>
      <w:r>
        <w:rPr>
          <w:rFonts w:ascii="Times New Roman" w:hAnsi="Times New Roman" w:cs="Times New Roman"/>
          <w:b/>
          <w:sz w:val="24"/>
          <w:szCs w:val="24"/>
        </w:rPr>
        <w:t xml:space="preserve">Table 3. </w:t>
      </w:r>
      <w:r>
        <w:rPr>
          <w:rFonts w:ascii="Times New Roman" w:hAnsi="Times New Roman" w:cs="Times New Roman"/>
          <w:i/>
          <w:sz w:val="24"/>
          <w:szCs w:val="24"/>
        </w:rPr>
        <w:t>Gantt chart of the research schedule, 6 September 2026 – 5 September 2029</w:t>
      </w:r>
    </w:p>
    <w:tbl>
      <w:tblPr>
        <w:tblStyle w:val="Tablaconcuadrcula"/>
        <w:tblW w:w="10080" w:type="dxa"/>
        <w:tblLayout w:type="fixed"/>
        <w:tblLook w:val="04A0" w:firstRow="1" w:lastRow="0" w:firstColumn="1" w:lastColumn="0" w:noHBand="0" w:noVBand="1"/>
      </w:tblPr>
      <w:tblGrid>
        <w:gridCol w:w="3360"/>
        <w:gridCol w:w="560"/>
        <w:gridCol w:w="560"/>
        <w:gridCol w:w="560"/>
        <w:gridCol w:w="560"/>
        <w:gridCol w:w="560"/>
        <w:gridCol w:w="560"/>
        <w:gridCol w:w="560"/>
        <w:gridCol w:w="560"/>
        <w:gridCol w:w="560"/>
        <w:gridCol w:w="560"/>
        <w:gridCol w:w="560"/>
        <w:gridCol w:w="560"/>
      </w:tblGrid>
      <w:tr w:rsidR="00F66939" w14:paraId="629A9197" w14:textId="77777777">
        <w:trPr>
          <w:tblHeader/>
        </w:trPr>
        <w:tc>
          <w:tcPr>
            <w:tcW w:w="3360" w:type="dxa"/>
            <w:shd w:val="clear" w:color="auto" w:fill="D9D9D9"/>
            <w:vAlign w:val="center"/>
          </w:tcPr>
          <w:p w14:paraId="63F72C30" w14:textId="77777777" w:rsidR="00F66939" w:rsidRDefault="00000000">
            <w:r>
              <w:rPr>
                <w:rFonts w:ascii="Times New Roman" w:hAnsi="Times New Roman" w:cs="Times New Roman"/>
                <w:b/>
                <w:sz w:val="18"/>
                <w:szCs w:val="18"/>
              </w:rPr>
              <w:t>Phase</w:t>
            </w:r>
          </w:p>
        </w:tc>
        <w:tc>
          <w:tcPr>
            <w:tcW w:w="2240" w:type="dxa"/>
            <w:gridSpan w:val="4"/>
            <w:shd w:val="clear" w:color="auto" w:fill="D9D9D9"/>
            <w:vAlign w:val="center"/>
          </w:tcPr>
          <w:p w14:paraId="1C67227A" w14:textId="77777777" w:rsidR="00F66939" w:rsidRDefault="00000000">
            <w:pPr>
              <w:jc w:val="center"/>
            </w:pPr>
            <w:r>
              <w:rPr>
                <w:rFonts w:ascii="Times New Roman" w:hAnsi="Times New Roman" w:cs="Times New Roman"/>
                <w:b/>
                <w:sz w:val="18"/>
                <w:szCs w:val="18"/>
              </w:rPr>
              <w:t>Year 1 (Sep 2026 – Aug 2027)</w:t>
            </w:r>
          </w:p>
        </w:tc>
        <w:tc>
          <w:tcPr>
            <w:tcW w:w="2240" w:type="dxa"/>
            <w:gridSpan w:val="4"/>
            <w:shd w:val="clear" w:color="auto" w:fill="D9D9D9"/>
            <w:vAlign w:val="center"/>
          </w:tcPr>
          <w:p w14:paraId="3BA27185" w14:textId="77777777" w:rsidR="00F66939" w:rsidRDefault="00000000">
            <w:pPr>
              <w:jc w:val="center"/>
            </w:pPr>
            <w:r>
              <w:rPr>
                <w:rFonts w:ascii="Times New Roman" w:hAnsi="Times New Roman" w:cs="Times New Roman"/>
                <w:b/>
                <w:sz w:val="18"/>
                <w:szCs w:val="18"/>
              </w:rPr>
              <w:t>Year 2 (Sep 2027 – Aug 2028)</w:t>
            </w:r>
          </w:p>
        </w:tc>
        <w:tc>
          <w:tcPr>
            <w:tcW w:w="2240" w:type="dxa"/>
            <w:gridSpan w:val="4"/>
            <w:shd w:val="clear" w:color="auto" w:fill="D9D9D9"/>
            <w:vAlign w:val="center"/>
          </w:tcPr>
          <w:p w14:paraId="61E9D4EE" w14:textId="77777777" w:rsidR="00F66939" w:rsidRDefault="00000000">
            <w:pPr>
              <w:jc w:val="center"/>
            </w:pPr>
            <w:r>
              <w:rPr>
                <w:rFonts w:ascii="Times New Roman" w:hAnsi="Times New Roman" w:cs="Times New Roman"/>
                <w:b/>
                <w:sz w:val="18"/>
                <w:szCs w:val="18"/>
              </w:rPr>
              <w:t>Year 3 (Sep 2028 – Sep 2029)</w:t>
            </w:r>
          </w:p>
        </w:tc>
      </w:tr>
      <w:tr w:rsidR="00F66939" w14:paraId="40D53395" w14:textId="77777777">
        <w:trPr>
          <w:tblHeader/>
        </w:trPr>
        <w:tc>
          <w:tcPr>
            <w:tcW w:w="3360" w:type="dxa"/>
            <w:shd w:val="clear" w:color="auto" w:fill="D9D9D9"/>
            <w:vAlign w:val="center"/>
          </w:tcPr>
          <w:p w14:paraId="5ED0339B" w14:textId="77777777" w:rsidR="00F66939" w:rsidRDefault="00000000">
            <w:r>
              <w:rPr>
                <w:rFonts w:ascii="Times New Roman" w:hAnsi="Times New Roman" w:cs="Times New Roman"/>
                <w:b/>
                <w:sz w:val="18"/>
                <w:szCs w:val="18"/>
              </w:rPr>
              <w:t>Period</w:t>
            </w:r>
          </w:p>
        </w:tc>
        <w:tc>
          <w:tcPr>
            <w:tcW w:w="560" w:type="dxa"/>
            <w:shd w:val="clear" w:color="auto" w:fill="D9D9D9"/>
            <w:vAlign w:val="center"/>
          </w:tcPr>
          <w:p w14:paraId="7458B4C5" w14:textId="77777777" w:rsidR="00F66939" w:rsidRDefault="00000000">
            <w:pPr>
              <w:jc w:val="center"/>
            </w:pPr>
            <w:r>
              <w:rPr>
                <w:rFonts w:ascii="Times New Roman" w:hAnsi="Times New Roman" w:cs="Times New Roman"/>
                <w:b/>
                <w:sz w:val="18"/>
                <w:szCs w:val="18"/>
              </w:rPr>
              <w:t>Q1</w:t>
            </w:r>
          </w:p>
        </w:tc>
        <w:tc>
          <w:tcPr>
            <w:tcW w:w="560" w:type="dxa"/>
            <w:shd w:val="clear" w:color="auto" w:fill="D9D9D9"/>
            <w:vAlign w:val="center"/>
          </w:tcPr>
          <w:p w14:paraId="0A1BE640" w14:textId="77777777" w:rsidR="00F66939" w:rsidRDefault="00000000">
            <w:pPr>
              <w:jc w:val="center"/>
            </w:pPr>
            <w:r>
              <w:rPr>
                <w:rFonts w:ascii="Times New Roman" w:hAnsi="Times New Roman" w:cs="Times New Roman"/>
                <w:b/>
                <w:sz w:val="18"/>
                <w:szCs w:val="18"/>
              </w:rPr>
              <w:t>Q2</w:t>
            </w:r>
          </w:p>
        </w:tc>
        <w:tc>
          <w:tcPr>
            <w:tcW w:w="560" w:type="dxa"/>
            <w:shd w:val="clear" w:color="auto" w:fill="D9D9D9"/>
            <w:vAlign w:val="center"/>
          </w:tcPr>
          <w:p w14:paraId="6B5CE250" w14:textId="77777777" w:rsidR="00F66939" w:rsidRDefault="00000000">
            <w:pPr>
              <w:jc w:val="center"/>
            </w:pPr>
            <w:r>
              <w:rPr>
                <w:rFonts w:ascii="Times New Roman" w:hAnsi="Times New Roman" w:cs="Times New Roman"/>
                <w:b/>
                <w:sz w:val="18"/>
                <w:szCs w:val="18"/>
              </w:rPr>
              <w:t>Q3</w:t>
            </w:r>
          </w:p>
        </w:tc>
        <w:tc>
          <w:tcPr>
            <w:tcW w:w="560" w:type="dxa"/>
            <w:shd w:val="clear" w:color="auto" w:fill="D9D9D9"/>
            <w:vAlign w:val="center"/>
          </w:tcPr>
          <w:p w14:paraId="656318B0" w14:textId="77777777" w:rsidR="00F66939" w:rsidRDefault="00000000">
            <w:pPr>
              <w:jc w:val="center"/>
            </w:pPr>
            <w:r>
              <w:rPr>
                <w:rFonts w:ascii="Times New Roman" w:hAnsi="Times New Roman" w:cs="Times New Roman"/>
                <w:b/>
                <w:sz w:val="18"/>
                <w:szCs w:val="18"/>
              </w:rPr>
              <w:t>Q4</w:t>
            </w:r>
          </w:p>
        </w:tc>
        <w:tc>
          <w:tcPr>
            <w:tcW w:w="560" w:type="dxa"/>
            <w:shd w:val="clear" w:color="auto" w:fill="D9D9D9"/>
            <w:vAlign w:val="center"/>
          </w:tcPr>
          <w:p w14:paraId="25B6FB12" w14:textId="77777777" w:rsidR="00F66939" w:rsidRDefault="00000000">
            <w:pPr>
              <w:jc w:val="center"/>
            </w:pPr>
            <w:r>
              <w:rPr>
                <w:rFonts w:ascii="Times New Roman" w:hAnsi="Times New Roman" w:cs="Times New Roman"/>
                <w:b/>
                <w:sz w:val="18"/>
                <w:szCs w:val="18"/>
              </w:rPr>
              <w:t>Q1</w:t>
            </w:r>
          </w:p>
        </w:tc>
        <w:tc>
          <w:tcPr>
            <w:tcW w:w="560" w:type="dxa"/>
            <w:shd w:val="clear" w:color="auto" w:fill="D9D9D9"/>
            <w:vAlign w:val="center"/>
          </w:tcPr>
          <w:p w14:paraId="77CAA0ED" w14:textId="77777777" w:rsidR="00F66939" w:rsidRDefault="00000000">
            <w:pPr>
              <w:jc w:val="center"/>
            </w:pPr>
            <w:r>
              <w:rPr>
                <w:rFonts w:ascii="Times New Roman" w:hAnsi="Times New Roman" w:cs="Times New Roman"/>
                <w:b/>
                <w:sz w:val="18"/>
                <w:szCs w:val="18"/>
              </w:rPr>
              <w:t>Q2</w:t>
            </w:r>
          </w:p>
        </w:tc>
        <w:tc>
          <w:tcPr>
            <w:tcW w:w="560" w:type="dxa"/>
            <w:shd w:val="clear" w:color="auto" w:fill="D9D9D9"/>
            <w:vAlign w:val="center"/>
          </w:tcPr>
          <w:p w14:paraId="338C9790" w14:textId="77777777" w:rsidR="00F66939" w:rsidRDefault="00000000">
            <w:pPr>
              <w:jc w:val="center"/>
            </w:pPr>
            <w:r>
              <w:rPr>
                <w:rFonts w:ascii="Times New Roman" w:hAnsi="Times New Roman" w:cs="Times New Roman"/>
                <w:b/>
                <w:sz w:val="18"/>
                <w:szCs w:val="18"/>
              </w:rPr>
              <w:t>Q3</w:t>
            </w:r>
          </w:p>
        </w:tc>
        <w:tc>
          <w:tcPr>
            <w:tcW w:w="560" w:type="dxa"/>
            <w:shd w:val="clear" w:color="auto" w:fill="D9D9D9"/>
            <w:vAlign w:val="center"/>
          </w:tcPr>
          <w:p w14:paraId="339F45B5" w14:textId="77777777" w:rsidR="00F66939" w:rsidRDefault="00000000">
            <w:pPr>
              <w:jc w:val="center"/>
            </w:pPr>
            <w:r>
              <w:rPr>
                <w:rFonts w:ascii="Times New Roman" w:hAnsi="Times New Roman" w:cs="Times New Roman"/>
                <w:b/>
                <w:sz w:val="18"/>
                <w:szCs w:val="18"/>
              </w:rPr>
              <w:t>Q4</w:t>
            </w:r>
          </w:p>
        </w:tc>
        <w:tc>
          <w:tcPr>
            <w:tcW w:w="560" w:type="dxa"/>
            <w:shd w:val="clear" w:color="auto" w:fill="D9D9D9"/>
            <w:vAlign w:val="center"/>
          </w:tcPr>
          <w:p w14:paraId="0041F4CB" w14:textId="77777777" w:rsidR="00F66939" w:rsidRDefault="00000000">
            <w:pPr>
              <w:jc w:val="center"/>
            </w:pPr>
            <w:r>
              <w:rPr>
                <w:rFonts w:ascii="Times New Roman" w:hAnsi="Times New Roman" w:cs="Times New Roman"/>
                <w:b/>
                <w:sz w:val="18"/>
                <w:szCs w:val="18"/>
              </w:rPr>
              <w:t>Q1</w:t>
            </w:r>
          </w:p>
        </w:tc>
        <w:tc>
          <w:tcPr>
            <w:tcW w:w="560" w:type="dxa"/>
            <w:shd w:val="clear" w:color="auto" w:fill="D9D9D9"/>
            <w:vAlign w:val="center"/>
          </w:tcPr>
          <w:p w14:paraId="7D58C085" w14:textId="77777777" w:rsidR="00F66939" w:rsidRDefault="00000000">
            <w:pPr>
              <w:jc w:val="center"/>
            </w:pPr>
            <w:r>
              <w:rPr>
                <w:rFonts w:ascii="Times New Roman" w:hAnsi="Times New Roman" w:cs="Times New Roman"/>
                <w:b/>
                <w:sz w:val="18"/>
                <w:szCs w:val="18"/>
              </w:rPr>
              <w:t>Q2</w:t>
            </w:r>
          </w:p>
        </w:tc>
        <w:tc>
          <w:tcPr>
            <w:tcW w:w="560" w:type="dxa"/>
            <w:shd w:val="clear" w:color="auto" w:fill="D9D9D9"/>
            <w:vAlign w:val="center"/>
          </w:tcPr>
          <w:p w14:paraId="50DEB809" w14:textId="77777777" w:rsidR="00F66939" w:rsidRDefault="00000000">
            <w:pPr>
              <w:jc w:val="center"/>
            </w:pPr>
            <w:r>
              <w:rPr>
                <w:rFonts w:ascii="Times New Roman" w:hAnsi="Times New Roman" w:cs="Times New Roman"/>
                <w:b/>
                <w:sz w:val="18"/>
                <w:szCs w:val="18"/>
              </w:rPr>
              <w:t>Q3</w:t>
            </w:r>
          </w:p>
        </w:tc>
        <w:tc>
          <w:tcPr>
            <w:tcW w:w="560" w:type="dxa"/>
            <w:shd w:val="clear" w:color="auto" w:fill="D9D9D9"/>
            <w:vAlign w:val="center"/>
          </w:tcPr>
          <w:p w14:paraId="0B4713F4" w14:textId="77777777" w:rsidR="00F66939" w:rsidRDefault="00000000">
            <w:pPr>
              <w:jc w:val="center"/>
            </w:pPr>
            <w:r>
              <w:rPr>
                <w:rFonts w:ascii="Times New Roman" w:hAnsi="Times New Roman" w:cs="Times New Roman"/>
                <w:b/>
                <w:sz w:val="18"/>
                <w:szCs w:val="18"/>
              </w:rPr>
              <w:t>Q4</w:t>
            </w:r>
          </w:p>
        </w:tc>
      </w:tr>
      <w:tr w:rsidR="00F66939" w14:paraId="6E25911E" w14:textId="77777777">
        <w:trPr>
          <w:cantSplit/>
        </w:trPr>
        <w:tc>
          <w:tcPr>
            <w:tcW w:w="3360" w:type="dxa"/>
            <w:vAlign w:val="center"/>
          </w:tcPr>
          <w:p w14:paraId="4E28C0F5" w14:textId="77777777" w:rsidR="00F66939" w:rsidRDefault="00000000">
            <w:r>
              <w:rPr>
                <w:rFonts w:ascii="Times New Roman" w:hAnsi="Times New Roman" w:cs="Times New Roman"/>
                <w:sz w:val="18"/>
                <w:szCs w:val="18"/>
              </w:rPr>
              <w:t>Literature review and research protocol</w:t>
            </w:r>
            <w:r>
              <w:br/>
            </w:r>
            <w:r>
              <w:rPr>
                <w:rFonts w:ascii="Times New Roman" w:hAnsi="Times New Roman" w:cs="Times New Roman"/>
                <w:i/>
                <w:sz w:val="16"/>
                <w:szCs w:val="16"/>
              </w:rPr>
              <w:t>Sep 2026 – Feb 2027 (M1–M6)</w:t>
            </w:r>
          </w:p>
        </w:tc>
        <w:tc>
          <w:tcPr>
            <w:tcW w:w="560" w:type="dxa"/>
            <w:shd w:val="clear" w:color="auto" w:fill="1F3864"/>
            <w:vAlign w:val="center"/>
          </w:tcPr>
          <w:p w14:paraId="0C7F4B14" w14:textId="77777777" w:rsidR="00F66939" w:rsidRDefault="00F66939"/>
        </w:tc>
        <w:tc>
          <w:tcPr>
            <w:tcW w:w="560" w:type="dxa"/>
            <w:shd w:val="clear" w:color="auto" w:fill="1F3864"/>
            <w:vAlign w:val="center"/>
          </w:tcPr>
          <w:p w14:paraId="0A6FEA1A" w14:textId="77777777" w:rsidR="00F66939" w:rsidRDefault="00F66939"/>
        </w:tc>
        <w:tc>
          <w:tcPr>
            <w:tcW w:w="560" w:type="dxa"/>
            <w:vAlign w:val="center"/>
          </w:tcPr>
          <w:p w14:paraId="0274A4E4" w14:textId="77777777" w:rsidR="00F66939" w:rsidRDefault="00F66939"/>
        </w:tc>
        <w:tc>
          <w:tcPr>
            <w:tcW w:w="560" w:type="dxa"/>
            <w:vAlign w:val="center"/>
          </w:tcPr>
          <w:p w14:paraId="4FE67035" w14:textId="77777777" w:rsidR="00F66939" w:rsidRDefault="00F66939"/>
        </w:tc>
        <w:tc>
          <w:tcPr>
            <w:tcW w:w="560" w:type="dxa"/>
            <w:vAlign w:val="center"/>
          </w:tcPr>
          <w:p w14:paraId="566B6FA1" w14:textId="77777777" w:rsidR="00F66939" w:rsidRDefault="00F66939"/>
        </w:tc>
        <w:tc>
          <w:tcPr>
            <w:tcW w:w="560" w:type="dxa"/>
            <w:vAlign w:val="center"/>
          </w:tcPr>
          <w:p w14:paraId="72A6642D" w14:textId="77777777" w:rsidR="00F66939" w:rsidRDefault="00F66939"/>
        </w:tc>
        <w:tc>
          <w:tcPr>
            <w:tcW w:w="560" w:type="dxa"/>
            <w:vAlign w:val="center"/>
          </w:tcPr>
          <w:p w14:paraId="745E19BD" w14:textId="77777777" w:rsidR="00F66939" w:rsidRDefault="00F66939"/>
        </w:tc>
        <w:tc>
          <w:tcPr>
            <w:tcW w:w="560" w:type="dxa"/>
            <w:vAlign w:val="center"/>
          </w:tcPr>
          <w:p w14:paraId="590E708E" w14:textId="77777777" w:rsidR="00F66939" w:rsidRDefault="00F66939"/>
        </w:tc>
        <w:tc>
          <w:tcPr>
            <w:tcW w:w="560" w:type="dxa"/>
            <w:vAlign w:val="center"/>
          </w:tcPr>
          <w:p w14:paraId="1A00CC08" w14:textId="77777777" w:rsidR="00F66939" w:rsidRDefault="00F66939"/>
        </w:tc>
        <w:tc>
          <w:tcPr>
            <w:tcW w:w="560" w:type="dxa"/>
            <w:vAlign w:val="center"/>
          </w:tcPr>
          <w:p w14:paraId="2BA01D95" w14:textId="77777777" w:rsidR="00F66939" w:rsidRDefault="00F66939"/>
        </w:tc>
        <w:tc>
          <w:tcPr>
            <w:tcW w:w="560" w:type="dxa"/>
            <w:vAlign w:val="center"/>
          </w:tcPr>
          <w:p w14:paraId="389BAC54" w14:textId="77777777" w:rsidR="00F66939" w:rsidRDefault="00F66939"/>
        </w:tc>
        <w:tc>
          <w:tcPr>
            <w:tcW w:w="560" w:type="dxa"/>
            <w:vAlign w:val="center"/>
          </w:tcPr>
          <w:p w14:paraId="472EEC21" w14:textId="77777777" w:rsidR="00F66939" w:rsidRDefault="00F66939"/>
        </w:tc>
      </w:tr>
      <w:tr w:rsidR="00F66939" w14:paraId="19B185EA" w14:textId="77777777">
        <w:trPr>
          <w:cantSplit/>
        </w:trPr>
        <w:tc>
          <w:tcPr>
            <w:tcW w:w="3360" w:type="dxa"/>
            <w:vAlign w:val="center"/>
          </w:tcPr>
          <w:p w14:paraId="323D11A7" w14:textId="77777777" w:rsidR="00F66939" w:rsidRDefault="00000000">
            <w:r>
              <w:rPr>
                <w:rFonts w:ascii="Times New Roman" w:hAnsi="Times New Roman" w:cs="Times New Roman"/>
                <w:sz w:val="18"/>
                <w:szCs w:val="18"/>
              </w:rPr>
              <w:t>Ethics review and approval (UNMSM; CONCYTEC Code)</w:t>
            </w:r>
            <w:r>
              <w:br/>
            </w:r>
            <w:r>
              <w:rPr>
                <w:rFonts w:ascii="Times New Roman" w:hAnsi="Times New Roman" w:cs="Times New Roman"/>
                <w:i/>
                <w:sz w:val="16"/>
                <w:szCs w:val="16"/>
              </w:rPr>
              <w:t>Oct 2026 – Feb 2027 (M2–M6)</w:t>
            </w:r>
          </w:p>
        </w:tc>
        <w:tc>
          <w:tcPr>
            <w:tcW w:w="560" w:type="dxa"/>
            <w:shd w:val="clear" w:color="auto" w:fill="1F3864"/>
            <w:vAlign w:val="center"/>
          </w:tcPr>
          <w:p w14:paraId="6BDB00EB" w14:textId="77777777" w:rsidR="00F66939" w:rsidRDefault="00F66939"/>
        </w:tc>
        <w:tc>
          <w:tcPr>
            <w:tcW w:w="560" w:type="dxa"/>
            <w:shd w:val="clear" w:color="auto" w:fill="1F3864"/>
            <w:vAlign w:val="center"/>
          </w:tcPr>
          <w:p w14:paraId="4BBF1BA0" w14:textId="77777777" w:rsidR="00F66939" w:rsidRDefault="00F66939"/>
        </w:tc>
        <w:tc>
          <w:tcPr>
            <w:tcW w:w="560" w:type="dxa"/>
            <w:vAlign w:val="center"/>
          </w:tcPr>
          <w:p w14:paraId="7D93A476" w14:textId="77777777" w:rsidR="00F66939" w:rsidRDefault="00F66939"/>
        </w:tc>
        <w:tc>
          <w:tcPr>
            <w:tcW w:w="560" w:type="dxa"/>
            <w:vAlign w:val="center"/>
          </w:tcPr>
          <w:p w14:paraId="24192CD1" w14:textId="77777777" w:rsidR="00F66939" w:rsidRDefault="00F66939"/>
        </w:tc>
        <w:tc>
          <w:tcPr>
            <w:tcW w:w="560" w:type="dxa"/>
            <w:vAlign w:val="center"/>
          </w:tcPr>
          <w:p w14:paraId="74D921C5" w14:textId="77777777" w:rsidR="00F66939" w:rsidRDefault="00F66939"/>
        </w:tc>
        <w:tc>
          <w:tcPr>
            <w:tcW w:w="560" w:type="dxa"/>
            <w:vAlign w:val="center"/>
          </w:tcPr>
          <w:p w14:paraId="48F16639" w14:textId="77777777" w:rsidR="00F66939" w:rsidRDefault="00F66939"/>
        </w:tc>
        <w:tc>
          <w:tcPr>
            <w:tcW w:w="560" w:type="dxa"/>
            <w:vAlign w:val="center"/>
          </w:tcPr>
          <w:p w14:paraId="6FEB62A9" w14:textId="77777777" w:rsidR="00F66939" w:rsidRDefault="00F66939"/>
        </w:tc>
        <w:tc>
          <w:tcPr>
            <w:tcW w:w="560" w:type="dxa"/>
            <w:vAlign w:val="center"/>
          </w:tcPr>
          <w:p w14:paraId="3434D1F3" w14:textId="77777777" w:rsidR="00F66939" w:rsidRDefault="00F66939"/>
        </w:tc>
        <w:tc>
          <w:tcPr>
            <w:tcW w:w="560" w:type="dxa"/>
            <w:vAlign w:val="center"/>
          </w:tcPr>
          <w:p w14:paraId="6967281F" w14:textId="77777777" w:rsidR="00F66939" w:rsidRDefault="00F66939"/>
        </w:tc>
        <w:tc>
          <w:tcPr>
            <w:tcW w:w="560" w:type="dxa"/>
            <w:vAlign w:val="center"/>
          </w:tcPr>
          <w:p w14:paraId="357B2D17" w14:textId="77777777" w:rsidR="00F66939" w:rsidRDefault="00F66939"/>
        </w:tc>
        <w:tc>
          <w:tcPr>
            <w:tcW w:w="560" w:type="dxa"/>
            <w:vAlign w:val="center"/>
          </w:tcPr>
          <w:p w14:paraId="517DA08C" w14:textId="77777777" w:rsidR="00F66939" w:rsidRDefault="00F66939"/>
        </w:tc>
        <w:tc>
          <w:tcPr>
            <w:tcW w:w="560" w:type="dxa"/>
            <w:vAlign w:val="center"/>
          </w:tcPr>
          <w:p w14:paraId="5B8508DA" w14:textId="77777777" w:rsidR="00F66939" w:rsidRDefault="00F66939"/>
        </w:tc>
      </w:tr>
      <w:tr w:rsidR="00F66939" w14:paraId="4528DCFB" w14:textId="77777777">
        <w:trPr>
          <w:cantSplit/>
        </w:trPr>
        <w:tc>
          <w:tcPr>
            <w:tcW w:w="3360" w:type="dxa"/>
            <w:vAlign w:val="center"/>
          </w:tcPr>
          <w:p w14:paraId="4A6B1901" w14:textId="77777777" w:rsidR="00F66939" w:rsidRDefault="00000000">
            <w:r>
              <w:rPr>
                <w:rFonts w:ascii="Times New Roman" w:hAnsi="Times New Roman" w:cs="Times New Roman"/>
                <w:sz w:val="18"/>
                <w:szCs w:val="18"/>
              </w:rPr>
              <w:t>Data acquisition, quality assessment and preparation</w:t>
            </w:r>
            <w:r>
              <w:br/>
            </w:r>
            <w:r>
              <w:rPr>
                <w:rFonts w:ascii="Times New Roman" w:hAnsi="Times New Roman" w:cs="Times New Roman"/>
                <w:i/>
                <w:sz w:val="16"/>
                <w:szCs w:val="16"/>
              </w:rPr>
              <w:t>Mar 2027 – Jun 2027 (M7–M10)</w:t>
            </w:r>
          </w:p>
        </w:tc>
        <w:tc>
          <w:tcPr>
            <w:tcW w:w="560" w:type="dxa"/>
            <w:vAlign w:val="center"/>
          </w:tcPr>
          <w:p w14:paraId="09AB21A5" w14:textId="77777777" w:rsidR="00F66939" w:rsidRDefault="00F66939"/>
        </w:tc>
        <w:tc>
          <w:tcPr>
            <w:tcW w:w="560" w:type="dxa"/>
            <w:vAlign w:val="center"/>
          </w:tcPr>
          <w:p w14:paraId="05366819" w14:textId="77777777" w:rsidR="00F66939" w:rsidRDefault="00F66939"/>
        </w:tc>
        <w:tc>
          <w:tcPr>
            <w:tcW w:w="560" w:type="dxa"/>
            <w:shd w:val="clear" w:color="auto" w:fill="1F3864"/>
            <w:vAlign w:val="center"/>
          </w:tcPr>
          <w:p w14:paraId="1344408E" w14:textId="77777777" w:rsidR="00F66939" w:rsidRDefault="00F66939"/>
        </w:tc>
        <w:tc>
          <w:tcPr>
            <w:tcW w:w="560" w:type="dxa"/>
            <w:shd w:val="clear" w:color="auto" w:fill="1F3864"/>
            <w:vAlign w:val="center"/>
          </w:tcPr>
          <w:p w14:paraId="3C6D4747" w14:textId="77777777" w:rsidR="00F66939" w:rsidRDefault="00F66939"/>
        </w:tc>
        <w:tc>
          <w:tcPr>
            <w:tcW w:w="560" w:type="dxa"/>
            <w:vAlign w:val="center"/>
          </w:tcPr>
          <w:p w14:paraId="47543167" w14:textId="77777777" w:rsidR="00F66939" w:rsidRDefault="00F66939"/>
        </w:tc>
        <w:tc>
          <w:tcPr>
            <w:tcW w:w="560" w:type="dxa"/>
            <w:vAlign w:val="center"/>
          </w:tcPr>
          <w:p w14:paraId="03F8289E" w14:textId="77777777" w:rsidR="00F66939" w:rsidRDefault="00F66939"/>
        </w:tc>
        <w:tc>
          <w:tcPr>
            <w:tcW w:w="560" w:type="dxa"/>
            <w:vAlign w:val="center"/>
          </w:tcPr>
          <w:p w14:paraId="623AF3F6" w14:textId="77777777" w:rsidR="00F66939" w:rsidRDefault="00F66939"/>
        </w:tc>
        <w:tc>
          <w:tcPr>
            <w:tcW w:w="560" w:type="dxa"/>
            <w:vAlign w:val="center"/>
          </w:tcPr>
          <w:p w14:paraId="0AAE17E9" w14:textId="77777777" w:rsidR="00F66939" w:rsidRDefault="00F66939"/>
        </w:tc>
        <w:tc>
          <w:tcPr>
            <w:tcW w:w="560" w:type="dxa"/>
            <w:vAlign w:val="center"/>
          </w:tcPr>
          <w:p w14:paraId="53D7FC91" w14:textId="77777777" w:rsidR="00F66939" w:rsidRDefault="00F66939"/>
        </w:tc>
        <w:tc>
          <w:tcPr>
            <w:tcW w:w="560" w:type="dxa"/>
            <w:vAlign w:val="center"/>
          </w:tcPr>
          <w:p w14:paraId="200125FD" w14:textId="77777777" w:rsidR="00F66939" w:rsidRDefault="00F66939"/>
        </w:tc>
        <w:tc>
          <w:tcPr>
            <w:tcW w:w="560" w:type="dxa"/>
            <w:vAlign w:val="center"/>
          </w:tcPr>
          <w:p w14:paraId="671B102F" w14:textId="77777777" w:rsidR="00F66939" w:rsidRDefault="00F66939"/>
        </w:tc>
        <w:tc>
          <w:tcPr>
            <w:tcW w:w="560" w:type="dxa"/>
            <w:vAlign w:val="center"/>
          </w:tcPr>
          <w:p w14:paraId="1448BA89" w14:textId="77777777" w:rsidR="00F66939" w:rsidRDefault="00F66939"/>
        </w:tc>
      </w:tr>
      <w:tr w:rsidR="00F66939" w14:paraId="28056A30" w14:textId="77777777">
        <w:trPr>
          <w:cantSplit/>
        </w:trPr>
        <w:tc>
          <w:tcPr>
            <w:tcW w:w="3360" w:type="dxa"/>
            <w:vAlign w:val="center"/>
          </w:tcPr>
          <w:p w14:paraId="4BB26066" w14:textId="77777777" w:rsidR="00F66939" w:rsidRDefault="00000000">
            <w:r>
              <w:rPr>
                <w:rFonts w:ascii="Times New Roman" w:hAnsi="Times New Roman" w:cs="Times New Roman"/>
                <w:sz w:val="18"/>
                <w:szCs w:val="18"/>
              </w:rPr>
              <w:t>Reproducible data pipeline and feature engineering</w:t>
            </w:r>
            <w:r>
              <w:br/>
            </w:r>
            <w:r>
              <w:rPr>
                <w:rFonts w:ascii="Times New Roman" w:hAnsi="Times New Roman" w:cs="Times New Roman"/>
                <w:i/>
                <w:sz w:val="16"/>
                <w:szCs w:val="16"/>
              </w:rPr>
              <w:t>Apr 2027 – Sep 2027 (M8–M13)</w:t>
            </w:r>
          </w:p>
        </w:tc>
        <w:tc>
          <w:tcPr>
            <w:tcW w:w="560" w:type="dxa"/>
            <w:vAlign w:val="center"/>
          </w:tcPr>
          <w:p w14:paraId="15291362" w14:textId="77777777" w:rsidR="00F66939" w:rsidRDefault="00F66939"/>
        </w:tc>
        <w:tc>
          <w:tcPr>
            <w:tcW w:w="560" w:type="dxa"/>
            <w:vAlign w:val="center"/>
          </w:tcPr>
          <w:p w14:paraId="63D94069" w14:textId="77777777" w:rsidR="00F66939" w:rsidRDefault="00F66939"/>
        </w:tc>
        <w:tc>
          <w:tcPr>
            <w:tcW w:w="560" w:type="dxa"/>
            <w:shd w:val="clear" w:color="auto" w:fill="1F3864"/>
            <w:vAlign w:val="center"/>
          </w:tcPr>
          <w:p w14:paraId="2088E39F" w14:textId="77777777" w:rsidR="00F66939" w:rsidRDefault="00F66939"/>
        </w:tc>
        <w:tc>
          <w:tcPr>
            <w:tcW w:w="560" w:type="dxa"/>
            <w:shd w:val="clear" w:color="auto" w:fill="1F3864"/>
            <w:vAlign w:val="center"/>
          </w:tcPr>
          <w:p w14:paraId="3E911EAF" w14:textId="77777777" w:rsidR="00F66939" w:rsidRDefault="00F66939"/>
        </w:tc>
        <w:tc>
          <w:tcPr>
            <w:tcW w:w="560" w:type="dxa"/>
            <w:shd w:val="clear" w:color="auto" w:fill="1F3864"/>
            <w:vAlign w:val="center"/>
          </w:tcPr>
          <w:p w14:paraId="6052E3D5" w14:textId="77777777" w:rsidR="00F66939" w:rsidRDefault="00F66939"/>
        </w:tc>
        <w:tc>
          <w:tcPr>
            <w:tcW w:w="560" w:type="dxa"/>
            <w:vAlign w:val="center"/>
          </w:tcPr>
          <w:p w14:paraId="66FB4E6C" w14:textId="77777777" w:rsidR="00F66939" w:rsidRDefault="00F66939"/>
        </w:tc>
        <w:tc>
          <w:tcPr>
            <w:tcW w:w="560" w:type="dxa"/>
            <w:vAlign w:val="center"/>
          </w:tcPr>
          <w:p w14:paraId="51FC8297" w14:textId="77777777" w:rsidR="00F66939" w:rsidRDefault="00F66939"/>
        </w:tc>
        <w:tc>
          <w:tcPr>
            <w:tcW w:w="560" w:type="dxa"/>
            <w:vAlign w:val="center"/>
          </w:tcPr>
          <w:p w14:paraId="5F2AB046" w14:textId="77777777" w:rsidR="00F66939" w:rsidRDefault="00F66939"/>
        </w:tc>
        <w:tc>
          <w:tcPr>
            <w:tcW w:w="560" w:type="dxa"/>
            <w:vAlign w:val="center"/>
          </w:tcPr>
          <w:p w14:paraId="03B949F8" w14:textId="77777777" w:rsidR="00F66939" w:rsidRDefault="00F66939"/>
        </w:tc>
        <w:tc>
          <w:tcPr>
            <w:tcW w:w="560" w:type="dxa"/>
            <w:vAlign w:val="center"/>
          </w:tcPr>
          <w:p w14:paraId="76576F14" w14:textId="77777777" w:rsidR="00F66939" w:rsidRDefault="00F66939"/>
        </w:tc>
        <w:tc>
          <w:tcPr>
            <w:tcW w:w="560" w:type="dxa"/>
            <w:vAlign w:val="center"/>
          </w:tcPr>
          <w:p w14:paraId="134D571E" w14:textId="77777777" w:rsidR="00F66939" w:rsidRDefault="00F66939"/>
        </w:tc>
        <w:tc>
          <w:tcPr>
            <w:tcW w:w="560" w:type="dxa"/>
            <w:vAlign w:val="center"/>
          </w:tcPr>
          <w:p w14:paraId="1913CF53" w14:textId="77777777" w:rsidR="00F66939" w:rsidRDefault="00F66939"/>
        </w:tc>
      </w:tr>
      <w:tr w:rsidR="00F66939" w14:paraId="79A89557" w14:textId="77777777">
        <w:trPr>
          <w:cantSplit/>
        </w:trPr>
        <w:tc>
          <w:tcPr>
            <w:tcW w:w="3360" w:type="dxa"/>
            <w:vAlign w:val="center"/>
          </w:tcPr>
          <w:p w14:paraId="72C76E67" w14:textId="77777777" w:rsidR="00F66939" w:rsidRDefault="00000000">
            <w:r>
              <w:rPr>
                <w:rFonts w:ascii="Times New Roman" w:hAnsi="Times New Roman" w:cs="Times New Roman"/>
                <w:sz w:val="18"/>
                <w:szCs w:val="18"/>
              </w:rPr>
              <w:t>Baselines, forecasting models and experimental pipeline</w:t>
            </w:r>
            <w:r>
              <w:br/>
            </w:r>
            <w:r>
              <w:rPr>
                <w:rFonts w:ascii="Times New Roman" w:hAnsi="Times New Roman" w:cs="Times New Roman"/>
                <w:i/>
                <w:sz w:val="16"/>
                <w:szCs w:val="16"/>
              </w:rPr>
              <w:t>Jul 2027 – Feb 2028 (M11–M18)</w:t>
            </w:r>
          </w:p>
        </w:tc>
        <w:tc>
          <w:tcPr>
            <w:tcW w:w="560" w:type="dxa"/>
            <w:vAlign w:val="center"/>
          </w:tcPr>
          <w:p w14:paraId="67E363BF" w14:textId="77777777" w:rsidR="00F66939" w:rsidRDefault="00F66939"/>
        </w:tc>
        <w:tc>
          <w:tcPr>
            <w:tcW w:w="560" w:type="dxa"/>
            <w:vAlign w:val="center"/>
          </w:tcPr>
          <w:p w14:paraId="197679D2" w14:textId="77777777" w:rsidR="00F66939" w:rsidRDefault="00F66939"/>
        </w:tc>
        <w:tc>
          <w:tcPr>
            <w:tcW w:w="560" w:type="dxa"/>
            <w:vAlign w:val="center"/>
          </w:tcPr>
          <w:p w14:paraId="712C2230" w14:textId="77777777" w:rsidR="00F66939" w:rsidRDefault="00F66939"/>
        </w:tc>
        <w:tc>
          <w:tcPr>
            <w:tcW w:w="560" w:type="dxa"/>
            <w:shd w:val="clear" w:color="auto" w:fill="1F3864"/>
            <w:vAlign w:val="center"/>
          </w:tcPr>
          <w:p w14:paraId="45286E6B" w14:textId="77777777" w:rsidR="00F66939" w:rsidRDefault="00F66939"/>
        </w:tc>
        <w:tc>
          <w:tcPr>
            <w:tcW w:w="560" w:type="dxa"/>
            <w:shd w:val="clear" w:color="auto" w:fill="1F3864"/>
            <w:vAlign w:val="center"/>
          </w:tcPr>
          <w:p w14:paraId="3B20D6C3" w14:textId="77777777" w:rsidR="00F66939" w:rsidRDefault="00F66939"/>
        </w:tc>
        <w:tc>
          <w:tcPr>
            <w:tcW w:w="560" w:type="dxa"/>
            <w:shd w:val="clear" w:color="auto" w:fill="1F3864"/>
            <w:vAlign w:val="center"/>
          </w:tcPr>
          <w:p w14:paraId="75DBD326" w14:textId="77777777" w:rsidR="00F66939" w:rsidRDefault="00F66939"/>
        </w:tc>
        <w:tc>
          <w:tcPr>
            <w:tcW w:w="560" w:type="dxa"/>
            <w:vAlign w:val="center"/>
          </w:tcPr>
          <w:p w14:paraId="0D40509E" w14:textId="77777777" w:rsidR="00F66939" w:rsidRDefault="00F66939"/>
        </w:tc>
        <w:tc>
          <w:tcPr>
            <w:tcW w:w="560" w:type="dxa"/>
            <w:vAlign w:val="center"/>
          </w:tcPr>
          <w:p w14:paraId="776181F4" w14:textId="77777777" w:rsidR="00F66939" w:rsidRDefault="00F66939"/>
        </w:tc>
        <w:tc>
          <w:tcPr>
            <w:tcW w:w="560" w:type="dxa"/>
            <w:vAlign w:val="center"/>
          </w:tcPr>
          <w:p w14:paraId="72C3758F" w14:textId="77777777" w:rsidR="00F66939" w:rsidRDefault="00F66939"/>
        </w:tc>
        <w:tc>
          <w:tcPr>
            <w:tcW w:w="560" w:type="dxa"/>
            <w:vAlign w:val="center"/>
          </w:tcPr>
          <w:p w14:paraId="4F81DBF8" w14:textId="77777777" w:rsidR="00F66939" w:rsidRDefault="00F66939"/>
        </w:tc>
        <w:tc>
          <w:tcPr>
            <w:tcW w:w="560" w:type="dxa"/>
            <w:vAlign w:val="center"/>
          </w:tcPr>
          <w:p w14:paraId="43E09E06" w14:textId="77777777" w:rsidR="00F66939" w:rsidRDefault="00F66939"/>
        </w:tc>
        <w:tc>
          <w:tcPr>
            <w:tcW w:w="560" w:type="dxa"/>
            <w:vAlign w:val="center"/>
          </w:tcPr>
          <w:p w14:paraId="1B1B195C" w14:textId="77777777" w:rsidR="00F66939" w:rsidRDefault="00F66939"/>
        </w:tc>
      </w:tr>
      <w:tr w:rsidR="00F66939" w14:paraId="070164CA" w14:textId="77777777">
        <w:trPr>
          <w:cantSplit/>
        </w:trPr>
        <w:tc>
          <w:tcPr>
            <w:tcW w:w="3360" w:type="dxa"/>
            <w:vAlign w:val="center"/>
          </w:tcPr>
          <w:p w14:paraId="53763047" w14:textId="77777777" w:rsidR="00F66939" w:rsidRDefault="00000000">
            <w:r>
              <w:rPr>
                <w:rFonts w:ascii="Times New Roman" w:hAnsi="Times New Roman" w:cs="Times New Roman"/>
                <w:sz w:val="18"/>
                <w:szCs w:val="18"/>
              </w:rPr>
              <w:t>Temporal validation and performance evaluation</w:t>
            </w:r>
            <w:r>
              <w:br/>
            </w:r>
            <w:r>
              <w:rPr>
                <w:rFonts w:ascii="Times New Roman" w:hAnsi="Times New Roman" w:cs="Times New Roman"/>
                <w:i/>
                <w:sz w:val="16"/>
                <w:szCs w:val="16"/>
              </w:rPr>
              <w:t>Nov 2027 – Apr 2028 (M15–M20)</w:t>
            </w:r>
          </w:p>
        </w:tc>
        <w:tc>
          <w:tcPr>
            <w:tcW w:w="560" w:type="dxa"/>
            <w:vAlign w:val="center"/>
          </w:tcPr>
          <w:p w14:paraId="7826EF6D" w14:textId="77777777" w:rsidR="00F66939" w:rsidRDefault="00F66939"/>
        </w:tc>
        <w:tc>
          <w:tcPr>
            <w:tcW w:w="560" w:type="dxa"/>
            <w:vAlign w:val="center"/>
          </w:tcPr>
          <w:p w14:paraId="08BC2E6C" w14:textId="77777777" w:rsidR="00F66939" w:rsidRDefault="00F66939"/>
        </w:tc>
        <w:tc>
          <w:tcPr>
            <w:tcW w:w="560" w:type="dxa"/>
            <w:vAlign w:val="center"/>
          </w:tcPr>
          <w:p w14:paraId="364DA899" w14:textId="77777777" w:rsidR="00F66939" w:rsidRDefault="00F66939"/>
        </w:tc>
        <w:tc>
          <w:tcPr>
            <w:tcW w:w="560" w:type="dxa"/>
            <w:vAlign w:val="center"/>
          </w:tcPr>
          <w:p w14:paraId="5C49B45F" w14:textId="77777777" w:rsidR="00F66939" w:rsidRDefault="00F66939"/>
        </w:tc>
        <w:tc>
          <w:tcPr>
            <w:tcW w:w="560" w:type="dxa"/>
            <w:shd w:val="clear" w:color="auto" w:fill="1F3864"/>
            <w:vAlign w:val="center"/>
          </w:tcPr>
          <w:p w14:paraId="12998299" w14:textId="77777777" w:rsidR="00F66939" w:rsidRDefault="00F66939"/>
        </w:tc>
        <w:tc>
          <w:tcPr>
            <w:tcW w:w="560" w:type="dxa"/>
            <w:shd w:val="clear" w:color="auto" w:fill="1F3864"/>
            <w:vAlign w:val="center"/>
          </w:tcPr>
          <w:p w14:paraId="2633D225" w14:textId="77777777" w:rsidR="00F66939" w:rsidRDefault="00F66939"/>
        </w:tc>
        <w:tc>
          <w:tcPr>
            <w:tcW w:w="560" w:type="dxa"/>
            <w:shd w:val="clear" w:color="auto" w:fill="1F3864"/>
            <w:vAlign w:val="center"/>
          </w:tcPr>
          <w:p w14:paraId="2D118F83" w14:textId="77777777" w:rsidR="00F66939" w:rsidRDefault="00F66939"/>
        </w:tc>
        <w:tc>
          <w:tcPr>
            <w:tcW w:w="560" w:type="dxa"/>
            <w:vAlign w:val="center"/>
          </w:tcPr>
          <w:p w14:paraId="15BB65AA" w14:textId="77777777" w:rsidR="00F66939" w:rsidRDefault="00F66939"/>
        </w:tc>
        <w:tc>
          <w:tcPr>
            <w:tcW w:w="560" w:type="dxa"/>
            <w:vAlign w:val="center"/>
          </w:tcPr>
          <w:p w14:paraId="5137F2C3" w14:textId="77777777" w:rsidR="00F66939" w:rsidRDefault="00F66939"/>
        </w:tc>
        <w:tc>
          <w:tcPr>
            <w:tcW w:w="560" w:type="dxa"/>
            <w:vAlign w:val="center"/>
          </w:tcPr>
          <w:p w14:paraId="6A691208" w14:textId="77777777" w:rsidR="00F66939" w:rsidRDefault="00F66939"/>
        </w:tc>
        <w:tc>
          <w:tcPr>
            <w:tcW w:w="560" w:type="dxa"/>
            <w:vAlign w:val="center"/>
          </w:tcPr>
          <w:p w14:paraId="5BE5AC06" w14:textId="77777777" w:rsidR="00F66939" w:rsidRDefault="00F66939"/>
        </w:tc>
        <w:tc>
          <w:tcPr>
            <w:tcW w:w="560" w:type="dxa"/>
            <w:vAlign w:val="center"/>
          </w:tcPr>
          <w:p w14:paraId="15054A55" w14:textId="77777777" w:rsidR="00F66939" w:rsidRDefault="00F66939"/>
        </w:tc>
      </w:tr>
      <w:tr w:rsidR="00F66939" w14:paraId="218E167A" w14:textId="77777777">
        <w:trPr>
          <w:cantSplit/>
        </w:trPr>
        <w:tc>
          <w:tcPr>
            <w:tcW w:w="3360" w:type="dxa"/>
            <w:vAlign w:val="center"/>
          </w:tcPr>
          <w:p w14:paraId="5B845EEA" w14:textId="77777777" w:rsidR="00F66939" w:rsidRDefault="00000000">
            <w:r>
              <w:rPr>
                <w:rFonts w:ascii="Times New Roman" w:hAnsi="Times New Roman" w:cs="Times New Roman"/>
                <w:sz w:val="18"/>
                <w:szCs w:val="18"/>
              </w:rPr>
              <w:t>Distribution shift, robustness and uncertainty quantification</w:t>
            </w:r>
            <w:r>
              <w:br/>
            </w:r>
            <w:r>
              <w:rPr>
                <w:rFonts w:ascii="Times New Roman" w:hAnsi="Times New Roman" w:cs="Times New Roman"/>
                <w:i/>
                <w:sz w:val="16"/>
                <w:szCs w:val="16"/>
              </w:rPr>
              <w:t>Feb 2028 – Jul 2028 (M18–M23)</w:t>
            </w:r>
          </w:p>
        </w:tc>
        <w:tc>
          <w:tcPr>
            <w:tcW w:w="560" w:type="dxa"/>
            <w:vAlign w:val="center"/>
          </w:tcPr>
          <w:p w14:paraId="003A266E" w14:textId="77777777" w:rsidR="00F66939" w:rsidRDefault="00F66939"/>
        </w:tc>
        <w:tc>
          <w:tcPr>
            <w:tcW w:w="560" w:type="dxa"/>
            <w:vAlign w:val="center"/>
          </w:tcPr>
          <w:p w14:paraId="51E10142" w14:textId="77777777" w:rsidR="00F66939" w:rsidRDefault="00F66939"/>
        </w:tc>
        <w:tc>
          <w:tcPr>
            <w:tcW w:w="560" w:type="dxa"/>
            <w:vAlign w:val="center"/>
          </w:tcPr>
          <w:p w14:paraId="3FFA1CC4" w14:textId="77777777" w:rsidR="00F66939" w:rsidRDefault="00F66939"/>
        </w:tc>
        <w:tc>
          <w:tcPr>
            <w:tcW w:w="560" w:type="dxa"/>
            <w:vAlign w:val="center"/>
          </w:tcPr>
          <w:p w14:paraId="792E609E" w14:textId="77777777" w:rsidR="00F66939" w:rsidRDefault="00F66939"/>
        </w:tc>
        <w:tc>
          <w:tcPr>
            <w:tcW w:w="560" w:type="dxa"/>
            <w:vAlign w:val="center"/>
          </w:tcPr>
          <w:p w14:paraId="033D904D" w14:textId="77777777" w:rsidR="00F66939" w:rsidRDefault="00F66939"/>
        </w:tc>
        <w:tc>
          <w:tcPr>
            <w:tcW w:w="560" w:type="dxa"/>
            <w:shd w:val="clear" w:color="auto" w:fill="1F3864"/>
            <w:vAlign w:val="center"/>
          </w:tcPr>
          <w:p w14:paraId="6BD59A09" w14:textId="77777777" w:rsidR="00F66939" w:rsidRDefault="00F66939"/>
        </w:tc>
        <w:tc>
          <w:tcPr>
            <w:tcW w:w="560" w:type="dxa"/>
            <w:shd w:val="clear" w:color="auto" w:fill="1F3864"/>
            <w:vAlign w:val="center"/>
          </w:tcPr>
          <w:p w14:paraId="7C8330B9" w14:textId="77777777" w:rsidR="00F66939" w:rsidRDefault="00F66939"/>
        </w:tc>
        <w:tc>
          <w:tcPr>
            <w:tcW w:w="560" w:type="dxa"/>
            <w:shd w:val="clear" w:color="auto" w:fill="1F3864"/>
            <w:vAlign w:val="center"/>
          </w:tcPr>
          <w:p w14:paraId="4FF117E0" w14:textId="77777777" w:rsidR="00F66939" w:rsidRDefault="00F66939"/>
        </w:tc>
        <w:tc>
          <w:tcPr>
            <w:tcW w:w="560" w:type="dxa"/>
            <w:vAlign w:val="center"/>
          </w:tcPr>
          <w:p w14:paraId="6F2DD127" w14:textId="77777777" w:rsidR="00F66939" w:rsidRDefault="00F66939"/>
        </w:tc>
        <w:tc>
          <w:tcPr>
            <w:tcW w:w="560" w:type="dxa"/>
            <w:vAlign w:val="center"/>
          </w:tcPr>
          <w:p w14:paraId="4BBDAAC5" w14:textId="77777777" w:rsidR="00F66939" w:rsidRDefault="00F66939"/>
        </w:tc>
        <w:tc>
          <w:tcPr>
            <w:tcW w:w="560" w:type="dxa"/>
            <w:vAlign w:val="center"/>
          </w:tcPr>
          <w:p w14:paraId="464D2D18" w14:textId="77777777" w:rsidR="00F66939" w:rsidRDefault="00F66939"/>
        </w:tc>
        <w:tc>
          <w:tcPr>
            <w:tcW w:w="560" w:type="dxa"/>
            <w:vAlign w:val="center"/>
          </w:tcPr>
          <w:p w14:paraId="19C7D048" w14:textId="77777777" w:rsidR="00F66939" w:rsidRDefault="00F66939"/>
        </w:tc>
      </w:tr>
      <w:tr w:rsidR="00F66939" w14:paraId="19BA45C2" w14:textId="77777777">
        <w:trPr>
          <w:cantSplit/>
        </w:trPr>
        <w:tc>
          <w:tcPr>
            <w:tcW w:w="3360" w:type="dxa"/>
            <w:vAlign w:val="center"/>
          </w:tcPr>
          <w:p w14:paraId="63010243" w14:textId="77777777" w:rsidR="00F66939" w:rsidRDefault="00000000">
            <w:r>
              <w:rPr>
                <w:rFonts w:ascii="Times New Roman" w:hAnsi="Times New Roman" w:cs="Times New Roman"/>
                <w:sz w:val="18"/>
                <w:szCs w:val="18"/>
              </w:rPr>
              <w:t>Explainability and trustworthy-AI analysis</w:t>
            </w:r>
            <w:r>
              <w:br/>
            </w:r>
            <w:r>
              <w:rPr>
                <w:rFonts w:ascii="Times New Roman" w:hAnsi="Times New Roman" w:cs="Times New Roman"/>
                <w:i/>
                <w:sz w:val="16"/>
                <w:szCs w:val="16"/>
              </w:rPr>
              <w:t>May 2028 – Sep 2028 (M21–M25)</w:t>
            </w:r>
          </w:p>
        </w:tc>
        <w:tc>
          <w:tcPr>
            <w:tcW w:w="560" w:type="dxa"/>
            <w:vAlign w:val="center"/>
          </w:tcPr>
          <w:p w14:paraId="38C0AA2B" w14:textId="77777777" w:rsidR="00F66939" w:rsidRDefault="00F66939"/>
        </w:tc>
        <w:tc>
          <w:tcPr>
            <w:tcW w:w="560" w:type="dxa"/>
            <w:vAlign w:val="center"/>
          </w:tcPr>
          <w:p w14:paraId="524D07B1" w14:textId="77777777" w:rsidR="00F66939" w:rsidRDefault="00F66939"/>
        </w:tc>
        <w:tc>
          <w:tcPr>
            <w:tcW w:w="560" w:type="dxa"/>
            <w:vAlign w:val="center"/>
          </w:tcPr>
          <w:p w14:paraId="702CE37F" w14:textId="77777777" w:rsidR="00F66939" w:rsidRDefault="00F66939"/>
        </w:tc>
        <w:tc>
          <w:tcPr>
            <w:tcW w:w="560" w:type="dxa"/>
            <w:vAlign w:val="center"/>
          </w:tcPr>
          <w:p w14:paraId="052062F2" w14:textId="77777777" w:rsidR="00F66939" w:rsidRDefault="00F66939"/>
        </w:tc>
        <w:tc>
          <w:tcPr>
            <w:tcW w:w="560" w:type="dxa"/>
            <w:vAlign w:val="center"/>
          </w:tcPr>
          <w:p w14:paraId="46808F4B" w14:textId="77777777" w:rsidR="00F66939" w:rsidRDefault="00F66939"/>
        </w:tc>
        <w:tc>
          <w:tcPr>
            <w:tcW w:w="560" w:type="dxa"/>
            <w:vAlign w:val="center"/>
          </w:tcPr>
          <w:p w14:paraId="4D05FE9F" w14:textId="77777777" w:rsidR="00F66939" w:rsidRDefault="00F66939"/>
        </w:tc>
        <w:tc>
          <w:tcPr>
            <w:tcW w:w="560" w:type="dxa"/>
            <w:shd w:val="clear" w:color="auto" w:fill="1F3864"/>
            <w:vAlign w:val="center"/>
          </w:tcPr>
          <w:p w14:paraId="7A05F373" w14:textId="77777777" w:rsidR="00F66939" w:rsidRDefault="00F66939"/>
        </w:tc>
        <w:tc>
          <w:tcPr>
            <w:tcW w:w="560" w:type="dxa"/>
            <w:shd w:val="clear" w:color="auto" w:fill="1F3864"/>
            <w:vAlign w:val="center"/>
          </w:tcPr>
          <w:p w14:paraId="51596CE0" w14:textId="77777777" w:rsidR="00F66939" w:rsidRDefault="00F66939"/>
        </w:tc>
        <w:tc>
          <w:tcPr>
            <w:tcW w:w="560" w:type="dxa"/>
            <w:shd w:val="clear" w:color="auto" w:fill="1F3864"/>
            <w:vAlign w:val="center"/>
          </w:tcPr>
          <w:p w14:paraId="6EB2AF01" w14:textId="77777777" w:rsidR="00F66939" w:rsidRDefault="00F66939"/>
        </w:tc>
        <w:tc>
          <w:tcPr>
            <w:tcW w:w="560" w:type="dxa"/>
            <w:vAlign w:val="center"/>
          </w:tcPr>
          <w:p w14:paraId="57F0AD34" w14:textId="77777777" w:rsidR="00F66939" w:rsidRDefault="00F66939"/>
        </w:tc>
        <w:tc>
          <w:tcPr>
            <w:tcW w:w="560" w:type="dxa"/>
            <w:vAlign w:val="center"/>
          </w:tcPr>
          <w:p w14:paraId="473176D6" w14:textId="77777777" w:rsidR="00F66939" w:rsidRDefault="00F66939"/>
        </w:tc>
        <w:tc>
          <w:tcPr>
            <w:tcW w:w="560" w:type="dxa"/>
            <w:vAlign w:val="center"/>
          </w:tcPr>
          <w:p w14:paraId="4FA8CC81" w14:textId="77777777" w:rsidR="00F66939" w:rsidRDefault="00F66939"/>
        </w:tc>
      </w:tr>
      <w:tr w:rsidR="00F66939" w14:paraId="4579F86D" w14:textId="77777777">
        <w:trPr>
          <w:cantSplit/>
        </w:trPr>
        <w:tc>
          <w:tcPr>
            <w:tcW w:w="3360" w:type="dxa"/>
            <w:vAlign w:val="center"/>
          </w:tcPr>
          <w:p w14:paraId="1A12F59A" w14:textId="77777777" w:rsidR="00F66939" w:rsidRDefault="00000000">
            <w:r>
              <w:rPr>
                <w:rFonts w:ascii="Times New Roman" w:hAnsi="Times New Roman" w:cs="Times New Roman"/>
                <w:sz w:val="18"/>
                <w:szCs w:val="18"/>
              </w:rPr>
              <w:t>Framework integration and reproducibility assessment</w:t>
            </w:r>
            <w:r>
              <w:br/>
            </w:r>
            <w:r>
              <w:rPr>
                <w:rFonts w:ascii="Times New Roman" w:hAnsi="Times New Roman" w:cs="Times New Roman"/>
                <w:i/>
                <w:sz w:val="16"/>
                <w:szCs w:val="16"/>
              </w:rPr>
              <w:t>Aug 2028 – Dec 2028 (M24–M28)</w:t>
            </w:r>
          </w:p>
        </w:tc>
        <w:tc>
          <w:tcPr>
            <w:tcW w:w="560" w:type="dxa"/>
            <w:vAlign w:val="center"/>
          </w:tcPr>
          <w:p w14:paraId="6464CB6B" w14:textId="77777777" w:rsidR="00F66939" w:rsidRDefault="00F66939"/>
        </w:tc>
        <w:tc>
          <w:tcPr>
            <w:tcW w:w="560" w:type="dxa"/>
            <w:vAlign w:val="center"/>
          </w:tcPr>
          <w:p w14:paraId="09DCA3BD" w14:textId="77777777" w:rsidR="00F66939" w:rsidRDefault="00F66939"/>
        </w:tc>
        <w:tc>
          <w:tcPr>
            <w:tcW w:w="560" w:type="dxa"/>
            <w:vAlign w:val="center"/>
          </w:tcPr>
          <w:p w14:paraId="7082314B" w14:textId="77777777" w:rsidR="00F66939" w:rsidRDefault="00F66939"/>
        </w:tc>
        <w:tc>
          <w:tcPr>
            <w:tcW w:w="560" w:type="dxa"/>
            <w:vAlign w:val="center"/>
          </w:tcPr>
          <w:p w14:paraId="4DAA0DD2" w14:textId="77777777" w:rsidR="00F66939" w:rsidRDefault="00F66939"/>
        </w:tc>
        <w:tc>
          <w:tcPr>
            <w:tcW w:w="560" w:type="dxa"/>
            <w:vAlign w:val="center"/>
          </w:tcPr>
          <w:p w14:paraId="0FE109A2" w14:textId="77777777" w:rsidR="00F66939" w:rsidRDefault="00F66939"/>
        </w:tc>
        <w:tc>
          <w:tcPr>
            <w:tcW w:w="560" w:type="dxa"/>
            <w:vAlign w:val="center"/>
          </w:tcPr>
          <w:p w14:paraId="473B453F" w14:textId="77777777" w:rsidR="00F66939" w:rsidRDefault="00F66939"/>
        </w:tc>
        <w:tc>
          <w:tcPr>
            <w:tcW w:w="560" w:type="dxa"/>
            <w:vAlign w:val="center"/>
          </w:tcPr>
          <w:p w14:paraId="47DC60F8" w14:textId="77777777" w:rsidR="00F66939" w:rsidRDefault="00F66939"/>
        </w:tc>
        <w:tc>
          <w:tcPr>
            <w:tcW w:w="560" w:type="dxa"/>
            <w:shd w:val="clear" w:color="auto" w:fill="1F3864"/>
            <w:vAlign w:val="center"/>
          </w:tcPr>
          <w:p w14:paraId="6C80F730" w14:textId="77777777" w:rsidR="00F66939" w:rsidRDefault="00F66939"/>
        </w:tc>
        <w:tc>
          <w:tcPr>
            <w:tcW w:w="560" w:type="dxa"/>
            <w:shd w:val="clear" w:color="auto" w:fill="1F3864"/>
            <w:vAlign w:val="center"/>
          </w:tcPr>
          <w:p w14:paraId="2A97D843" w14:textId="77777777" w:rsidR="00F66939" w:rsidRDefault="00F66939"/>
        </w:tc>
        <w:tc>
          <w:tcPr>
            <w:tcW w:w="560" w:type="dxa"/>
            <w:shd w:val="clear" w:color="auto" w:fill="1F3864"/>
            <w:vAlign w:val="center"/>
          </w:tcPr>
          <w:p w14:paraId="1E504481" w14:textId="77777777" w:rsidR="00F66939" w:rsidRDefault="00F66939"/>
        </w:tc>
        <w:tc>
          <w:tcPr>
            <w:tcW w:w="560" w:type="dxa"/>
            <w:vAlign w:val="center"/>
          </w:tcPr>
          <w:p w14:paraId="0860CB41" w14:textId="77777777" w:rsidR="00F66939" w:rsidRDefault="00F66939"/>
        </w:tc>
        <w:tc>
          <w:tcPr>
            <w:tcW w:w="560" w:type="dxa"/>
            <w:vAlign w:val="center"/>
          </w:tcPr>
          <w:p w14:paraId="04622D8C" w14:textId="77777777" w:rsidR="00F66939" w:rsidRDefault="00F66939"/>
        </w:tc>
      </w:tr>
      <w:tr w:rsidR="00F66939" w14:paraId="0AE2E58B" w14:textId="77777777">
        <w:trPr>
          <w:cantSplit/>
        </w:trPr>
        <w:tc>
          <w:tcPr>
            <w:tcW w:w="3360" w:type="dxa"/>
            <w:vAlign w:val="center"/>
          </w:tcPr>
          <w:p w14:paraId="733C39A6" w14:textId="77777777" w:rsidR="00F66939" w:rsidRDefault="00000000">
            <w:r>
              <w:rPr>
                <w:rFonts w:ascii="Times New Roman" w:hAnsi="Times New Roman" w:cs="Times New Roman"/>
                <w:sz w:val="18"/>
                <w:szCs w:val="18"/>
              </w:rPr>
              <w:t>Independent reproduction and final experimental evaluation</w:t>
            </w:r>
            <w:r>
              <w:br/>
            </w:r>
            <w:r>
              <w:rPr>
                <w:rFonts w:ascii="Times New Roman" w:hAnsi="Times New Roman" w:cs="Times New Roman"/>
                <w:i/>
                <w:sz w:val="16"/>
                <w:szCs w:val="16"/>
              </w:rPr>
              <w:t>Nov 2028 – Feb 2029 (M27–M30)</w:t>
            </w:r>
          </w:p>
        </w:tc>
        <w:tc>
          <w:tcPr>
            <w:tcW w:w="560" w:type="dxa"/>
            <w:vAlign w:val="center"/>
          </w:tcPr>
          <w:p w14:paraId="687C7D27" w14:textId="77777777" w:rsidR="00F66939" w:rsidRDefault="00F66939"/>
        </w:tc>
        <w:tc>
          <w:tcPr>
            <w:tcW w:w="560" w:type="dxa"/>
            <w:vAlign w:val="center"/>
          </w:tcPr>
          <w:p w14:paraId="0ADA3815" w14:textId="77777777" w:rsidR="00F66939" w:rsidRDefault="00F66939"/>
        </w:tc>
        <w:tc>
          <w:tcPr>
            <w:tcW w:w="560" w:type="dxa"/>
            <w:vAlign w:val="center"/>
          </w:tcPr>
          <w:p w14:paraId="70A63B38" w14:textId="77777777" w:rsidR="00F66939" w:rsidRDefault="00F66939"/>
        </w:tc>
        <w:tc>
          <w:tcPr>
            <w:tcW w:w="560" w:type="dxa"/>
            <w:vAlign w:val="center"/>
          </w:tcPr>
          <w:p w14:paraId="343AB906" w14:textId="77777777" w:rsidR="00F66939" w:rsidRDefault="00F66939"/>
        </w:tc>
        <w:tc>
          <w:tcPr>
            <w:tcW w:w="560" w:type="dxa"/>
            <w:vAlign w:val="center"/>
          </w:tcPr>
          <w:p w14:paraId="4BD8E163" w14:textId="77777777" w:rsidR="00F66939" w:rsidRDefault="00F66939"/>
        </w:tc>
        <w:tc>
          <w:tcPr>
            <w:tcW w:w="560" w:type="dxa"/>
            <w:vAlign w:val="center"/>
          </w:tcPr>
          <w:p w14:paraId="5A4B745F" w14:textId="77777777" w:rsidR="00F66939" w:rsidRDefault="00F66939"/>
        </w:tc>
        <w:tc>
          <w:tcPr>
            <w:tcW w:w="560" w:type="dxa"/>
            <w:vAlign w:val="center"/>
          </w:tcPr>
          <w:p w14:paraId="1BBC3F73" w14:textId="77777777" w:rsidR="00F66939" w:rsidRDefault="00F66939"/>
        </w:tc>
        <w:tc>
          <w:tcPr>
            <w:tcW w:w="560" w:type="dxa"/>
            <w:vAlign w:val="center"/>
          </w:tcPr>
          <w:p w14:paraId="1FDAD793" w14:textId="77777777" w:rsidR="00F66939" w:rsidRDefault="00F66939"/>
        </w:tc>
        <w:tc>
          <w:tcPr>
            <w:tcW w:w="560" w:type="dxa"/>
            <w:shd w:val="clear" w:color="auto" w:fill="1F3864"/>
            <w:vAlign w:val="center"/>
          </w:tcPr>
          <w:p w14:paraId="298CF01B" w14:textId="77777777" w:rsidR="00F66939" w:rsidRDefault="00F66939"/>
        </w:tc>
        <w:tc>
          <w:tcPr>
            <w:tcW w:w="560" w:type="dxa"/>
            <w:shd w:val="clear" w:color="auto" w:fill="1F3864"/>
            <w:vAlign w:val="center"/>
          </w:tcPr>
          <w:p w14:paraId="1EE3FD26" w14:textId="77777777" w:rsidR="00F66939" w:rsidRDefault="00F66939"/>
        </w:tc>
        <w:tc>
          <w:tcPr>
            <w:tcW w:w="560" w:type="dxa"/>
            <w:vAlign w:val="center"/>
          </w:tcPr>
          <w:p w14:paraId="2B735D45" w14:textId="77777777" w:rsidR="00F66939" w:rsidRDefault="00F66939"/>
        </w:tc>
        <w:tc>
          <w:tcPr>
            <w:tcW w:w="560" w:type="dxa"/>
            <w:vAlign w:val="center"/>
          </w:tcPr>
          <w:p w14:paraId="03CDD7F8" w14:textId="77777777" w:rsidR="00F66939" w:rsidRDefault="00F66939"/>
        </w:tc>
      </w:tr>
      <w:tr w:rsidR="00F66939" w14:paraId="11230143" w14:textId="77777777">
        <w:trPr>
          <w:cantSplit/>
        </w:trPr>
        <w:tc>
          <w:tcPr>
            <w:tcW w:w="3360" w:type="dxa"/>
            <w:vAlign w:val="center"/>
          </w:tcPr>
          <w:p w14:paraId="3D8CAB8F" w14:textId="77777777" w:rsidR="00F66939" w:rsidRDefault="00000000">
            <w:r>
              <w:rPr>
                <w:rFonts w:ascii="Times New Roman" w:hAnsi="Times New Roman" w:cs="Times New Roman"/>
                <w:sz w:val="18"/>
                <w:szCs w:val="18"/>
              </w:rPr>
              <w:t>Thesis writing, results integration and publications</w:t>
            </w:r>
            <w:r>
              <w:br/>
            </w:r>
            <w:r>
              <w:rPr>
                <w:rFonts w:ascii="Times New Roman" w:hAnsi="Times New Roman" w:cs="Times New Roman"/>
                <w:i/>
                <w:sz w:val="16"/>
                <w:szCs w:val="16"/>
              </w:rPr>
              <w:t>Jan 2029 – May 2029 (M29–M33)</w:t>
            </w:r>
          </w:p>
        </w:tc>
        <w:tc>
          <w:tcPr>
            <w:tcW w:w="560" w:type="dxa"/>
            <w:vAlign w:val="center"/>
          </w:tcPr>
          <w:p w14:paraId="589E7147" w14:textId="77777777" w:rsidR="00F66939" w:rsidRDefault="00F66939"/>
        </w:tc>
        <w:tc>
          <w:tcPr>
            <w:tcW w:w="560" w:type="dxa"/>
            <w:vAlign w:val="center"/>
          </w:tcPr>
          <w:p w14:paraId="516C92F3" w14:textId="77777777" w:rsidR="00F66939" w:rsidRDefault="00F66939"/>
        </w:tc>
        <w:tc>
          <w:tcPr>
            <w:tcW w:w="560" w:type="dxa"/>
            <w:vAlign w:val="center"/>
          </w:tcPr>
          <w:p w14:paraId="4D4E4C2B" w14:textId="77777777" w:rsidR="00F66939" w:rsidRDefault="00F66939"/>
        </w:tc>
        <w:tc>
          <w:tcPr>
            <w:tcW w:w="560" w:type="dxa"/>
            <w:vAlign w:val="center"/>
          </w:tcPr>
          <w:p w14:paraId="4FCCE9EF" w14:textId="77777777" w:rsidR="00F66939" w:rsidRDefault="00F66939"/>
        </w:tc>
        <w:tc>
          <w:tcPr>
            <w:tcW w:w="560" w:type="dxa"/>
            <w:vAlign w:val="center"/>
          </w:tcPr>
          <w:p w14:paraId="03374746" w14:textId="77777777" w:rsidR="00F66939" w:rsidRDefault="00F66939"/>
        </w:tc>
        <w:tc>
          <w:tcPr>
            <w:tcW w:w="560" w:type="dxa"/>
            <w:vAlign w:val="center"/>
          </w:tcPr>
          <w:p w14:paraId="7AB60CE9" w14:textId="77777777" w:rsidR="00F66939" w:rsidRDefault="00F66939"/>
        </w:tc>
        <w:tc>
          <w:tcPr>
            <w:tcW w:w="560" w:type="dxa"/>
            <w:vAlign w:val="center"/>
          </w:tcPr>
          <w:p w14:paraId="351A4799" w14:textId="77777777" w:rsidR="00F66939" w:rsidRDefault="00F66939"/>
        </w:tc>
        <w:tc>
          <w:tcPr>
            <w:tcW w:w="560" w:type="dxa"/>
            <w:vAlign w:val="center"/>
          </w:tcPr>
          <w:p w14:paraId="4C399A37" w14:textId="77777777" w:rsidR="00F66939" w:rsidRDefault="00F66939"/>
        </w:tc>
        <w:tc>
          <w:tcPr>
            <w:tcW w:w="560" w:type="dxa"/>
            <w:vAlign w:val="center"/>
          </w:tcPr>
          <w:p w14:paraId="58DDFD75" w14:textId="77777777" w:rsidR="00F66939" w:rsidRDefault="00F66939"/>
        </w:tc>
        <w:tc>
          <w:tcPr>
            <w:tcW w:w="560" w:type="dxa"/>
            <w:shd w:val="clear" w:color="auto" w:fill="1F3864"/>
            <w:vAlign w:val="center"/>
          </w:tcPr>
          <w:p w14:paraId="5751444C" w14:textId="77777777" w:rsidR="00F66939" w:rsidRDefault="00F66939"/>
        </w:tc>
        <w:tc>
          <w:tcPr>
            <w:tcW w:w="560" w:type="dxa"/>
            <w:shd w:val="clear" w:color="auto" w:fill="1F3864"/>
            <w:vAlign w:val="center"/>
          </w:tcPr>
          <w:p w14:paraId="63B60CCC" w14:textId="77777777" w:rsidR="00F66939" w:rsidRDefault="00F66939"/>
        </w:tc>
        <w:tc>
          <w:tcPr>
            <w:tcW w:w="560" w:type="dxa"/>
            <w:vAlign w:val="center"/>
          </w:tcPr>
          <w:p w14:paraId="5A15CB3E" w14:textId="77777777" w:rsidR="00F66939" w:rsidRDefault="00F66939"/>
        </w:tc>
      </w:tr>
      <w:tr w:rsidR="00F66939" w14:paraId="6A86E642" w14:textId="77777777">
        <w:trPr>
          <w:cantSplit/>
        </w:trPr>
        <w:tc>
          <w:tcPr>
            <w:tcW w:w="3360" w:type="dxa"/>
            <w:vAlign w:val="center"/>
          </w:tcPr>
          <w:p w14:paraId="06F424DC" w14:textId="77777777" w:rsidR="00F66939" w:rsidRDefault="00000000">
            <w:r>
              <w:rPr>
                <w:rFonts w:ascii="Times New Roman" w:hAnsi="Times New Roman" w:cs="Times New Roman"/>
                <w:sz w:val="18"/>
                <w:szCs w:val="18"/>
              </w:rPr>
              <w:t>Knowledge transfer to the MTC (open repository, technical report)</w:t>
            </w:r>
            <w:r>
              <w:br/>
            </w:r>
            <w:r>
              <w:rPr>
                <w:rFonts w:ascii="Times New Roman" w:hAnsi="Times New Roman" w:cs="Times New Roman"/>
                <w:i/>
                <w:sz w:val="16"/>
                <w:szCs w:val="16"/>
              </w:rPr>
              <w:t>Mar 2029 – Jul 2029 (M31–M35)</w:t>
            </w:r>
          </w:p>
        </w:tc>
        <w:tc>
          <w:tcPr>
            <w:tcW w:w="560" w:type="dxa"/>
            <w:vAlign w:val="center"/>
          </w:tcPr>
          <w:p w14:paraId="5F36C444" w14:textId="77777777" w:rsidR="00F66939" w:rsidRDefault="00F66939"/>
        </w:tc>
        <w:tc>
          <w:tcPr>
            <w:tcW w:w="560" w:type="dxa"/>
            <w:vAlign w:val="center"/>
          </w:tcPr>
          <w:p w14:paraId="53145552" w14:textId="77777777" w:rsidR="00F66939" w:rsidRDefault="00F66939"/>
        </w:tc>
        <w:tc>
          <w:tcPr>
            <w:tcW w:w="560" w:type="dxa"/>
            <w:vAlign w:val="center"/>
          </w:tcPr>
          <w:p w14:paraId="4E1A04DA" w14:textId="77777777" w:rsidR="00F66939" w:rsidRDefault="00F66939"/>
        </w:tc>
        <w:tc>
          <w:tcPr>
            <w:tcW w:w="560" w:type="dxa"/>
            <w:vAlign w:val="center"/>
          </w:tcPr>
          <w:p w14:paraId="573905C5" w14:textId="77777777" w:rsidR="00F66939" w:rsidRDefault="00F66939"/>
        </w:tc>
        <w:tc>
          <w:tcPr>
            <w:tcW w:w="560" w:type="dxa"/>
            <w:vAlign w:val="center"/>
          </w:tcPr>
          <w:p w14:paraId="419F49F5" w14:textId="77777777" w:rsidR="00F66939" w:rsidRDefault="00F66939"/>
        </w:tc>
        <w:tc>
          <w:tcPr>
            <w:tcW w:w="560" w:type="dxa"/>
            <w:vAlign w:val="center"/>
          </w:tcPr>
          <w:p w14:paraId="16E50B5B" w14:textId="77777777" w:rsidR="00F66939" w:rsidRDefault="00F66939"/>
        </w:tc>
        <w:tc>
          <w:tcPr>
            <w:tcW w:w="560" w:type="dxa"/>
            <w:vAlign w:val="center"/>
          </w:tcPr>
          <w:p w14:paraId="6BF1633E" w14:textId="77777777" w:rsidR="00F66939" w:rsidRDefault="00F66939"/>
        </w:tc>
        <w:tc>
          <w:tcPr>
            <w:tcW w:w="560" w:type="dxa"/>
            <w:vAlign w:val="center"/>
          </w:tcPr>
          <w:p w14:paraId="267942C7" w14:textId="77777777" w:rsidR="00F66939" w:rsidRDefault="00F66939"/>
        </w:tc>
        <w:tc>
          <w:tcPr>
            <w:tcW w:w="560" w:type="dxa"/>
            <w:vAlign w:val="center"/>
          </w:tcPr>
          <w:p w14:paraId="15038C82" w14:textId="77777777" w:rsidR="00F66939" w:rsidRDefault="00F66939"/>
        </w:tc>
        <w:tc>
          <w:tcPr>
            <w:tcW w:w="560" w:type="dxa"/>
            <w:vAlign w:val="center"/>
          </w:tcPr>
          <w:p w14:paraId="44322441" w14:textId="77777777" w:rsidR="00F66939" w:rsidRDefault="00F66939"/>
        </w:tc>
        <w:tc>
          <w:tcPr>
            <w:tcW w:w="560" w:type="dxa"/>
            <w:shd w:val="clear" w:color="auto" w:fill="1F3864"/>
            <w:vAlign w:val="center"/>
          </w:tcPr>
          <w:p w14:paraId="52A5A0F6" w14:textId="77777777" w:rsidR="00F66939" w:rsidRDefault="00F66939"/>
        </w:tc>
        <w:tc>
          <w:tcPr>
            <w:tcW w:w="560" w:type="dxa"/>
            <w:shd w:val="clear" w:color="auto" w:fill="1F3864"/>
            <w:vAlign w:val="center"/>
          </w:tcPr>
          <w:p w14:paraId="371CE4EB" w14:textId="77777777" w:rsidR="00F66939" w:rsidRDefault="00F66939"/>
        </w:tc>
      </w:tr>
      <w:tr w:rsidR="00F66939" w14:paraId="206D9567" w14:textId="77777777">
        <w:trPr>
          <w:cantSplit/>
        </w:trPr>
        <w:tc>
          <w:tcPr>
            <w:tcW w:w="3360" w:type="dxa"/>
            <w:vAlign w:val="center"/>
          </w:tcPr>
          <w:p w14:paraId="543C587A" w14:textId="77777777" w:rsidR="00F66939" w:rsidRDefault="00000000">
            <w:r>
              <w:rPr>
                <w:rFonts w:ascii="Times New Roman" w:hAnsi="Times New Roman" w:cs="Times New Roman"/>
                <w:sz w:val="18"/>
                <w:szCs w:val="18"/>
              </w:rPr>
              <w:lastRenderedPageBreak/>
              <w:t>Final thesis, submission, defense and publication preparation</w:t>
            </w:r>
            <w:r>
              <w:br/>
            </w:r>
            <w:r>
              <w:rPr>
                <w:rFonts w:ascii="Times New Roman" w:hAnsi="Times New Roman" w:cs="Times New Roman"/>
                <w:i/>
                <w:sz w:val="16"/>
                <w:szCs w:val="16"/>
              </w:rPr>
              <w:t>May 2029 – Sep 2029 (M33–M36)</w:t>
            </w:r>
          </w:p>
        </w:tc>
        <w:tc>
          <w:tcPr>
            <w:tcW w:w="560" w:type="dxa"/>
            <w:vAlign w:val="center"/>
          </w:tcPr>
          <w:p w14:paraId="2A1B2CBE" w14:textId="77777777" w:rsidR="00F66939" w:rsidRDefault="00F66939"/>
        </w:tc>
        <w:tc>
          <w:tcPr>
            <w:tcW w:w="560" w:type="dxa"/>
            <w:vAlign w:val="center"/>
          </w:tcPr>
          <w:p w14:paraId="6F90487E" w14:textId="77777777" w:rsidR="00F66939" w:rsidRDefault="00F66939"/>
        </w:tc>
        <w:tc>
          <w:tcPr>
            <w:tcW w:w="560" w:type="dxa"/>
            <w:vAlign w:val="center"/>
          </w:tcPr>
          <w:p w14:paraId="0D39F0F4" w14:textId="77777777" w:rsidR="00F66939" w:rsidRDefault="00F66939"/>
        </w:tc>
        <w:tc>
          <w:tcPr>
            <w:tcW w:w="560" w:type="dxa"/>
            <w:vAlign w:val="center"/>
          </w:tcPr>
          <w:p w14:paraId="02DD78C4" w14:textId="77777777" w:rsidR="00F66939" w:rsidRDefault="00F66939"/>
        </w:tc>
        <w:tc>
          <w:tcPr>
            <w:tcW w:w="560" w:type="dxa"/>
            <w:vAlign w:val="center"/>
          </w:tcPr>
          <w:p w14:paraId="056EAC8E" w14:textId="77777777" w:rsidR="00F66939" w:rsidRDefault="00F66939"/>
        </w:tc>
        <w:tc>
          <w:tcPr>
            <w:tcW w:w="560" w:type="dxa"/>
            <w:vAlign w:val="center"/>
          </w:tcPr>
          <w:p w14:paraId="01DE83A8" w14:textId="77777777" w:rsidR="00F66939" w:rsidRDefault="00F66939"/>
        </w:tc>
        <w:tc>
          <w:tcPr>
            <w:tcW w:w="560" w:type="dxa"/>
            <w:vAlign w:val="center"/>
          </w:tcPr>
          <w:p w14:paraId="506D73C0" w14:textId="77777777" w:rsidR="00F66939" w:rsidRDefault="00F66939"/>
        </w:tc>
        <w:tc>
          <w:tcPr>
            <w:tcW w:w="560" w:type="dxa"/>
            <w:vAlign w:val="center"/>
          </w:tcPr>
          <w:p w14:paraId="11FE7263" w14:textId="77777777" w:rsidR="00F66939" w:rsidRDefault="00F66939"/>
        </w:tc>
        <w:tc>
          <w:tcPr>
            <w:tcW w:w="560" w:type="dxa"/>
            <w:vAlign w:val="center"/>
          </w:tcPr>
          <w:p w14:paraId="6976F72F" w14:textId="77777777" w:rsidR="00F66939" w:rsidRDefault="00F66939"/>
        </w:tc>
        <w:tc>
          <w:tcPr>
            <w:tcW w:w="560" w:type="dxa"/>
            <w:vAlign w:val="center"/>
          </w:tcPr>
          <w:p w14:paraId="13F5C142" w14:textId="77777777" w:rsidR="00F66939" w:rsidRDefault="00F66939"/>
        </w:tc>
        <w:tc>
          <w:tcPr>
            <w:tcW w:w="560" w:type="dxa"/>
            <w:shd w:val="clear" w:color="auto" w:fill="1F3864"/>
            <w:vAlign w:val="center"/>
          </w:tcPr>
          <w:p w14:paraId="5603CC21" w14:textId="77777777" w:rsidR="00F66939" w:rsidRDefault="00F66939"/>
        </w:tc>
        <w:tc>
          <w:tcPr>
            <w:tcW w:w="560" w:type="dxa"/>
            <w:shd w:val="clear" w:color="auto" w:fill="1F3864"/>
            <w:vAlign w:val="center"/>
          </w:tcPr>
          <w:p w14:paraId="6ABAEEF1" w14:textId="77777777" w:rsidR="00F66939" w:rsidRDefault="00F66939"/>
        </w:tc>
      </w:tr>
    </w:tbl>
    <w:p w14:paraId="270961F1" w14:textId="77777777" w:rsidR="00F66939" w:rsidRDefault="00000000">
      <w:pPr>
        <w:spacing w:before="60" w:after="120"/>
      </w:pPr>
      <w:r>
        <w:rPr>
          <w:rFonts w:ascii="Times New Roman" w:hAnsi="Times New Roman" w:cs="Times New Roman"/>
          <w:i/>
          <w:sz w:val="18"/>
          <w:szCs w:val="18"/>
        </w:rPr>
        <w:t>Note. Q1 = September–November, Q2 = December–February, Q3 = March–May, Q4 = June–August; M = month of the doctoral program.</w:t>
      </w:r>
    </w:p>
    <w:p w14:paraId="2DFF2601" w14:textId="77777777" w:rsidR="00D32405" w:rsidRDefault="00D32405">
      <w:pPr>
        <w:keepNext/>
        <w:spacing w:before="120" w:after="60" w:line="360" w:lineRule="auto"/>
      </w:pPr>
    </w:p>
    <w:p w14:paraId="3061CAD5" w14:textId="77777777" w:rsidR="0073671B" w:rsidRDefault="00000000" w:rsidP="0066662E">
      <w:pPr>
        <w:spacing w:before="24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dates in Table 3 already include a buffer of 25–30% of the timeline, distributed across the phases, a reasonable allowance for a project that depends on external data releases and on computationally demanding experiments. The budget will cover computing and cloud resources, data storage, software and services, publication fees, conference attendance, and other research expenses, and it will be reviewed at the end of each academic year against the progress actually achieved.</w:t>
      </w:r>
    </w:p>
    <w:p w14:paraId="32AF1862" w14:textId="77777777" w:rsidR="00E93550" w:rsidRPr="00264341" w:rsidRDefault="00000000" w:rsidP="0066662E">
      <w:pPr>
        <w:pStyle w:val="Ttulo1"/>
        <w:spacing w:line="360" w:lineRule="auto"/>
        <w:rPr>
          <w:rFonts w:ascii="Times New Roman" w:hAnsi="Times New Roman" w:cs="Times New Roman"/>
          <w:color w:val="auto"/>
          <w:sz w:val="24"/>
          <w:szCs w:val="24"/>
        </w:rPr>
      </w:pPr>
      <w:r>
        <w:rPr>
          <w:rFonts w:ascii="Times New Roman" w:hAnsi="Times New Roman" w:cs="Times New Roman"/>
          <w:color w:val="auto"/>
          <w:sz w:val="24"/>
          <w:szCs w:val="24"/>
        </w:rPr>
        <w:t xml:space="preserve">10. BIBLIOGRAPHY </w:t>
      </w:r>
    </w:p>
    <w:p w14:paraId="02473AA0" w14:textId="77777777" w:rsidR="00E93550" w:rsidRPr="00264341" w:rsidRDefault="00000000" w:rsidP="0066662E">
      <w:pPr>
        <w:spacing w:line="360" w:lineRule="auto"/>
        <w:rPr>
          <w:rFonts w:ascii="Times New Roman" w:hAnsi="Times New Roman" w:cs="Times New Roman"/>
          <w:sz w:val="24"/>
          <w:szCs w:val="24"/>
        </w:rPr>
      </w:pPr>
      <w:r>
        <w:rPr>
          <w:rFonts w:ascii="Times New Roman" w:hAnsi="Times New Roman" w:cs="Times New Roman"/>
          <w:sz w:val="24"/>
          <w:szCs w:val="24"/>
        </w:rPr>
        <w:t>[1] Carianni, A., &amp; Gemma, A. (2025). Overview of Traffic Flow Forecasting Techniques. IEEE Open Journal of Intelligent Transportation Systems, 6, 848–882. https://doi.org/10.1109/OJITS.2025.3580802</w:t>
      </w:r>
    </w:p>
    <w:p w14:paraId="01A0C97F" w14:textId="77777777" w:rsidR="00E93550" w:rsidRPr="00264341" w:rsidRDefault="00000000" w:rsidP="0066662E">
      <w:pPr>
        <w:spacing w:line="360" w:lineRule="auto"/>
        <w:rPr>
          <w:rFonts w:ascii="Times New Roman" w:hAnsi="Times New Roman" w:cs="Times New Roman"/>
          <w:sz w:val="24"/>
          <w:szCs w:val="24"/>
        </w:rPr>
      </w:pPr>
      <w:r>
        <w:rPr>
          <w:rFonts w:ascii="Times New Roman" w:hAnsi="Times New Roman" w:cs="Times New Roman"/>
          <w:sz w:val="24"/>
          <w:szCs w:val="24"/>
        </w:rPr>
        <w:t>[2] Tabassi, E. (2023). Artificial Intelligence Risk Management Framework (AI RMF 1.0). NIST. https://doi.org/10.6028/NIST.AI.100-1</w:t>
      </w:r>
    </w:p>
    <w:p w14:paraId="105EB78D" w14:textId="77777777" w:rsidR="00E93550" w:rsidRPr="00264341" w:rsidRDefault="00000000" w:rsidP="0066662E">
      <w:pPr>
        <w:spacing w:line="360" w:lineRule="auto"/>
        <w:rPr>
          <w:rFonts w:ascii="Times New Roman" w:hAnsi="Times New Roman" w:cs="Times New Roman"/>
          <w:sz w:val="24"/>
          <w:szCs w:val="24"/>
        </w:rPr>
      </w:pPr>
      <w:r>
        <w:rPr>
          <w:rFonts w:ascii="Times New Roman" w:hAnsi="Times New Roman" w:cs="Times New Roman"/>
          <w:sz w:val="24"/>
          <w:szCs w:val="24"/>
        </w:rPr>
        <w:t>[3] Pineau, J., Vincent-Lamarre, P., Sinha, K., Larivière, V., Beygelzimer, A., d’Alché-Buc, F., Fox, E., &amp; Larochelle, H. (2021). Improving reproducibility in machine learning research. Journal of Machine Learning Research, 22(164), 1–20.</w:t>
      </w:r>
    </w:p>
    <w:p w14:paraId="1CB45F5B" w14:textId="77777777" w:rsidR="00E93550" w:rsidRPr="00264341" w:rsidRDefault="00000000" w:rsidP="0066662E">
      <w:pPr>
        <w:spacing w:line="360" w:lineRule="auto"/>
        <w:rPr>
          <w:rFonts w:ascii="Times New Roman" w:hAnsi="Times New Roman" w:cs="Times New Roman"/>
          <w:sz w:val="24"/>
          <w:szCs w:val="24"/>
        </w:rPr>
      </w:pPr>
      <w:r>
        <w:rPr>
          <w:rFonts w:ascii="Times New Roman" w:hAnsi="Times New Roman" w:cs="Times New Roman"/>
          <w:sz w:val="24"/>
          <w:szCs w:val="24"/>
        </w:rPr>
        <w:t>[4] Kapoor, S., &amp; Narayanan, A. (2023). Leakage and the reproducibility crisis in machine-learning-based science. Patterns, 4(9), 100804.</w:t>
      </w:r>
    </w:p>
    <w:p w14:paraId="4EBAE32E" w14:textId="77777777" w:rsidR="00E93550" w:rsidRPr="00264341" w:rsidRDefault="00000000" w:rsidP="0066662E">
      <w:pPr>
        <w:spacing w:line="360" w:lineRule="auto"/>
        <w:rPr>
          <w:rFonts w:ascii="Times New Roman" w:hAnsi="Times New Roman" w:cs="Times New Roman"/>
          <w:sz w:val="24"/>
          <w:szCs w:val="24"/>
        </w:rPr>
      </w:pPr>
      <w:r>
        <w:rPr>
          <w:rFonts w:ascii="Times New Roman" w:hAnsi="Times New Roman" w:cs="Times New Roman"/>
          <w:sz w:val="24"/>
          <w:szCs w:val="24"/>
        </w:rPr>
        <w:t>[5] Hevner, A. R., March, S. T., Park, J., &amp; Ram, S. (2004). Design science in information systems research. MIS Quarterly, 28(1), 75–105.</w:t>
      </w:r>
    </w:p>
    <w:p w14:paraId="72AA45CE" w14:textId="77777777" w:rsidR="00E93550" w:rsidRPr="00264341" w:rsidRDefault="00000000" w:rsidP="0066662E">
      <w:pPr>
        <w:spacing w:line="360" w:lineRule="auto"/>
        <w:rPr>
          <w:rFonts w:ascii="Times New Roman" w:hAnsi="Times New Roman" w:cs="Times New Roman"/>
          <w:sz w:val="24"/>
          <w:szCs w:val="24"/>
        </w:rPr>
      </w:pPr>
      <w:r>
        <w:rPr>
          <w:rFonts w:ascii="Times New Roman" w:hAnsi="Times New Roman" w:cs="Times New Roman"/>
          <w:sz w:val="24"/>
          <w:szCs w:val="24"/>
        </w:rPr>
        <w:t>[6] Peffers, K., Tuunanen, T., Rothenberger, M. A., &amp; Chatterjee, S. (2007). A design science research methodology for information systems research. Journal of Management Information Systems, 24(3), 45–77.</w:t>
      </w:r>
    </w:p>
    <w:p w14:paraId="0944F7D6" w14:textId="77777777" w:rsidR="00E93550" w:rsidRPr="00264341" w:rsidRDefault="00000000" w:rsidP="0066662E">
      <w:pPr>
        <w:spacing w:line="360" w:lineRule="auto"/>
        <w:rPr>
          <w:rFonts w:ascii="Times New Roman" w:hAnsi="Times New Roman" w:cs="Times New Roman"/>
          <w:sz w:val="24"/>
          <w:szCs w:val="24"/>
        </w:rPr>
      </w:pPr>
      <w:r>
        <w:rPr>
          <w:rFonts w:ascii="Times New Roman" w:hAnsi="Times New Roman" w:cs="Times New Roman"/>
          <w:sz w:val="24"/>
          <w:szCs w:val="24"/>
        </w:rPr>
        <w:t>[7] Gregor, S., &amp; Hevner, A. R. (2013). Positioning and presenting design science research for maximum impact. MIS Quarterly, 37(2), 337–355.</w:t>
      </w:r>
    </w:p>
    <w:p w14:paraId="35E473EE" w14:textId="77777777" w:rsidR="00E93550" w:rsidRPr="00264341" w:rsidRDefault="00000000" w:rsidP="0066662E">
      <w:pPr>
        <w:spacing w:line="360" w:lineRule="auto"/>
        <w:rPr>
          <w:rFonts w:ascii="Times New Roman" w:hAnsi="Times New Roman" w:cs="Times New Roman"/>
          <w:sz w:val="24"/>
          <w:szCs w:val="24"/>
          <w:lang w:val="es-PE"/>
        </w:rPr>
      </w:pPr>
      <w:r>
        <w:rPr>
          <w:rFonts w:ascii="Times New Roman" w:hAnsi="Times New Roman" w:cs="Times New Roman"/>
          <w:sz w:val="24"/>
          <w:szCs w:val="24"/>
        </w:rPr>
        <w:t xml:space="preserve">[8] Collins, G. S., et al. (2024). TRIPOD+AI statement. </w:t>
      </w:r>
      <w:r>
        <w:rPr>
          <w:rFonts w:ascii="Times New Roman" w:hAnsi="Times New Roman" w:cs="Times New Roman"/>
          <w:sz w:val="24"/>
          <w:szCs w:val="24"/>
          <w:lang w:val="es-PE"/>
        </w:rPr>
        <w:t>BMJ, 385, e078378.</w:t>
      </w:r>
    </w:p>
    <w:p w14:paraId="18404B3A" w14:textId="77777777" w:rsidR="00E93550" w:rsidRPr="00264341" w:rsidRDefault="00000000" w:rsidP="0066662E">
      <w:pPr>
        <w:spacing w:line="360" w:lineRule="auto"/>
        <w:rPr>
          <w:rFonts w:ascii="Times New Roman" w:hAnsi="Times New Roman" w:cs="Times New Roman"/>
          <w:sz w:val="24"/>
          <w:szCs w:val="24"/>
        </w:rPr>
      </w:pPr>
      <w:r>
        <w:rPr>
          <w:rFonts w:ascii="Times New Roman" w:hAnsi="Times New Roman" w:cs="Times New Roman"/>
          <w:sz w:val="24"/>
          <w:szCs w:val="24"/>
          <w:lang w:val="es-PE"/>
        </w:rPr>
        <w:lastRenderedPageBreak/>
        <w:t xml:space="preserve">[9] Lundberg, S. M., &amp; Lee, S.-I. (2017). </w:t>
      </w:r>
      <w:r>
        <w:rPr>
          <w:rFonts w:ascii="Times New Roman" w:hAnsi="Times New Roman" w:cs="Times New Roman"/>
          <w:sz w:val="24"/>
          <w:szCs w:val="24"/>
        </w:rPr>
        <w:t>A unified approach to interpreting model predictions. Advances in Neural Information Processing Systems, 30.</w:t>
      </w:r>
    </w:p>
    <w:p w14:paraId="7592BAC5" w14:textId="77777777" w:rsidR="00E93550" w:rsidRPr="00264341" w:rsidRDefault="00000000" w:rsidP="0066662E">
      <w:pPr>
        <w:spacing w:line="360" w:lineRule="auto"/>
        <w:rPr>
          <w:rFonts w:ascii="Times New Roman" w:hAnsi="Times New Roman" w:cs="Times New Roman"/>
          <w:sz w:val="24"/>
          <w:szCs w:val="24"/>
        </w:rPr>
      </w:pPr>
      <w:r>
        <w:rPr>
          <w:rFonts w:ascii="Times New Roman" w:hAnsi="Times New Roman" w:cs="Times New Roman"/>
          <w:sz w:val="24"/>
          <w:szCs w:val="24"/>
        </w:rPr>
        <w:t>[10] Wilkinson, M. D., et al. (2016). The FAIR Guiding Principles for scientific data management and stewardship. Scientific Data, 3, 160018.</w:t>
      </w:r>
    </w:p>
    <w:p w14:paraId="19141B71" w14:textId="77777777" w:rsidR="00F66939"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[11] Doran, G. T. (1981). There’s a S.M.A.R.T. way to write management’s goals and objectives. Management Review, 70(11), 35–36.</w:t>
      </w:r>
    </w:p>
    <w:p w14:paraId="336D8BE7" w14:textId="77777777" w:rsidR="00E93550" w:rsidRPr="00264341" w:rsidRDefault="00000000" w:rsidP="0066662E">
      <w:pPr>
        <w:spacing w:line="360" w:lineRule="auto"/>
        <w:rPr>
          <w:rFonts w:ascii="Times New Roman" w:hAnsi="Times New Roman" w:cs="Times New Roman"/>
          <w:sz w:val="24"/>
          <w:szCs w:val="24"/>
          <w:lang w:val="es-PE"/>
        </w:rPr>
      </w:pPr>
      <w:r>
        <w:rPr>
          <w:rFonts w:ascii="Times New Roman" w:hAnsi="Times New Roman" w:cs="Times New Roman"/>
          <w:sz w:val="24"/>
          <w:szCs w:val="24"/>
          <w:lang w:val="es-PE"/>
        </w:rPr>
        <w:t>[12] Ministerio de Transportes y Comunicaciones (MTC). Flujo Vehicular Registrado en las Unidades de Peaje de la Red Vial Nacional (2014–2026 I Trimestre). Portal Nacional de Datos Abiertos del Estado Peruano.</w:t>
      </w:r>
    </w:p>
    <w:p w14:paraId="0C9CEC32" w14:textId="77777777" w:rsidR="00E93550" w:rsidRPr="00264341" w:rsidRDefault="00000000" w:rsidP="0066662E">
      <w:pPr>
        <w:spacing w:line="360" w:lineRule="auto"/>
        <w:rPr>
          <w:rFonts w:ascii="Times New Roman" w:hAnsi="Times New Roman" w:cs="Times New Roman"/>
          <w:sz w:val="24"/>
          <w:szCs w:val="24"/>
        </w:rPr>
      </w:pPr>
      <w:r>
        <w:rPr>
          <w:rFonts w:ascii="Times New Roman" w:hAnsi="Times New Roman" w:cs="Times New Roman"/>
          <w:sz w:val="24"/>
          <w:szCs w:val="24"/>
          <w:lang w:val="es-PE"/>
        </w:rPr>
        <w:t xml:space="preserve">[13] Afandizadeh, S., Abdolahi, S., &amp; Mirzahossein, H. (2024). </w:t>
      </w:r>
      <w:r>
        <w:rPr>
          <w:rFonts w:ascii="Times New Roman" w:hAnsi="Times New Roman" w:cs="Times New Roman"/>
          <w:sz w:val="24"/>
          <w:szCs w:val="24"/>
        </w:rPr>
        <w:t xml:space="preserve">Deep Learning Algorithms for Traffic Forecasting: A Comprehensive Review and Comparison with Classical Ones. Journal of Advanced Transportation, 2024, 9981657. </w:t>
      </w:r>
      <w:hyperlink r:id="rId6" w:history="1">
        <w:r>
          <w:rPr>
            <w:rStyle w:val="Hipervnculo"/>
            <w:rFonts w:ascii="Times New Roman" w:hAnsi="Times New Roman" w:cs="Times New Roman"/>
            <w:sz w:val="24"/>
            <w:szCs w:val="24"/>
          </w:rPr>
          <w:t>https://doi.org/10.1155/2024/9981657</w:t>
        </w:r>
      </w:hyperlink>
      <w:r>
        <w:rPr>
          <w:rFonts w:ascii="Times New Roman" w:hAnsi="Times New Roman" w:cs="Times New Roman"/>
          <w:sz w:val="24"/>
          <w:szCs w:val="24"/>
        </w:rPr>
        <w:t xml:space="preserve"> </w:t>
      </w:r>
    </w:p>
    <w:p w14:paraId="7B1DF461" w14:textId="77777777" w:rsidR="00CD630E"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 xml:space="preserve">[14] Hyndman, R. J., &amp; Koehler, A. B. (2006). Another look at measures of forecast accuracy. International Journal of Forecasting, 22(4), 679–688. </w:t>
      </w:r>
      <w:hyperlink r:id="rId7" w:history="1">
        <w:r>
          <w:rPr>
            <w:rStyle w:val="Hipervnculo"/>
            <w:rFonts w:ascii="Times New Roman" w:hAnsi="Times New Roman" w:cs="Times New Roman"/>
            <w:sz w:val="24"/>
            <w:szCs w:val="24"/>
          </w:rPr>
          <w:t>https://doi.org/10.1016/j.ijforecast.2006.03.001</w:t>
        </w:r>
      </w:hyperlink>
      <w:r>
        <w:rPr>
          <w:rFonts w:ascii="Times New Roman" w:hAnsi="Times New Roman" w:cs="Times New Roman"/>
          <w:sz w:val="24"/>
          <w:szCs w:val="24"/>
        </w:rPr>
        <w:t xml:space="preserve"> </w:t>
      </w:r>
    </w:p>
    <w:p w14:paraId="4735329C" w14:textId="77777777" w:rsidR="00E93550" w:rsidRPr="00264341" w:rsidRDefault="00000000" w:rsidP="0066662E">
      <w:pPr>
        <w:spacing w:line="360" w:lineRule="auto"/>
        <w:rPr>
          <w:rFonts w:ascii="Times New Roman" w:hAnsi="Times New Roman" w:cs="Times New Roman"/>
          <w:sz w:val="24"/>
          <w:szCs w:val="24"/>
        </w:rPr>
      </w:pPr>
      <w:r>
        <w:rPr>
          <w:rFonts w:ascii="Times New Roman" w:hAnsi="Times New Roman" w:cs="Times New Roman"/>
          <w:sz w:val="24"/>
          <w:szCs w:val="24"/>
        </w:rPr>
        <w:t>[15] High-Level Expert Group on Artificial Intelligence. (2019). Ethics Guidelines for Trustworthy AI. European Commission.</w:t>
      </w:r>
    </w:p>
    <w:p w14:paraId="5EE370CC" w14:textId="77777777" w:rsidR="00F66939"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[16] Consejo Nacional de Ciencia, Tecnología e Innovación Tecnológica (CONCYTEC). (2024). Código Nacional de la Integridad Científica. Resolución de Presidencia N.° 028-2024-CONCYTEC-P. El Peruano, 7 March 2024.</w:t>
      </w:r>
    </w:p>
    <w:sectPr w:rsidR="00F66939"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E23E24C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61B80BAC"/>
    <w:multiLevelType w:val="multilevel"/>
    <w:tmpl w:val="09E034A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1086270837">
    <w:abstractNumId w:val="8"/>
  </w:num>
  <w:num w:numId="2" w16cid:durableId="2056079908">
    <w:abstractNumId w:val="6"/>
  </w:num>
  <w:num w:numId="3" w16cid:durableId="155272280">
    <w:abstractNumId w:val="5"/>
  </w:num>
  <w:num w:numId="4" w16cid:durableId="1181164726">
    <w:abstractNumId w:val="4"/>
  </w:num>
  <w:num w:numId="5" w16cid:durableId="812989081">
    <w:abstractNumId w:val="7"/>
  </w:num>
  <w:num w:numId="6" w16cid:durableId="471102265">
    <w:abstractNumId w:val="3"/>
  </w:num>
  <w:num w:numId="7" w16cid:durableId="8997201">
    <w:abstractNumId w:val="2"/>
  </w:num>
  <w:num w:numId="8" w16cid:durableId="2145464133">
    <w:abstractNumId w:val="1"/>
  </w:num>
  <w:num w:numId="9" w16cid:durableId="1750032085">
    <w:abstractNumId w:val="0"/>
  </w:num>
  <w:num w:numId="10" w16cid:durableId="59397650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65F1"/>
    <w:rsid w:val="0006063C"/>
    <w:rsid w:val="0006460C"/>
    <w:rsid w:val="00131E8C"/>
    <w:rsid w:val="0015074B"/>
    <w:rsid w:val="00264341"/>
    <w:rsid w:val="0029639D"/>
    <w:rsid w:val="00326F90"/>
    <w:rsid w:val="0039186C"/>
    <w:rsid w:val="00485167"/>
    <w:rsid w:val="005D065E"/>
    <w:rsid w:val="0066662E"/>
    <w:rsid w:val="006D439F"/>
    <w:rsid w:val="0073671B"/>
    <w:rsid w:val="007941A3"/>
    <w:rsid w:val="00857878"/>
    <w:rsid w:val="00996926"/>
    <w:rsid w:val="00AA1D8D"/>
    <w:rsid w:val="00B47730"/>
    <w:rsid w:val="00BE2891"/>
    <w:rsid w:val="00C35312"/>
    <w:rsid w:val="00C57BE2"/>
    <w:rsid w:val="00CB0664"/>
    <w:rsid w:val="00CD630E"/>
    <w:rsid w:val="00D317A7"/>
    <w:rsid w:val="00D32405"/>
    <w:rsid w:val="00DB5D82"/>
    <w:rsid w:val="00E24D44"/>
    <w:rsid w:val="00E93550"/>
    <w:rsid w:val="00F66939"/>
    <w:rsid w:val="00FC693F"/>
    <w:rsid w:val="00FE322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00EB69"/>
  <w14:defaultImageDpi w14:val="300"/>
  <w15:docId w15:val="{0261555D-6AD5-49E9-B6B4-535156871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D32405"/>
    <w:rPr>
      <w:color w:val="0000FF" w:themeColor="hyperlink"/>
      <w:u w:val="single"/>
    </w:rPr>
  </w:style>
  <w:style w:type="character" w:styleId="Mencinsinresolver">
    <w:name w:val="Unresolved Mention"/>
    <w:basedOn w:val="Fuentedeprrafopredeter"/>
    <w:uiPriority w:val="99"/>
    <w:semiHidden/>
    <w:unhideWhenUsed/>
    <w:rsid w:val="00D32405"/>
    <w:rPr>
      <w:color w:val="605E5C"/>
      <w:shd w:val="clear" w:color="auto" w:fill="E1DFDD"/>
    </w:rPr>
  </w:style>
  <w:style w:type="character" w:styleId="Hipervnculovisitado">
    <w:name w:val="FollowedHyperlink"/>
    <w:basedOn w:val="Fuentedeprrafopredeter"/>
    <w:uiPriority w:val="99"/>
    <w:semiHidden/>
    <w:unhideWhenUsed/>
    <w:rsid w:val="00D3240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091377">
      <w:bodyDiv w:val="1"/>
      <w:marLeft w:val="0"/>
      <w:marRight w:val="0"/>
      <w:marTop w:val="0"/>
      <w:marBottom w:val="0"/>
      <w:divBdr>
        <w:top w:val="none" w:sz="0" w:space="0" w:color="auto"/>
        <w:left w:val="none" w:sz="0" w:space="0" w:color="auto"/>
        <w:bottom w:val="none" w:sz="0" w:space="0" w:color="auto"/>
        <w:right w:val="none" w:sz="0" w:space="0" w:color="auto"/>
      </w:divBdr>
    </w:div>
    <w:div w:id="573390326">
      <w:bodyDiv w:val="1"/>
      <w:marLeft w:val="0"/>
      <w:marRight w:val="0"/>
      <w:marTop w:val="0"/>
      <w:marBottom w:val="0"/>
      <w:divBdr>
        <w:top w:val="none" w:sz="0" w:space="0" w:color="auto"/>
        <w:left w:val="none" w:sz="0" w:space="0" w:color="auto"/>
        <w:bottom w:val="none" w:sz="0" w:space="0" w:color="auto"/>
        <w:right w:val="none" w:sz="0" w:space="0" w:color="auto"/>
      </w:divBdr>
    </w:div>
    <w:div w:id="1000891523">
      <w:bodyDiv w:val="1"/>
      <w:marLeft w:val="0"/>
      <w:marRight w:val="0"/>
      <w:marTop w:val="0"/>
      <w:marBottom w:val="0"/>
      <w:divBdr>
        <w:top w:val="none" w:sz="0" w:space="0" w:color="auto"/>
        <w:left w:val="none" w:sz="0" w:space="0" w:color="auto"/>
        <w:bottom w:val="none" w:sz="0" w:space="0" w:color="auto"/>
        <w:right w:val="none" w:sz="0" w:space="0" w:color="auto"/>
      </w:divBdr>
    </w:div>
    <w:div w:id="136236262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doi.org/10.1016/j.ijforecast.2006.03.001"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oi.org/10.1155/2024/9981657"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11</Pages>
  <Words>3927</Words>
  <Characters>21603</Characters>
  <Application>Microsoft Office Word</Application>
  <DocSecurity>0</DocSecurity>
  <Lines>180</Lines>
  <Paragraphs>50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25480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CARRASCO PEREZ, PABLO JUNIOR</cp:lastModifiedBy>
  <cp:revision>6</cp:revision>
  <dcterms:created xsi:type="dcterms:W3CDTF">2026-09-24T00:47:00Z</dcterms:created>
  <dcterms:modified xsi:type="dcterms:W3CDTF">2026-09-24T01:02:00Z</dcterms:modified>
  <cp:category/>
</cp:coreProperties>
</file>