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Banadir (Mogadishu)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Banadir (Mogadishu): 1 district (Mogadishu)</w:t>
            </w:r>
          </w:p>
        </w:tc>
      </w:tr>
      <w:tr>
        <w:trPr>
          <w:cantSplit/>
        </w:trPr>
        <w:tc>
          <w:tcPr>
            <w:tcW w:type="dxa" w:w="2268"/>
          </w:tcPr>
          <w:p>
            <w:pPr>
              <w:spacing w:after="0"/>
            </w:pPr>
            <w:r>
              <w:rPr>
                <w:rFonts w:ascii="Arial" w:hAnsi="Arial"/>
                <w:b/>
                <w:i w:val="0"/>
                <w:color w:val="FD6902"/>
                <w:sz w:val="19"/>
              </w:rPr>
              <w:t>Ceremony date</w:t>
            </w:r>
          </w:p>
        </w:tc>
        <w:tc>
          <w:tcPr>
            <w:tcW w:type="dxa" w:w="6520"/>
          </w:tcPr>
          <w:p>
            <w:pPr>
              <w:spacing w:after="0"/>
            </w:pPr>
            <w:r>
              <w:rPr>
                <w:rFonts w:ascii="Arial" w:hAnsi="Arial"/>
                <w:b w:val="0"/>
                <w:i w:val="0"/>
                <w:color w:val="1B2610"/>
                <w:sz w:val="19"/>
              </w:rPr>
              <w:t>6 September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Banadir (Mogadishu): Mogadishu.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Banadir (Mogadishu), Rasmi Logistic Service supported fridge handover ceremonies in </w:t>
      </w:r>
      <w:r>
        <w:rPr>
          <w:rFonts w:ascii="Arial" w:hAnsi="Arial"/>
          <w:b/>
          <w:i w:val="0"/>
          <w:color w:val="1B2610"/>
          <w:sz w:val="20"/>
        </w:rPr>
        <w:t>1 district</w:t>
      </w:r>
      <w:r>
        <w:rPr>
          <w:rFonts w:ascii="Arial" w:hAnsi="Arial"/>
          <w:b w:val="0"/>
          <w:i w:val="0"/>
          <w:color w:val="1B2610"/>
          <w:sz w:val="20"/>
        </w:rPr>
        <w:t xml:space="preserve"> on 6 September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w:t>
            </w:r>
          </w:p>
        </w:tc>
      </w:tr>
      <w:tr>
        <w:tc>
          <w:tcPr>
            <w:tcW w:type="dxa" w:w="2353"/>
          </w:tcPr>
          <w:p>
            <w:pPr>
              <w:spacing w:after="40"/>
              <w:jc w:val="center"/>
            </w:pPr>
            <w:r>
              <w:rPr>
                <w:rFonts w:ascii="Arial" w:hAnsi="Arial"/>
                <w:b/>
                <w:i w:val="0"/>
                <w:color w:val="55891A"/>
                <w:sz w:val="32"/>
              </w:rPr>
              <w:t>1</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Banadir (Mogadishu)</w:t>
            </w:r>
          </w:p>
        </w:tc>
        <w:tc>
          <w:tcPr>
            <w:tcW w:type="dxa" w:w="2353"/>
          </w:tcPr>
          <w:p>
            <w:pPr>
              <w:spacing w:after="40"/>
              <w:jc w:val="center"/>
            </w:pPr>
            <w:r>
              <w:rPr>
                <w:rFonts w:ascii="Arial" w:hAnsi="Arial"/>
                <w:b/>
                <w:i w:val="0"/>
                <w:color w:val="55891A"/>
                <w:sz w:val="22"/>
              </w:rPr>
              <w:t>6 Sep 2026</w:t>
            </w:r>
          </w:p>
        </w:tc>
      </w:tr>
    </w:tbl>
    <w:p/>
    <w:p>
      <w:r>
        <w:rPr>
          <w:rFonts w:ascii="Arial" w:hAnsi="Arial"/>
          <w:b/>
          <w:i w:val="0"/>
          <w:color w:val="1B2610"/>
          <w:sz w:val="20"/>
        </w:rPr>
        <w:t>Services delivered in Banadir (Mogadishu):</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the district.</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in the district.</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the district.</w:t>
      </w:r>
    </w:p>
    <w:p>
      <w:pPr>
        <w:pStyle w:val="ListBullet"/>
      </w:pPr>
      <w:r>
        <w:rPr>
          <w:rFonts w:ascii="Arial" w:hAnsi="Arial"/>
          <w:b/>
          <w:i w:val="0"/>
          <w:color w:val="1B2610"/>
          <w:sz w:val="20"/>
        </w:rPr>
        <w:t>Catering</w:t>
      </w:r>
      <w:r>
        <w:rPr>
          <w:rFonts w:ascii="Arial" w:hAnsi="Arial"/>
          <w:b w:val="0"/>
          <w:i w:val="0"/>
          <w:color w:val="1B2610"/>
          <w:sz w:val="20"/>
        </w:rPr>
        <w:t xml:space="preserve"> was not provided in Banadir (Mogadishu).</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Mogadishu</w:t>
            </w:r>
          </w:p>
        </w:tc>
      </w:tr>
      <w:tr>
        <w:trPr>
          <w:cantSplit/>
        </w:trPr>
        <w:tc>
          <w:tcPr>
            <w:tcW w:type="dxa" w:w="2268"/>
          </w:tcPr>
          <w:p>
            <w:pPr>
              <w:keepNext/>
              <w:spacing w:after="0"/>
            </w:pPr>
            <w:r>
              <w:rPr>
                <w:rFonts w:ascii="Arial" w:hAnsi="Arial"/>
                <w:b w:val="0"/>
                <w:i w:val="0"/>
                <w:color w:val="1B2610"/>
                <w:sz w:val="18"/>
              </w:rPr>
              <w:t>Catering</w:t>
            </w:r>
          </w:p>
        </w:tc>
        <w:tc>
          <w:tcPr>
            <w:tcW w:type="dxa" w:w="4819"/>
          </w:tcPr>
          <w:p>
            <w:pPr>
              <w:keepNext/>
              <w:spacing w:after="0"/>
            </w:pPr>
            <w:r>
              <w:rPr>
                <w:rFonts w:ascii="Arial" w:hAnsi="Arial"/>
                <w:b w:val="0"/>
                <w:i w:val="0"/>
                <w:color w:val="1B2610"/>
                <w:sz w:val="18"/>
              </w:rPr>
              <w:t>Refreshments for participants and guests at the ceremony.</w:t>
            </w:r>
          </w:p>
        </w:tc>
        <w:tc>
          <w:tcPr>
            <w:tcW w:type="dxa" w:w="1701"/>
          </w:tcPr>
          <w:p>
            <w:pPr>
              <w:keepNext/>
              <w:spacing w:after="0"/>
            </w:pPr>
            <w:r>
              <w:rPr>
                <w:rFonts w:ascii="Arial" w:hAnsi="Arial"/>
                <w:b w:val="0"/>
                <w:i w:val="0"/>
                <w:color w:val="1B2610"/>
                <w:sz w:val="18"/>
              </w:rPr>
              <w:t>Not provided in this area</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for the team, materials and fridges.</w:t>
            </w:r>
          </w:p>
        </w:tc>
        <w:tc>
          <w:tcPr>
            <w:tcW w:type="dxa" w:w="1701"/>
          </w:tcPr>
          <w:p>
            <w:pPr>
              <w:keepNext/>
              <w:spacing w:after="0"/>
            </w:pPr>
            <w:r>
              <w:rPr>
                <w:rFonts w:ascii="Arial" w:hAnsi="Arial"/>
                <w:b w:val="0"/>
                <w:i w:val="0"/>
                <w:color w:val="1B2610"/>
                <w:sz w:val="18"/>
              </w:rPr>
              <w:t>Mogadishu</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All media is available through the link in Section 6.</w:t>
            </w:r>
          </w:p>
        </w:tc>
        <w:tc>
          <w:tcPr>
            <w:tcW w:type="dxa" w:w="1701"/>
          </w:tcPr>
          <w:p>
            <w:pPr>
              <w:spacing w:after="0"/>
            </w:pPr>
            <w:r>
              <w:rPr>
                <w:rFonts w:ascii="Arial" w:hAnsi="Arial"/>
                <w:b w:val="0"/>
                <w:i w:val="0"/>
                <w:color w:val="1B2610"/>
                <w:sz w:val="18"/>
              </w:rPr>
              <w:t>Mogadishu</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1814"/>
        <w:gridCol w:w="1587"/>
        <w:gridCol w:w="1134"/>
        <w:gridCol w:w="1247"/>
        <w:gridCol w:w="907"/>
        <w:gridCol w:w="1020"/>
        <w:gridCol w:w="79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1814"/>
            <w:tcBorders>
              <w:bottom w:val="single" w:sz="12" w:space="0" w:color="55891A"/>
            </w:tcBorders>
          </w:tcPr>
          <w:p>
            <w:pPr>
              <w:keepNext/>
              <w:spacing w:after="0"/>
            </w:pPr>
            <w:r>
              <w:rPr>
                <w:rFonts w:ascii="Arial" w:hAnsi="Arial"/>
                <w:b/>
                <w:i w:val="0"/>
                <w:color w:val="55891A"/>
                <w:sz w:val="17"/>
              </w:rPr>
              <w:t>District</w:t>
            </w:r>
          </w:p>
        </w:tc>
        <w:tc>
          <w:tcPr>
            <w:tcW w:type="dxa" w:w="1587"/>
            <w:tcBorders>
              <w:bottom w:val="single" w:sz="12" w:space="0" w:color="55891A"/>
            </w:tcBorders>
          </w:tcPr>
          <w:p>
            <w:pPr>
              <w:keepNext/>
              <w:spacing w:after="0"/>
            </w:pPr>
            <w:r>
              <w:rPr>
                <w:rFonts w:ascii="Arial" w:hAnsi="Arial"/>
                <w:b/>
                <w:i w:val="0"/>
                <w:color w:val="55891A"/>
                <w:sz w:val="17"/>
              </w:rPr>
              <w:t>Date</w:t>
            </w:r>
          </w:p>
        </w:tc>
        <w:tc>
          <w:tcPr>
            <w:tcW w:type="dxa" w:w="1134"/>
            <w:tcBorders>
              <w:bottom w:val="single" w:sz="12" w:space="0" w:color="55891A"/>
            </w:tcBorders>
          </w:tcPr>
          <w:p>
            <w:pPr>
              <w:keepNext/>
              <w:spacing w:after="0"/>
              <w:jc w:val="center"/>
            </w:pPr>
            <w:r>
              <w:rPr>
                <w:rFonts w:ascii="Arial" w:hAnsi="Arial"/>
                <w:b/>
                <w:i w:val="0"/>
                <w:color w:val="55891A"/>
                <w:sz w:val="17"/>
              </w:rPr>
              <w:t>Families</w:t>
            </w:r>
          </w:p>
        </w:tc>
        <w:tc>
          <w:tcPr>
            <w:tcW w:type="dxa" w:w="1247"/>
            <w:tcBorders>
              <w:bottom w:val="single" w:sz="12" w:space="0" w:color="55891A"/>
            </w:tcBorders>
          </w:tcPr>
          <w:p>
            <w:pPr>
              <w:keepNext/>
              <w:spacing w:after="0"/>
              <w:jc w:val="center"/>
            </w:pPr>
            <w:r>
              <w:rPr>
                <w:rFonts w:ascii="Arial" w:hAnsi="Arial"/>
                <w:b/>
                <w:i w:val="0"/>
                <w:color w:val="55891A"/>
                <w:sz w:val="17"/>
              </w:rPr>
              <w:t>Fridge carrying</w:t>
            </w:r>
          </w:p>
        </w:tc>
        <w:tc>
          <w:tcPr>
            <w:tcW w:type="dxa" w:w="907"/>
            <w:tcBorders>
              <w:bottom w:val="single" w:sz="12" w:space="0" w:color="55891A"/>
            </w:tcBorders>
          </w:tcPr>
          <w:p>
            <w:pPr>
              <w:keepNext/>
              <w:spacing w:after="0"/>
              <w:jc w:val="center"/>
            </w:pPr>
            <w:r>
              <w:rPr>
                <w:rFonts w:ascii="Arial" w:hAnsi="Arial"/>
                <w:b/>
                <w:i w:val="0"/>
                <w:color w:val="55891A"/>
                <w:sz w:val="17"/>
              </w:rPr>
              <w:t>Catering</w:t>
            </w:r>
          </w:p>
        </w:tc>
        <w:tc>
          <w:tcPr>
            <w:tcW w:type="dxa" w:w="1020"/>
            <w:tcBorders>
              <w:bottom w:val="single" w:sz="12" w:space="0" w:color="55891A"/>
            </w:tcBorders>
          </w:tcPr>
          <w:p>
            <w:pPr>
              <w:keepNext/>
              <w:spacing w:after="0"/>
              <w:jc w:val="center"/>
            </w:pPr>
            <w:r>
              <w:rPr>
                <w:rFonts w:ascii="Arial" w:hAnsi="Arial"/>
                <w:b/>
                <w:i w:val="0"/>
                <w:color w:val="55891A"/>
                <w:sz w:val="17"/>
              </w:rPr>
              <w:t>Transport</w:t>
            </w:r>
          </w:p>
        </w:tc>
        <w:tc>
          <w:tcPr>
            <w:tcW w:type="dxa" w:w="79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1814"/>
          </w:tcPr>
          <w:p>
            <w:pPr>
              <w:keepNext/>
              <w:spacing w:after="0"/>
            </w:pPr>
            <w:r>
              <w:rPr>
                <w:rFonts w:ascii="Arial" w:hAnsi="Arial"/>
                <w:b w:val="0"/>
                <w:i w:val="0"/>
                <w:color w:val="1B2610"/>
                <w:sz w:val="18"/>
              </w:rPr>
              <w:t>Mogadishu</w:t>
            </w:r>
          </w:p>
        </w:tc>
        <w:tc>
          <w:tcPr>
            <w:tcW w:type="dxa" w:w="1587"/>
          </w:tcPr>
          <w:p>
            <w:pPr>
              <w:keepNext/>
              <w:spacing w:after="0"/>
            </w:pPr>
            <w:r>
              <w:rPr>
                <w:rFonts w:ascii="Arial" w:hAnsi="Arial"/>
                <w:b w:val="0"/>
                <w:i w:val="0"/>
                <w:color w:val="1B2610"/>
                <w:sz w:val="18"/>
              </w:rPr>
              <w:t>6 Sep 2026</w:t>
            </w:r>
          </w:p>
        </w:tc>
        <w:tc>
          <w:tcPr>
            <w:tcW w:type="dxa" w:w="1134"/>
          </w:tcPr>
          <w:p>
            <w:pPr>
              <w:keepNext/>
              <w:spacing w:after="0"/>
              <w:jc w:val="center"/>
            </w:pPr>
            <w:r>
              <w:rPr>
                <w:rFonts w:ascii="Arial" w:hAnsi="Arial"/>
                <w:b w:val="0"/>
                <w:i w:val="0"/>
                <w:color w:val="1B2610"/>
                <w:sz w:val="18"/>
              </w:rPr>
              <w:t>200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No</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1814"/>
            <w:tcBorders>
              <w:top w:val="single" w:sz="8" w:space="0" w:color="55891A"/>
            </w:tcBorders>
          </w:tcPr>
          <w:p>
            <w:pPr>
              <w:spacing w:after="0"/>
            </w:pPr>
            <w:r>
              <w:rPr>
                <w:rFonts w:ascii="Arial" w:hAnsi="Arial"/>
                <w:b/>
                <w:i w:val="0"/>
                <w:color w:val="1B2610"/>
                <w:sz w:val="18"/>
              </w:rPr>
              <w:t>Total</w:t>
            </w:r>
          </w:p>
        </w:tc>
        <w:tc>
          <w:tcPr>
            <w:tcW w:type="dxa" w:w="1587"/>
            <w:tcBorders>
              <w:top w:val="single" w:sz="8" w:space="0" w:color="55891A"/>
            </w:tcBorders>
          </w:tcPr>
          <w:p>
            <w:pPr>
              <w:spacing w:after="0"/>
            </w:pPr>
            <w:r>
              <w:rPr>
                <w:rFonts w:ascii="Arial" w:hAnsi="Arial"/>
                <w:b/>
                <w:i w:val="0"/>
                <w:color w:val="1B2610"/>
                <w:sz w:val="18"/>
              </w:rPr>
            </w:r>
          </w:p>
        </w:tc>
        <w:tc>
          <w:tcPr>
            <w:tcW w:type="dxa" w:w="1134"/>
            <w:tcBorders>
              <w:top w:val="single" w:sz="8" w:space="0" w:color="55891A"/>
            </w:tcBorders>
          </w:tcPr>
          <w:p>
            <w:pPr>
              <w:spacing w:after="0"/>
              <w:jc w:val="center"/>
            </w:pPr>
            <w:r>
              <w:rPr>
                <w:rFonts w:ascii="Arial" w:hAnsi="Arial"/>
                <w:b/>
                <w:i w:val="0"/>
                <w:color w:val="1B2610"/>
                <w:sz w:val="18"/>
              </w:rPr>
              <w:t>200</w:t>
            </w:r>
          </w:p>
        </w:tc>
        <w:tc>
          <w:tcPr>
            <w:tcW w:type="dxa" w:w="1247"/>
            <w:tcBorders>
              <w:top w:val="single" w:sz="8" w:space="0" w:color="55891A"/>
            </w:tcBorders>
          </w:tcPr>
          <w:p>
            <w:pPr>
              <w:spacing w:after="0"/>
              <w:jc w:val="center"/>
            </w:pPr>
            <w:r>
              <w:rPr>
                <w:rFonts w:ascii="Arial" w:hAnsi="Arial"/>
                <w:b/>
                <w:i w:val="0"/>
                <w:color w:val="1B2610"/>
                <w:sz w:val="18"/>
              </w:rPr>
              <w:t>1</w:t>
            </w:r>
          </w:p>
        </w:tc>
        <w:tc>
          <w:tcPr>
            <w:tcW w:type="dxa" w:w="907"/>
            <w:tcBorders>
              <w:top w:val="single" w:sz="8" w:space="0" w:color="55891A"/>
            </w:tcBorders>
          </w:tcPr>
          <w:p>
            <w:pPr>
              <w:spacing w:after="0"/>
              <w:jc w:val="center"/>
            </w:pPr>
            <w:r>
              <w:rPr>
                <w:rFonts w:ascii="Arial" w:hAnsi="Arial"/>
                <w:b/>
                <w:i w:val="0"/>
                <w:color w:val="1B2610"/>
                <w:sz w:val="18"/>
              </w:rPr>
              <w:t>0</w:t>
            </w:r>
          </w:p>
        </w:tc>
        <w:tc>
          <w:tcPr>
            <w:tcW w:type="dxa" w:w="1020"/>
            <w:tcBorders>
              <w:top w:val="single" w:sz="8" w:space="0" w:color="55891A"/>
            </w:tcBorders>
          </w:tcPr>
          <w:p>
            <w:pPr>
              <w:spacing w:after="0"/>
              <w:jc w:val="center"/>
            </w:pPr>
            <w:r>
              <w:rPr>
                <w:rFonts w:ascii="Arial" w:hAnsi="Arial"/>
                <w:b/>
                <w:i w:val="0"/>
                <w:color w:val="1B2610"/>
                <w:sz w:val="18"/>
              </w:rPr>
              <w:t>1</w:t>
            </w:r>
          </w:p>
        </w:tc>
        <w:tc>
          <w:tcPr>
            <w:tcW w:type="dxa" w:w="794"/>
            <w:tcBorders>
              <w:top w:val="single" w:sz="8" w:space="0" w:color="55891A"/>
            </w:tcBorders>
          </w:tcPr>
          <w:p>
            <w:pPr>
              <w:spacing w:after="0"/>
              <w:jc w:val="center"/>
            </w:pPr>
            <w:r>
              <w:rPr>
                <w:rFonts w:ascii="Arial" w:hAnsi="Arial"/>
                <w:b/>
                <w:i w:val="0"/>
                <w:color w:val="1B2610"/>
                <w:sz w:val="18"/>
              </w:rPr>
              <w:t>1</w:t>
            </w:r>
          </w:p>
        </w:tc>
      </w:tr>
    </w:tbl>
    <w:p>
      <w:pPr>
        <w:spacing w:after="40"/>
      </w:pPr>
    </w:p>
    <w:p>
      <w:pPr>
        <w:pStyle w:val="Heading1"/>
      </w:pPr>
      <w:r>
        <w:t>5. Logistics and Coordination</w:t>
      </w:r>
    </w:p>
    <w:p>
      <w:r>
        <w:rPr>
          <w:rFonts w:ascii="Arial" w:hAnsi="Arial"/>
          <w:b w:val="0"/>
          <w:i w:val="0"/>
          <w:color w:val="1B2610"/>
          <w:sz w:val="20"/>
        </w:rPr>
        <w:t>Each district in Banadir (Mogadishu)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Heading2"/>
      </w:pPr>
      <w:r>
        <w:t>5.2 Catering</w:t>
      </w:r>
    </w:p>
    <w:p>
      <w:r>
        <w:rPr>
          <w:rFonts w:ascii="Arial" w:hAnsi="Arial"/>
          <w:b w:val="0"/>
          <w:i w:val="0"/>
          <w:color w:val="1B2610"/>
          <w:sz w:val="20"/>
        </w:rPr>
        <w:t>Catering was provided in Afgoye and Balcad only, as set out in the contract. No catering was provided in Banadir (Mogadishu).</w:t>
      </w:r>
    </w:p>
    <w:p>
      <w:pPr>
        <w:pStyle w:val="Heading2"/>
      </w:pPr>
      <w:r>
        <w:t>5.3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Banadir (Mogadishu);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5.4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the ceremony in Banadir (Mogadishu). The full media files are available at: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District</w:t>
            </w:r>
          </w:p>
        </w:tc>
        <w:tc>
          <w:tcPr>
            <w:tcW w:type="dxa" w:w="6520"/>
            <w:tcBorders>
              <w:bottom w:val="single" w:sz="12" w:space="0" w:color="55891A"/>
            </w:tcBorders>
          </w:tcPr>
          <w:p>
            <w:pPr>
              <w:keepNext/>
              <w:spacing w:after="0"/>
            </w:pPr>
            <w:r>
              <w:rPr>
                <w:rFonts w:ascii="Arial" w:hAnsi="Arial"/>
                <w:b/>
                <w:i w:val="0"/>
                <w:color w:val="55891A"/>
                <w:sz w:val="17"/>
              </w:rPr>
              <w:t>Media link / folder (photos and videos)</w:t>
            </w:r>
          </w:p>
        </w:tc>
      </w:tr>
      <w:tr>
        <w:trPr>
          <w:cantSplit/>
        </w:trPr>
        <w:tc>
          <w:tcPr>
            <w:tcW w:type="dxa" w:w="2268"/>
          </w:tcPr>
          <w:p>
            <w:pPr>
              <w:spacing w:after="0"/>
            </w:pPr>
            <w:r>
              <w:rPr>
                <w:rFonts w:ascii="Arial" w:hAnsi="Arial"/>
                <w:b w:val="0"/>
                <w:i w:val="0"/>
                <w:color w:val="1B2610"/>
                <w:sz w:val="18"/>
              </w:rPr>
              <w:t>Mogadishu</w:t>
            </w:r>
          </w:p>
        </w:tc>
        <w:tc>
          <w:tcPr>
            <w:tcW w:type="dxa" w:w="6520"/>
          </w:tcPr>
          <w:p>
            <w:pPr>
              <w:spacing w:after="0"/>
            </w:pPr>
            <w:hyperlink r:id="rId13">
              <w:r>
                <w:rPr>
                  <w:rFonts w:ascii="Arial" w:hAnsi="Arial" w:cs="Arial"/>
                  <w:color w:val="55891A"/>
                  <w:sz w:val="17"/>
                  <w:u w:val="single"/>
                </w:rPr>
                <w:t>https://www.facebook.com/reel/916665714471740</w:t>
              </w:r>
            </w:hyperlink>
          </w:p>
        </w:tc>
      </w:tr>
    </w:tbl>
    <w:p>
      <w:pPr>
        <w:spacing w:after="40"/>
      </w:pP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Banadir (Mogadishu),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Prepared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4"/>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5"/>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Banadir (Mogadishu)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BANADIR (MOGADISHU)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yperlink" Target="https://www.facebook.com/reel/916665714471740" TargetMode="External"/><Relationship Id="rId14" Type="http://schemas.openxmlformats.org/officeDocument/2006/relationships/image" Target="media/image2.png"/><Relationship Id="rId15"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