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Galmudug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Galmudug: 3 districts (Dhusamareeb, Cadaado and Galkacyo)</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18 August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Galmudug: Dhusamareeb, Cadaado and Galkacyo.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Galmudug, Rasmi Logistic Service supported fridge handover ceremonies in </w:t>
      </w:r>
      <w:r>
        <w:rPr>
          <w:rFonts w:ascii="Arial" w:hAnsi="Arial"/>
          <w:b/>
          <w:i w:val="0"/>
          <w:color w:val="1B2610"/>
          <w:sz w:val="20"/>
        </w:rPr>
        <w:t>3 districts</w:t>
      </w:r>
      <w:r>
        <w:rPr>
          <w:rFonts w:ascii="Arial" w:hAnsi="Arial"/>
          <w:b w:val="0"/>
          <w:i w:val="0"/>
          <w:color w:val="1B2610"/>
          <w:sz w:val="20"/>
        </w:rPr>
        <w:t xml:space="preserve"> on 18 August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3</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Galmudug</w:t>
            </w:r>
          </w:p>
        </w:tc>
        <w:tc>
          <w:tcPr>
            <w:tcW w:type="dxa" w:w="2353"/>
          </w:tcPr>
          <w:p>
            <w:pPr>
              <w:spacing w:after="40"/>
              <w:jc w:val="center"/>
            </w:pPr>
            <w:r>
              <w:rPr>
                <w:rFonts w:ascii="Arial" w:hAnsi="Arial"/>
                <w:b/>
                <w:i w:val="0"/>
                <w:color w:val="55891A"/>
                <w:sz w:val="22"/>
              </w:rPr>
              <w:t>18 Aug 2026</w:t>
            </w:r>
          </w:p>
        </w:tc>
      </w:tr>
    </w:tbl>
    <w:p/>
    <w:p>
      <w:r>
        <w:rPr>
          <w:rFonts w:ascii="Arial" w:hAnsi="Arial"/>
          <w:b/>
          <w:i w:val="0"/>
          <w:color w:val="1B2610"/>
          <w:sz w:val="20"/>
        </w:rPr>
        <w:t>Services delivered in Galmudug:</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3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3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3 districts.</w:t>
      </w:r>
    </w:p>
    <w:p>
      <w:pPr>
        <w:pStyle w:val="ListBullet"/>
      </w:pPr>
      <w:r>
        <w:rPr>
          <w:rFonts w:ascii="Arial" w:hAnsi="Arial"/>
          <w:b/>
          <w:i w:val="0"/>
          <w:color w:val="1B2610"/>
          <w:sz w:val="20"/>
        </w:rPr>
        <w:t>Catering</w:t>
      </w:r>
      <w:r>
        <w:rPr>
          <w:rFonts w:ascii="Arial" w:hAnsi="Arial"/>
          <w:b w:val="0"/>
          <w:i w:val="0"/>
          <w:color w:val="1B2610"/>
          <w:sz w:val="20"/>
        </w:rPr>
        <w:t xml:space="preserve"> was not provided in Galmudug.</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keepNext/>
              <w:spacing w:after="0"/>
            </w:pPr>
            <w:r>
              <w:rPr>
                <w:rFonts w:ascii="Arial" w:hAnsi="Arial"/>
                <w:b w:val="0"/>
                <w:i w:val="0"/>
                <w:color w:val="1B2610"/>
                <w:sz w:val="18"/>
              </w:rPr>
              <w:t>Catering</w:t>
            </w:r>
          </w:p>
        </w:tc>
        <w:tc>
          <w:tcPr>
            <w:tcW w:type="dxa" w:w="4819"/>
          </w:tcPr>
          <w:p>
            <w:pPr>
              <w:keepNext/>
              <w:spacing w:after="0"/>
            </w:pPr>
            <w:r>
              <w:rPr>
                <w:rFonts w:ascii="Arial" w:hAnsi="Arial"/>
                <w:b w:val="0"/>
                <w:i w:val="0"/>
                <w:color w:val="1B2610"/>
                <w:sz w:val="18"/>
              </w:rPr>
              <w:t>Refreshments for participants and guests at the ceremony.</w:t>
            </w:r>
          </w:p>
        </w:tc>
        <w:tc>
          <w:tcPr>
            <w:tcW w:type="dxa" w:w="1701"/>
          </w:tcPr>
          <w:p>
            <w:pPr>
              <w:keepNext/>
              <w:spacing w:after="0"/>
            </w:pPr>
            <w:r>
              <w:rPr>
                <w:rFonts w:ascii="Arial" w:hAnsi="Arial"/>
                <w:b w:val="0"/>
                <w:i w:val="0"/>
                <w:color w:val="1B2610"/>
                <w:sz w:val="18"/>
              </w:rPr>
              <w:t>Not provided in this area</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3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All media is available through the link in Section 6.</w:t>
            </w:r>
          </w:p>
        </w:tc>
        <w:tc>
          <w:tcPr>
            <w:tcW w:type="dxa" w:w="1701"/>
          </w:tcPr>
          <w:p>
            <w:pPr>
              <w:spacing w:after="0"/>
            </w:pPr>
            <w:r>
              <w:rPr>
                <w:rFonts w:ascii="Arial" w:hAnsi="Arial"/>
                <w:b w:val="0"/>
                <w:i w:val="0"/>
                <w:color w:val="1B2610"/>
                <w:sz w:val="18"/>
              </w:rPr>
              <w:t>All 3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1814"/>
        <w:gridCol w:w="1587"/>
        <w:gridCol w:w="1134"/>
        <w:gridCol w:w="1247"/>
        <w:gridCol w:w="907"/>
        <w:gridCol w:w="1020"/>
        <w:gridCol w:w="79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1814"/>
            <w:tcBorders>
              <w:bottom w:val="single" w:sz="12" w:space="0" w:color="55891A"/>
            </w:tcBorders>
          </w:tcPr>
          <w:p>
            <w:pPr>
              <w:keepNext/>
              <w:spacing w:after="0"/>
            </w:pPr>
            <w:r>
              <w:rPr>
                <w:rFonts w:ascii="Arial" w:hAnsi="Arial"/>
                <w:b/>
                <w:i w:val="0"/>
                <w:color w:val="55891A"/>
                <w:sz w:val="17"/>
              </w:rPr>
              <w:t>District</w:t>
            </w:r>
          </w:p>
        </w:tc>
        <w:tc>
          <w:tcPr>
            <w:tcW w:type="dxa" w:w="1587"/>
            <w:tcBorders>
              <w:bottom w:val="single" w:sz="12" w:space="0" w:color="55891A"/>
            </w:tcBorders>
          </w:tcPr>
          <w:p>
            <w:pPr>
              <w:keepNext/>
              <w:spacing w:after="0"/>
            </w:pPr>
            <w:r>
              <w:rPr>
                <w:rFonts w:ascii="Arial" w:hAnsi="Arial"/>
                <w:b/>
                <w:i w:val="0"/>
                <w:color w:val="55891A"/>
                <w:sz w:val="17"/>
              </w:rPr>
              <w:t>Date</w:t>
            </w:r>
          </w:p>
        </w:tc>
        <w:tc>
          <w:tcPr>
            <w:tcW w:type="dxa" w:w="1134"/>
            <w:tcBorders>
              <w:bottom w:val="single" w:sz="12" w:space="0" w:color="55891A"/>
            </w:tcBorders>
          </w:tcPr>
          <w:p>
            <w:pPr>
              <w:keepNext/>
              <w:spacing w:after="0"/>
              <w:jc w:val="center"/>
            </w:pPr>
            <w:r>
              <w:rPr>
                <w:rFonts w:ascii="Arial" w:hAnsi="Arial"/>
                <w:b/>
                <w:i w:val="0"/>
                <w:color w:val="55891A"/>
                <w:sz w:val="17"/>
              </w:rPr>
              <w:t>Families</w:t>
            </w:r>
          </w:p>
        </w:tc>
        <w:tc>
          <w:tcPr>
            <w:tcW w:type="dxa" w:w="1247"/>
            <w:tcBorders>
              <w:bottom w:val="single" w:sz="12" w:space="0" w:color="55891A"/>
            </w:tcBorders>
          </w:tcPr>
          <w:p>
            <w:pPr>
              <w:keepNext/>
              <w:spacing w:after="0"/>
              <w:jc w:val="center"/>
            </w:pPr>
            <w:r>
              <w:rPr>
                <w:rFonts w:ascii="Arial" w:hAnsi="Arial"/>
                <w:b/>
                <w:i w:val="0"/>
                <w:color w:val="55891A"/>
                <w:sz w:val="17"/>
              </w:rPr>
              <w:t>Fridge carrying</w:t>
            </w:r>
          </w:p>
        </w:tc>
        <w:tc>
          <w:tcPr>
            <w:tcW w:type="dxa" w:w="907"/>
            <w:tcBorders>
              <w:bottom w:val="single" w:sz="12" w:space="0" w:color="55891A"/>
            </w:tcBorders>
          </w:tcPr>
          <w:p>
            <w:pPr>
              <w:keepNext/>
              <w:spacing w:after="0"/>
              <w:jc w:val="center"/>
            </w:pPr>
            <w:r>
              <w:rPr>
                <w:rFonts w:ascii="Arial" w:hAnsi="Arial"/>
                <w:b/>
                <w:i w:val="0"/>
                <w:color w:val="55891A"/>
                <w:sz w:val="17"/>
              </w:rPr>
              <w:t>Catering</w:t>
            </w:r>
          </w:p>
        </w:tc>
        <w:tc>
          <w:tcPr>
            <w:tcW w:type="dxa" w:w="1020"/>
            <w:tcBorders>
              <w:bottom w:val="single" w:sz="12" w:space="0" w:color="55891A"/>
            </w:tcBorders>
          </w:tcPr>
          <w:p>
            <w:pPr>
              <w:keepNext/>
              <w:spacing w:after="0"/>
              <w:jc w:val="center"/>
            </w:pPr>
            <w:r>
              <w:rPr>
                <w:rFonts w:ascii="Arial" w:hAnsi="Arial"/>
                <w:b/>
                <w:i w:val="0"/>
                <w:color w:val="55891A"/>
                <w:sz w:val="17"/>
              </w:rPr>
              <w:t>Transport</w:t>
            </w:r>
          </w:p>
        </w:tc>
        <w:tc>
          <w:tcPr>
            <w:tcW w:type="dxa" w:w="79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1814"/>
          </w:tcPr>
          <w:p>
            <w:pPr>
              <w:keepNext/>
              <w:spacing w:after="0"/>
            </w:pPr>
            <w:r>
              <w:rPr>
                <w:rFonts w:ascii="Arial" w:hAnsi="Arial"/>
                <w:b w:val="0"/>
                <w:i w:val="0"/>
                <w:color w:val="1B2610"/>
                <w:sz w:val="18"/>
              </w:rPr>
              <w:t>Dhusamareeb</w:t>
            </w:r>
          </w:p>
        </w:tc>
        <w:tc>
          <w:tcPr>
            <w:tcW w:type="dxa" w:w="1587"/>
          </w:tcPr>
          <w:p>
            <w:pPr>
              <w:keepNext/>
              <w:spacing w:after="0"/>
            </w:pPr>
            <w:r>
              <w:rPr>
                <w:rFonts w:ascii="Arial" w:hAnsi="Arial"/>
                <w:b w:val="0"/>
                <w:i w:val="0"/>
                <w:color w:val="1B2610"/>
                <w:sz w:val="18"/>
              </w:rPr>
              <w:t>18 Aug 2026</w:t>
            </w:r>
          </w:p>
        </w:tc>
        <w:tc>
          <w:tcPr>
            <w:tcW w:type="dxa" w:w="1134"/>
          </w:tcPr>
          <w:p>
            <w:pPr>
              <w:keepNext/>
              <w:spacing w:after="0"/>
              <w:jc w:val="center"/>
            </w:pPr>
            <w:r>
              <w:rPr>
                <w:rFonts w:ascii="Arial" w:hAnsi="Arial"/>
                <w:b w:val="0"/>
                <w:i w:val="0"/>
                <w:color w:val="1B2610"/>
                <w:sz w:val="18"/>
              </w:rPr>
              <w:t>80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No</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1814"/>
          </w:tcPr>
          <w:p>
            <w:pPr>
              <w:keepNext/>
              <w:spacing w:after="0"/>
            </w:pPr>
            <w:r>
              <w:rPr>
                <w:rFonts w:ascii="Arial" w:hAnsi="Arial"/>
                <w:b w:val="0"/>
                <w:i w:val="0"/>
                <w:color w:val="1B2610"/>
                <w:sz w:val="18"/>
              </w:rPr>
              <w:t>Cadaado</w:t>
            </w:r>
          </w:p>
        </w:tc>
        <w:tc>
          <w:tcPr>
            <w:tcW w:type="dxa" w:w="1587"/>
          </w:tcPr>
          <w:p>
            <w:pPr>
              <w:keepNext/>
              <w:spacing w:after="0"/>
            </w:pPr>
            <w:r>
              <w:rPr>
                <w:rFonts w:ascii="Arial" w:hAnsi="Arial"/>
                <w:b w:val="0"/>
                <w:i w:val="0"/>
                <w:color w:val="1B2610"/>
                <w:sz w:val="18"/>
              </w:rPr>
              <w:t>18 Aug 2026</w:t>
            </w:r>
          </w:p>
        </w:tc>
        <w:tc>
          <w:tcPr>
            <w:tcW w:type="dxa" w:w="1134"/>
          </w:tcPr>
          <w:p>
            <w:pPr>
              <w:keepNext/>
              <w:spacing w:after="0"/>
              <w:jc w:val="center"/>
            </w:pPr>
            <w:r>
              <w:rPr>
                <w:rFonts w:ascii="Arial" w:hAnsi="Arial"/>
                <w:b w:val="0"/>
                <w:i w:val="0"/>
                <w:color w:val="1B2610"/>
                <w:sz w:val="18"/>
              </w:rPr>
              <w:t>60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No</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3</w:t>
            </w:r>
          </w:p>
        </w:tc>
        <w:tc>
          <w:tcPr>
            <w:tcW w:type="dxa" w:w="1814"/>
          </w:tcPr>
          <w:p>
            <w:pPr>
              <w:keepNext/>
              <w:spacing w:after="0"/>
            </w:pPr>
            <w:r>
              <w:rPr>
                <w:rFonts w:ascii="Arial" w:hAnsi="Arial"/>
                <w:b w:val="0"/>
                <w:i w:val="0"/>
                <w:color w:val="1B2610"/>
                <w:sz w:val="18"/>
              </w:rPr>
              <w:t>Galkacyo</w:t>
            </w:r>
          </w:p>
        </w:tc>
        <w:tc>
          <w:tcPr>
            <w:tcW w:type="dxa" w:w="1587"/>
          </w:tcPr>
          <w:p>
            <w:pPr>
              <w:keepNext/>
              <w:spacing w:after="0"/>
            </w:pPr>
            <w:r>
              <w:rPr>
                <w:rFonts w:ascii="Arial" w:hAnsi="Arial"/>
                <w:b w:val="0"/>
                <w:i w:val="0"/>
                <w:color w:val="1B2610"/>
                <w:sz w:val="18"/>
              </w:rPr>
              <w:t>18 Aug 2026</w:t>
            </w:r>
          </w:p>
        </w:tc>
        <w:tc>
          <w:tcPr>
            <w:tcW w:type="dxa" w:w="1134"/>
          </w:tcPr>
          <w:p>
            <w:pPr>
              <w:keepNext/>
              <w:spacing w:after="0"/>
              <w:jc w:val="center"/>
            </w:pPr>
            <w:r>
              <w:rPr>
                <w:rFonts w:ascii="Arial" w:hAnsi="Arial"/>
                <w:b w:val="0"/>
                <w:i w:val="0"/>
                <w:color w:val="1B2610"/>
                <w:sz w:val="18"/>
              </w:rPr>
              <w:t>60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No</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1814"/>
            <w:tcBorders>
              <w:top w:val="single" w:sz="8" w:space="0" w:color="55891A"/>
            </w:tcBorders>
          </w:tcPr>
          <w:p>
            <w:pPr>
              <w:spacing w:after="0"/>
            </w:pPr>
            <w:r>
              <w:rPr>
                <w:rFonts w:ascii="Arial" w:hAnsi="Arial"/>
                <w:b/>
                <w:i w:val="0"/>
                <w:color w:val="1B2610"/>
                <w:sz w:val="18"/>
              </w:rPr>
              <w:t>Total</w:t>
            </w:r>
          </w:p>
        </w:tc>
        <w:tc>
          <w:tcPr>
            <w:tcW w:type="dxa" w:w="1587"/>
            <w:tcBorders>
              <w:top w:val="single" w:sz="8" w:space="0" w:color="55891A"/>
            </w:tcBorders>
          </w:tcPr>
          <w:p>
            <w:pPr>
              <w:spacing w:after="0"/>
            </w:pPr>
            <w:r>
              <w:rPr>
                <w:rFonts w:ascii="Arial" w:hAnsi="Arial"/>
                <w:b/>
                <w:i w:val="0"/>
                <w:color w:val="1B2610"/>
                <w:sz w:val="18"/>
              </w:rPr>
            </w:r>
          </w:p>
        </w:tc>
        <w:tc>
          <w:tcPr>
            <w:tcW w:type="dxa" w:w="1134"/>
            <w:tcBorders>
              <w:top w:val="single" w:sz="8" w:space="0" w:color="55891A"/>
            </w:tcBorders>
          </w:tcPr>
          <w:p>
            <w:pPr>
              <w:spacing w:after="0"/>
              <w:jc w:val="center"/>
            </w:pPr>
            <w:r>
              <w:rPr>
                <w:rFonts w:ascii="Arial" w:hAnsi="Arial"/>
                <w:b/>
                <w:i w:val="0"/>
                <w:color w:val="1B2610"/>
                <w:sz w:val="18"/>
              </w:rPr>
              <w:t>200</w:t>
            </w:r>
          </w:p>
        </w:tc>
        <w:tc>
          <w:tcPr>
            <w:tcW w:type="dxa" w:w="1247"/>
            <w:tcBorders>
              <w:top w:val="single" w:sz="8" w:space="0" w:color="55891A"/>
            </w:tcBorders>
          </w:tcPr>
          <w:p>
            <w:pPr>
              <w:spacing w:after="0"/>
              <w:jc w:val="center"/>
            </w:pPr>
            <w:r>
              <w:rPr>
                <w:rFonts w:ascii="Arial" w:hAnsi="Arial"/>
                <w:b/>
                <w:i w:val="0"/>
                <w:color w:val="1B2610"/>
                <w:sz w:val="18"/>
              </w:rPr>
              <w:t>3</w:t>
            </w:r>
          </w:p>
        </w:tc>
        <w:tc>
          <w:tcPr>
            <w:tcW w:type="dxa" w:w="907"/>
            <w:tcBorders>
              <w:top w:val="single" w:sz="8" w:space="0" w:color="55891A"/>
            </w:tcBorders>
          </w:tcPr>
          <w:p>
            <w:pPr>
              <w:spacing w:after="0"/>
              <w:jc w:val="center"/>
            </w:pPr>
            <w:r>
              <w:rPr>
                <w:rFonts w:ascii="Arial" w:hAnsi="Arial"/>
                <w:b/>
                <w:i w:val="0"/>
                <w:color w:val="1B2610"/>
                <w:sz w:val="18"/>
              </w:rPr>
              <w:t>0</w:t>
            </w:r>
          </w:p>
        </w:tc>
        <w:tc>
          <w:tcPr>
            <w:tcW w:type="dxa" w:w="1020"/>
            <w:tcBorders>
              <w:top w:val="single" w:sz="8" w:space="0" w:color="55891A"/>
            </w:tcBorders>
          </w:tcPr>
          <w:p>
            <w:pPr>
              <w:spacing w:after="0"/>
              <w:jc w:val="center"/>
            </w:pPr>
            <w:r>
              <w:rPr>
                <w:rFonts w:ascii="Arial" w:hAnsi="Arial"/>
                <w:b/>
                <w:i w:val="0"/>
                <w:color w:val="1B2610"/>
                <w:sz w:val="18"/>
              </w:rPr>
              <w:t>3</w:t>
            </w:r>
          </w:p>
        </w:tc>
        <w:tc>
          <w:tcPr>
            <w:tcW w:type="dxa" w:w="794"/>
            <w:tcBorders>
              <w:top w:val="single" w:sz="8" w:space="0" w:color="55891A"/>
            </w:tcBorders>
          </w:tcPr>
          <w:p>
            <w:pPr>
              <w:spacing w:after="0"/>
              <w:jc w:val="center"/>
            </w:pPr>
            <w:r>
              <w:rPr>
                <w:rFonts w:ascii="Arial" w:hAnsi="Arial"/>
                <w:b/>
                <w:i w:val="0"/>
                <w:color w:val="1B2610"/>
                <w:sz w:val="18"/>
              </w:rPr>
              <w:t>3</w:t>
            </w:r>
          </w:p>
        </w:tc>
      </w:tr>
    </w:tbl>
    <w:p>
      <w:pPr>
        <w:spacing w:after="40"/>
      </w:pPr>
    </w:p>
    <w:p>
      <w:pPr>
        <w:pStyle w:val="Heading1"/>
      </w:pPr>
      <w:r>
        <w:t>5. Logistics and Coordination</w:t>
      </w:r>
    </w:p>
    <w:p>
      <w:r>
        <w:rPr>
          <w:rFonts w:ascii="Arial" w:hAnsi="Arial"/>
          <w:b w:val="0"/>
          <w:i w:val="0"/>
          <w:color w:val="1B2610"/>
          <w:sz w:val="20"/>
        </w:rPr>
        <w:t>Each district in Galmudug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Galkacyo – Cadaado</w:t>
      </w:r>
    </w:p>
    <w:p>
      <w:pPr>
        <w:pStyle w:val="ListBullet2"/>
      </w:pPr>
      <w:r>
        <w:rPr>
          <w:rFonts w:ascii="Arial" w:hAnsi="Arial"/>
          <w:b w:val="0"/>
          <w:i w:val="0"/>
          <w:color w:val="1B2610"/>
          <w:sz w:val="20"/>
        </w:rPr>
        <w:t>Cadaado – Dhusamareeb</w:t>
      </w:r>
    </w:p>
    <w:p>
      <w:pPr>
        <w:pStyle w:val="ListBullet2"/>
      </w:pPr>
      <w:r>
        <w:rPr>
          <w:rFonts w:ascii="Arial" w:hAnsi="Arial"/>
          <w:b w:val="0"/>
          <w:i w:val="0"/>
          <w:color w:val="1B2610"/>
          <w:sz w:val="20"/>
        </w:rPr>
        <w:t>Dhusamareeb – Guriel Airport (flight from Mogadishu unavailable)</w:t>
      </w:r>
    </w:p>
    <w:p>
      <w:pPr>
        <w:pStyle w:val="Heading2"/>
      </w:pPr>
      <w:r>
        <w:t>5.2 Catering</w:t>
      </w:r>
    </w:p>
    <w:p>
      <w:r>
        <w:rPr>
          <w:rFonts w:ascii="Arial" w:hAnsi="Arial"/>
          <w:b w:val="0"/>
          <w:i w:val="0"/>
          <w:color w:val="1B2610"/>
          <w:sz w:val="20"/>
        </w:rPr>
        <w:t>Catering was provided in Afgoye and Balcad only, as set out in the contract. No catering was provided in Galmudug.</w:t>
      </w:r>
    </w:p>
    <w:p>
      <w:pPr>
        <w:pStyle w:val="Heading2"/>
      </w:pPr>
      <w:r>
        <w:t>5.3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Galmudug;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5.4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3 ceremonies in Galmudug. The full media files are available at: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District</w:t>
            </w:r>
          </w:p>
        </w:tc>
        <w:tc>
          <w:tcPr>
            <w:tcW w:type="dxa" w:w="6520"/>
            <w:tcBorders>
              <w:bottom w:val="single" w:sz="12" w:space="0" w:color="55891A"/>
            </w:tcBorders>
          </w:tcPr>
          <w:p>
            <w:pPr>
              <w:keepNext/>
              <w:spacing w:after="0"/>
            </w:pPr>
            <w:r>
              <w:rPr>
                <w:rFonts w:ascii="Arial" w:hAnsi="Arial"/>
                <w:b/>
                <w:i w:val="0"/>
                <w:color w:val="55891A"/>
                <w:sz w:val="17"/>
              </w:rPr>
              <w:t>Media link / folder (photos and videos)</w:t>
            </w:r>
          </w:p>
        </w:tc>
      </w:tr>
      <w:tr>
        <w:trPr>
          <w:cantSplit/>
        </w:trPr>
        <w:tc>
          <w:tcPr>
            <w:tcW w:type="dxa" w:w="2268"/>
          </w:tcPr>
          <w:p>
            <w:pPr>
              <w:keepNext/>
              <w:spacing w:after="0"/>
            </w:pPr>
            <w:r>
              <w:rPr>
                <w:rFonts w:ascii="Arial" w:hAnsi="Arial"/>
                <w:b w:val="0"/>
                <w:i w:val="0"/>
                <w:color w:val="1B2610"/>
                <w:sz w:val="18"/>
              </w:rPr>
              <w:t>Dhusamareeb</w:t>
            </w:r>
          </w:p>
        </w:tc>
        <w:tc>
          <w:tcPr>
            <w:tcW w:type="dxa" w:w="6520"/>
          </w:tcPr>
          <w:p>
            <w:pPr>
              <w:keepNext/>
              <w:spacing w:after="0"/>
            </w:pPr>
            <w:r>
              <w:rPr>
                <w:rFonts w:ascii="Arial" w:hAnsi="Arial"/>
                <w:b w:val="0"/>
                <w:i w:val="0"/>
                <w:color w:val="1B2610"/>
                <w:sz w:val="18"/>
              </w:rPr>
              <w:t>[link]</w:t>
            </w:r>
          </w:p>
        </w:tc>
      </w:tr>
      <w:tr>
        <w:trPr>
          <w:cantSplit/>
        </w:trPr>
        <w:tc>
          <w:tcPr>
            <w:tcW w:type="dxa" w:w="2268"/>
          </w:tcPr>
          <w:p>
            <w:pPr>
              <w:keepNext/>
              <w:spacing w:after="0"/>
            </w:pPr>
            <w:r>
              <w:rPr>
                <w:rFonts w:ascii="Arial" w:hAnsi="Arial"/>
                <w:b w:val="0"/>
                <w:i w:val="0"/>
                <w:color w:val="1B2610"/>
                <w:sz w:val="18"/>
              </w:rPr>
              <w:t>Cadaado</w:t>
            </w:r>
          </w:p>
        </w:tc>
        <w:tc>
          <w:tcPr>
            <w:tcW w:type="dxa" w:w="6520"/>
          </w:tcPr>
          <w:p>
            <w:pPr>
              <w:keepNext/>
              <w:spacing w:after="0"/>
            </w:pPr>
            <w:hyperlink r:id="rId13">
              <w:r>
                <w:rPr>
                  <w:rFonts w:ascii="Arial" w:hAnsi="Arial" w:cs="Arial"/>
                  <w:color w:val="55891A"/>
                  <w:sz w:val="17"/>
                  <w:u w:val="single"/>
                </w:rPr>
                <w:t>https://www.facebook.com/reel/3743534559129368</w:t>
              </w:r>
            </w:hyperlink>
          </w:p>
        </w:tc>
      </w:tr>
      <w:tr>
        <w:trPr>
          <w:cantSplit/>
        </w:trPr>
        <w:tc>
          <w:tcPr>
            <w:tcW w:type="dxa" w:w="2268"/>
          </w:tcPr>
          <w:p>
            <w:pPr>
              <w:spacing w:after="0"/>
            </w:pPr>
            <w:r>
              <w:rPr>
                <w:rFonts w:ascii="Arial" w:hAnsi="Arial"/>
                <w:b w:val="0"/>
                <w:i w:val="0"/>
                <w:color w:val="1B2610"/>
                <w:sz w:val="18"/>
              </w:rPr>
              <w:t>Galkacyo</w:t>
            </w:r>
          </w:p>
        </w:tc>
        <w:tc>
          <w:tcPr>
            <w:tcW w:type="dxa" w:w="6520"/>
          </w:tcPr>
          <w:p>
            <w:pPr>
              <w:spacing w:after="0"/>
            </w:pPr>
            <w:hyperlink r:id="rId14">
              <w:r>
                <w:rPr>
                  <w:rFonts w:ascii="Arial" w:hAnsi="Arial" w:cs="Arial"/>
                  <w:color w:val="55891A"/>
                  <w:sz w:val="17"/>
                  <w:u w:val="single"/>
                </w:rPr>
                <w:t>https://www.facebook.com/reel/2053184808633587</w:t>
              </w:r>
            </w:hyperlink>
          </w:p>
        </w:tc>
      </w:tr>
    </w:tbl>
    <w:p>
      <w:pPr>
        <w:spacing w:after="40"/>
      </w:pP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Galmudug,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Prepared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5"/>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6"/>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Galmudug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GALMUDUG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yperlink" Target="https://www.facebook.com/reel/3743534559129368" TargetMode="External"/><Relationship Id="rId14" Type="http://schemas.openxmlformats.org/officeDocument/2006/relationships/hyperlink" Target="https://www.facebook.com/reel/2053184808633587" TargetMode="External"/><Relationship Id="rId15" Type="http://schemas.openxmlformats.org/officeDocument/2006/relationships/image" Target="media/image2.png"/><Relationship Id="rId16"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