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South West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South West: 2 districts (Afgoye and Baidoa)</w:t>
            </w:r>
          </w:p>
        </w:tc>
      </w:tr>
      <w:tr>
        <w:trPr>
          <w:cantSplit/>
        </w:trPr>
        <w:tc>
          <w:tcPr>
            <w:tcW w:type="dxa" w:w="2268"/>
          </w:tcPr>
          <w:p>
            <w:pPr>
              <w:spacing w:after="0"/>
            </w:pPr>
            <w:r>
              <w:rPr>
                <w:rFonts w:ascii="Arial" w:hAnsi="Arial"/>
                <w:b/>
                <w:i w:val="0"/>
                <w:color w:val="FD6902"/>
                <w:sz w:val="19"/>
              </w:rPr>
              <w:t>Ceremony date</w:t>
            </w:r>
          </w:p>
        </w:tc>
        <w:tc>
          <w:tcPr>
            <w:tcW w:type="dxa" w:w="6520"/>
          </w:tcPr>
          <w:p>
            <w:pPr>
              <w:spacing w:after="0"/>
            </w:pPr>
            <w:r>
              <w:rPr>
                <w:rFonts w:ascii="Arial" w:hAnsi="Arial"/>
                <w:b w:val="0"/>
                <w:i w:val="0"/>
                <w:color w:val="1B2610"/>
                <w:sz w:val="19"/>
              </w:rPr>
              <w:t>[date]</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South West: Afgoye and Baidoa.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South West, Rasmi Logistic Service supported fridge handover ceremonies in </w:t>
      </w:r>
      <w:r>
        <w:rPr>
          <w:rFonts w:ascii="Arial" w:hAnsi="Arial"/>
          <w:b/>
          <w:i w:val="0"/>
          <w:color w:val="1B2610"/>
          <w:sz w:val="20"/>
        </w:rPr>
        <w:t>2 districts</w:t>
      </w:r>
      <w:r>
        <w:rPr>
          <w:rFonts w:ascii="Arial" w:hAnsi="Arial"/>
          <w:b w:val="0"/>
          <w:i w:val="0"/>
          <w:color w:val="1B2610"/>
          <w:sz w:val="20"/>
        </w:rPr>
        <w:t xml:space="preserve"> on [date].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w:t>
            </w:r>
          </w:p>
        </w:tc>
      </w:tr>
      <w:tr>
        <w:tc>
          <w:tcPr>
            <w:tcW w:type="dxa" w:w="2353"/>
          </w:tcPr>
          <w:p>
            <w:pPr>
              <w:spacing w:after="40"/>
              <w:jc w:val="center"/>
            </w:pPr>
            <w:r>
              <w:rPr>
                <w:rFonts w:ascii="Arial" w:hAnsi="Arial"/>
                <w:b/>
                <w:i w:val="0"/>
                <w:color w:val="55891A"/>
                <w:sz w:val="32"/>
              </w:rPr>
              <w:t>2</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South West</w:t>
            </w:r>
          </w:p>
        </w:tc>
        <w:tc>
          <w:tcPr>
            <w:tcW w:type="dxa" w:w="2353"/>
          </w:tcPr>
          <w:p>
            <w:pPr>
              <w:spacing w:after="40"/>
              <w:jc w:val="center"/>
            </w:pPr>
            <w:r>
              <w:rPr>
                <w:rFonts w:ascii="Arial" w:hAnsi="Arial"/>
                <w:b/>
                <w:i w:val="0"/>
                <w:color w:val="55891A"/>
                <w:sz w:val="22"/>
              </w:rPr>
              <w:t>[date]</w:t>
            </w:r>
          </w:p>
        </w:tc>
      </w:tr>
    </w:tbl>
    <w:p/>
    <w:p>
      <w:r>
        <w:rPr>
          <w:rFonts w:ascii="Arial" w:hAnsi="Arial"/>
          <w:b/>
          <w:i w:val="0"/>
          <w:color w:val="1B2610"/>
          <w:sz w:val="20"/>
        </w:rPr>
        <w:t>Services delivered in South West:</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all 2 districts.</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and intercity, in all 2 districts.</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all 2 districts.</w:t>
      </w:r>
    </w:p>
    <w:p>
      <w:pPr>
        <w:pStyle w:val="ListBullet"/>
      </w:pPr>
      <w:r>
        <w:rPr>
          <w:rFonts w:ascii="Arial" w:hAnsi="Arial"/>
          <w:b/>
          <w:i w:val="0"/>
          <w:color w:val="1B2610"/>
          <w:sz w:val="20"/>
        </w:rPr>
        <w:t>Catering</w:t>
      </w:r>
      <w:r>
        <w:rPr>
          <w:rFonts w:ascii="Arial" w:hAnsi="Arial"/>
          <w:b w:val="0"/>
          <w:i w:val="0"/>
          <w:color w:val="1B2610"/>
          <w:sz w:val="20"/>
        </w:rPr>
        <w:t xml:space="preserve"> in Afgoye only.</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All 2 districts</w:t>
            </w:r>
          </w:p>
        </w:tc>
      </w:tr>
      <w:tr>
        <w:trPr>
          <w:cantSplit/>
        </w:trPr>
        <w:tc>
          <w:tcPr>
            <w:tcW w:type="dxa" w:w="2268"/>
          </w:tcPr>
          <w:p>
            <w:pPr>
              <w:keepNext/>
              <w:spacing w:after="0"/>
            </w:pPr>
            <w:r>
              <w:rPr>
                <w:rFonts w:ascii="Arial" w:hAnsi="Arial"/>
                <w:b w:val="0"/>
                <w:i w:val="0"/>
                <w:color w:val="1B2610"/>
                <w:sz w:val="18"/>
              </w:rPr>
              <w:t>Catering</w:t>
            </w:r>
          </w:p>
        </w:tc>
        <w:tc>
          <w:tcPr>
            <w:tcW w:type="dxa" w:w="4819"/>
          </w:tcPr>
          <w:p>
            <w:pPr>
              <w:keepNext/>
              <w:spacing w:after="0"/>
            </w:pPr>
            <w:r>
              <w:rPr>
                <w:rFonts w:ascii="Arial" w:hAnsi="Arial"/>
                <w:b w:val="0"/>
                <w:i w:val="0"/>
                <w:color w:val="1B2610"/>
                <w:sz w:val="18"/>
              </w:rPr>
              <w:t>Refreshments for participants and guests at the ceremony.</w:t>
            </w:r>
          </w:p>
        </w:tc>
        <w:tc>
          <w:tcPr>
            <w:tcW w:type="dxa" w:w="1701"/>
          </w:tcPr>
          <w:p>
            <w:pPr>
              <w:keepNext/>
              <w:spacing w:after="0"/>
            </w:pPr>
            <w:r>
              <w:rPr>
                <w:rFonts w:ascii="Arial" w:hAnsi="Arial"/>
                <w:b w:val="0"/>
                <w:i w:val="0"/>
                <w:color w:val="1B2610"/>
                <w:sz w:val="18"/>
              </w:rPr>
              <w:t>Afgoye only</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and intercity transport where required, for the team, materials and fridges.</w:t>
            </w:r>
          </w:p>
        </w:tc>
        <w:tc>
          <w:tcPr>
            <w:tcW w:type="dxa" w:w="1701"/>
          </w:tcPr>
          <w:p>
            <w:pPr>
              <w:keepNext/>
              <w:spacing w:after="0"/>
            </w:pPr>
            <w:r>
              <w:rPr>
                <w:rFonts w:ascii="Arial" w:hAnsi="Arial"/>
                <w:b w:val="0"/>
                <w:i w:val="0"/>
                <w:color w:val="1B2610"/>
                <w:sz w:val="18"/>
              </w:rPr>
              <w:t>All 2 districts</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All media is available through the link in Section 6.</w:t>
            </w:r>
          </w:p>
        </w:tc>
        <w:tc>
          <w:tcPr>
            <w:tcW w:type="dxa" w:w="1701"/>
          </w:tcPr>
          <w:p>
            <w:pPr>
              <w:spacing w:after="0"/>
            </w:pPr>
            <w:r>
              <w:rPr>
                <w:rFonts w:ascii="Arial" w:hAnsi="Arial"/>
                <w:b w:val="0"/>
                <w:i w:val="0"/>
                <w:color w:val="1B2610"/>
                <w:sz w:val="18"/>
              </w:rPr>
              <w:t>All 2 districts</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1814"/>
        <w:gridCol w:w="1587"/>
        <w:gridCol w:w="1134"/>
        <w:gridCol w:w="1247"/>
        <w:gridCol w:w="907"/>
        <w:gridCol w:w="1020"/>
        <w:gridCol w:w="79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1814"/>
            <w:tcBorders>
              <w:bottom w:val="single" w:sz="12" w:space="0" w:color="55891A"/>
            </w:tcBorders>
          </w:tcPr>
          <w:p>
            <w:pPr>
              <w:keepNext/>
              <w:spacing w:after="0"/>
            </w:pPr>
            <w:r>
              <w:rPr>
                <w:rFonts w:ascii="Arial" w:hAnsi="Arial"/>
                <w:b/>
                <w:i w:val="0"/>
                <w:color w:val="55891A"/>
                <w:sz w:val="17"/>
              </w:rPr>
              <w:t>District</w:t>
            </w:r>
          </w:p>
        </w:tc>
        <w:tc>
          <w:tcPr>
            <w:tcW w:type="dxa" w:w="1587"/>
            <w:tcBorders>
              <w:bottom w:val="single" w:sz="12" w:space="0" w:color="55891A"/>
            </w:tcBorders>
          </w:tcPr>
          <w:p>
            <w:pPr>
              <w:keepNext/>
              <w:spacing w:after="0"/>
            </w:pPr>
            <w:r>
              <w:rPr>
                <w:rFonts w:ascii="Arial" w:hAnsi="Arial"/>
                <w:b/>
                <w:i w:val="0"/>
                <w:color w:val="55891A"/>
                <w:sz w:val="17"/>
              </w:rPr>
              <w:t>Date</w:t>
            </w:r>
          </w:p>
        </w:tc>
        <w:tc>
          <w:tcPr>
            <w:tcW w:type="dxa" w:w="1134"/>
            <w:tcBorders>
              <w:bottom w:val="single" w:sz="12" w:space="0" w:color="55891A"/>
            </w:tcBorders>
          </w:tcPr>
          <w:p>
            <w:pPr>
              <w:keepNext/>
              <w:spacing w:after="0"/>
              <w:jc w:val="center"/>
            </w:pPr>
            <w:r>
              <w:rPr>
                <w:rFonts w:ascii="Arial" w:hAnsi="Arial"/>
                <w:b/>
                <w:i w:val="0"/>
                <w:color w:val="55891A"/>
                <w:sz w:val="17"/>
              </w:rPr>
              <w:t>Families</w:t>
            </w:r>
          </w:p>
        </w:tc>
        <w:tc>
          <w:tcPr>
            <w:tcW w:type="dxa" w:w="1247"/>
            <w:tcBorders>
              <w:bottom w:val="single" w:sz="12" w:space="0" w:color="55891A"/>
            </w:tcBorders>
          </w:tcPr>
          <w:p>
            <w:pPr>
              <w:keepNext/>
              <w:spacing w:after="0"/>
              <w:jc w:val="center"/>
            </w:pPr>
            <w:r>
              <w:rPr>
                <w:rFonts w:ascii="Arial" w:hAnsi="Arial"/>
                <w:b/>
                <w:i w:val="0"/>
                <w:color w:val="55891A"/>
                <w:sz w:val="17"/>
              </w:rPr>
              <w:t>Fridge carrying</w:t>
            </w:r>
          </w:p>
        </w:tc>
        <w:tc>
          <w:tcPr>
            <w:tcW w:type="dxa" w:w="907"/>
            <w:tcBorders>
              <w:bottom w:val="single" w:sz="12" w:space="0" w:color="55891A"/>
            </w:tcBorders>
          </w:tcPr>
          <w:p>
            <w:pPr>
              <w:keepNext/>
              <w:spacing w:after="0"/>
              <w:jc w:val="center"/>
            </w:pPr>
            <w:r>
              <w:rPr>
                <w:rFonts w:ascii="Arial" w:hAnsi="Arial"/>
                <w:b/>
                <w:i w:val="0"/>
                <w:color w:val="55891A"/>
                <w:sz w:val="17"/>
              </w:rPr>
              <w:t>Catering</w:t>
            </w:r>
          </w:p>
        </w:tc>
        <w:tc>
          <w:tcPr>
            <w:tcW w:type="dxa" w:w="1020"/>
            <w:tcBorders>
              <w:bottom w:val="single" w:sz="12" w:space="0" w:color="55891A"/>
            </w:tcBorders>
          </w:tcPr>
          <w:p>
            <w:pPr>
              <w:keepNext/>
              <w:spacing w:after="0"/>
              <w:jc w:val="center"/>
            </w:pPr>
            <w:r>
              <w:rPr>
                <w:rFonts w:ascii="Arial" w:hAnsi="Arial"/>
                <w:b/>
                <w:i w:val="0"/>
                <w:color w:val="55891A"/>
                <w:sz w:val="17"/>
              </w:rPr>
              <w:t>Transport</w:t>
            </w:r>
          </w:p>
        </w:tc>
        <w:tc>
          <w:tcPr>
            <w:tcW w:type="dxa" w:w="79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1814"/>
          </w:tcPr>
          <w:p>
            <w:pPr>
              <w:keepNext/>
              <w:spacing w:after="0"/>
            </w:pPr>
            <w:r>
              <w:rPr>
                <w:rFonts w:ascii="Arial" w:hAnsi="Arial"/>
                <w:b w:val="0"/>
                <w:i w:val="0"/>
                <w:color w:val="1B2610"/>
                <w:sz w:val="18"/>
              </w:rPr>
              <w:t>Afgoye</w:t>
            </w:r>
          </w:p>
        </w:tc>
        <w:tc>
          <w:tcPr>
            <w:tcW w:type="dxa" w:w="1587"/>
          </w:tcPr>
          <w:p>
            <w:pPr>
              <w:keepNext/>
              <w:spacing w:after="0"/>
            </w:pPr>
            <w:r>
              <w:rPr>
                <w:rFonts w:ascii="Arial" w:hAnsi="Arial"/>
                <w:b w:val="0"/>
                <w:i w:val="0"/>
                <w:color w:val="1B2610"/>
                <w:sz w:val="18"/>
              </w:rPr>
              <w:t>[date]</w:t>
            </w:r>
          </w:p>
        </w:tc>
        <w:tc>
          <w:tcPr>
            <w:tcW w:type="dxa" w:w="1134"/>
          </w:tcPr>
          <w:p>
            <w:pPr>
              <w:keepNext/>
              <w:spacing w:after="0"/>
              <w:jc w:val="center"/>
            </w:pPr>
            <w:r>
              <w:rPr>
                <w:rFonts w:ascii="Arial" w:hAnsi="Arial"/>
                <w:b w:val="0"/>
                <w:i w:val="0"/>
                <w:color w:val="1B2610"/>
                <w:sz w:val="18"/>
              </w:rPr>
              <w:t>100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Yes</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2</w:t>
            </w:r>
          </w:p>
        </w:tc>
        <w:tc>
          <w:tcPr>
            <w:tcW w:type="dxa" w:w="1814"/>
          </w:tcPr>
          <w:p>
            <w:pPr>
              <w:keepNext/>
              <w:spacing w:after="0"/>
            </w:pPr>
            <w:r>
              <w:rPr>
                <w:rFonts w:ascii="Arial" w:hAnsi="Arial"/>
                <w:b w:val="0"/>
                <w:i w:val="0"/>
                <w:color w:val="1B2610"/>
                <w:sz w:val="18"/>
              </w:rPr>
              <w:t>Baidoa</w:t>
            </w:r>
          </w:p>
        </w:tc>
        <w:tc>
          <w:tcPr>
            <w:tcW w:type="dxa" w:w="1587"/>
          </w:tcPr>
          <w:p>
            <w:pPr>
              <w:keepNext/>
              <w:spacing w:after="0"/>
            </w:pPr>
            <w:r>
              <w:rPr>
                <w:rFonts w:ascii="Arial" w:hAnsi="Arial"/>
                <w:b w:val="0"/>
                <w:i w:val="0"/>
                <w:color w:val="1B2610"/>
                <w:sz w:val="18"/>
              </w:rPr>
              <w:t>[date]</w:t>
            </w:r>
          </w:p>
        </w:tc>
        <w:tc>
          <w:tcPr>
            <w:tcW w:type="dxa" w:w="1134"/>
          </w:tcPr>
          <w:p>
            <w:pPr>
              <w:keepNext/>
              <w:spacing w:after="0"/>
              <w:jc w:val="center"/>
            </w:pPr>
            <w:r>
              <w:rPr>
                <w:rFonts w:ascii="Arial" w:hAnsi="Arial"/>
                <w:b w:val="0"/>
                <w:i w:val="0"/>
                <w:color w:val="1B2610"/>
                <w:sz w:val="18"/>
              </w:rPr>
              <w:t>100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No</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1814"/>
            <w:tcBorders>
              <w:top w:val="single" w:sz="8" w:space="0" w:color="55891A"/>
            </w:tcBorders>
          </w:tcPr>
          <w:p>
            <w:pPr>
              <w:spacing w:after="0"/>
            </w:pPr>
            <w:r>
              <w:rPr>
                <w:rFonts w:ascii="Arial" w:hAnsi="Arial"/>
                <w:b/>
                <w:i w:val="0"/>
                <w:color w:val="1B2610"/>
                <w:sz w:val="18"/>
              </w:rPr>
              <w:t>Total</w:t>
            </w:r>
          </w:p>
        </w:tc>
        <w:tc>
          <w:tcPr>
            <w:tcW w:type="dxa" w:w="1587"/>
            <w:tcBorders>
              <w:top w:val="single" w:sz="8" w:space="0" w:color="55891A"/>
            </w:tcBorders>
          </w:tcPr>
          <w:p>
            <w:pPr>
              <w:spacing w:after="0"/>
            </w:pPr>
            <w:r>
              <w:rPr>
                <w:rFonts w:ascii="Arial" w:hAnsi="Arial"/>
                <w:b/>
                <w:i w:val="0"/>
                <w:color w:val="1B2610"/>
                <w:sz w:val="18"/>
              </w:rPr>
            </w:r>
          </w:p>
        </w:tc>
        <w:tc>
          <w:tcPr>
            <w:tcW w:type="dxa" w:w="1134"/>
            <w:tcBorders>
              <w:top w:val="single" w:sz="8" w:space="0" w:color="55891A"/>
            </w:tcBorders>
          </w:tcPr>
          <w:p>
            <w:pPr>
              <w:spacing w:after="0"/>
              <w:jc w:val="center"/>
            </w:pPr>
            <w:r>
              <w:rPr>
                <w:rFonts w:ascii="Arial" w:hAnsi="Arial"/>
                <w:b/>
                <w:i w:val="0"/>
                <w:color w:val="1B2610"/>
                <w:sz w:val="18"/>
              </w:rPr>
              <w:t>200</w:t>
            </w:r>
          </w:p>
        </w:tc>
        <w:tc>
          <w:tcPr>
            <w:tcW w:type="dxa" w:w="1247"/>
            <w:tcBorders>
              <w:top w:val="single" w:sz="8" w:space="0" w:color="55891A"/>
            </w:tcBorders>
          </w:tcPr>
          <w:p>
            <w:pPr>
              <w:spacing w:after="0"/>
              <w:jc w:val="center"/>
            </w:pPr>
            <w:r>
              <w:rPr>
                <w:rFonts w:ascii="Arial" w:hAnsi="Arial"/>
                <w:b/>
                <w:i w:val="0"/>
                <w:color w:val="1B2610"/>
                <w:sz w:val="18"/>
              </w:rPr>
              <w:t>2</w:t>
            </w:r>
          </w:p>
        </w:tc>
        <w:tc>
          <w:tcPr>
            <w:tcW w:type="dxa" w:w="907"/>
            <w:tcBorders>
              <w:top w:val="single" w:sz="8" w:space="0" w:color="55891A"/>
            </w:tcBorders>
          </w:tcPr>
          <w:p>
            <w:pPr>
              <w:spacing w:after="0"/>
              <w:jc w:val="center"/>
            </w:pPr>
            <w:r>
              <w:rPr>
                <w:rFonts w:ascii="Arial" w:hAnsi="Arial"/>
                <w:b/>
                <w:i w:val="0"/>
                <w:color w:val="1B2610"/>
                <w:sz w:val="18"/>
              </w:rPr>
              <w:t>1</w:t>
            </w:r>
          </w:p>
        </w:tc>
        <w:tc>
          <w:tcPr>
            <w:tcW w:type="dxa" w:w="1020"/>
            <w:tcBorders>
              <w:top w:val="single" w:sz="8" w:space="0" w:color="55891A"/>
            </w:tcBorders>
          </w:tcPr>
          <w:p>
            <w:pPr>
              <w:spacing w:after="0"/>
              <w:jc w:val="center"/>
            </w:pPr>
            <w:r>
              <w:rPr>
                <w:rFonts w:ascii="Arial" w:hAnsi="Arial"/>
                <w:b/>
                <w:i w:val="0"/>
                <w:color w:val="1B2610"/>
                <w:sz w:val="18"/>
              </w:rPr>
              <w:t>2</w:t>
            </w:r>
          </w:p>
        </w:tc>
        <w:tc>
          <w:tcPr>
            <w:tcW w:type="dxa" w:w="794"/>
            <w:tcBorders>
              <w:top w:val="single" w:sz="8" w:space="0" w:color="55891A"/>
            </w:tcBorders>
          </w:tcPr>
          <w:p>
            <w:pPr>
              <w:spacing w:after="0"/>
              <w:jc w:val="center"/>
            </w:pPr>
            <w:r>
              <w:rPr>
                <w:rFonts w:ascii="Arial" w:hAnsi="Arial"/>
                <w:b/>
                <w:i w:val="0"/>
                <w:color w:val="1B2610"/>
                <w:sz w:val="18"/>
              </w:rPr>
              <w:t>2</w:t>
            </w:r>
          </w:p>
        </w:tc>
      </w:tr>
    </w:tbl>
    <w:p>
      <w:pPr>
        <w:spacing w:after="40"/>
      </w:pPr>
    </w:p>
    <w:p>
      <w:pPr>
        <w:pStyle w:val="Heading1"/>
      </w:pPr>
      <w:r>
        <w:t>5. Logistics and Coordination</w:t>
      </w:r>
    </w:p>
    <w:p>
      <w:r>
        <w:rPr>
          <w:rFonts w:ascii="Arial" w:hAnsi="Arial"/>
          <w:b w:val="0"/>
          <w:i w:val="0"/>
          <w:color w:val="1B2610"/>
          <w:sz w:val="20"/>
        </w:rPr>
        <w:t>Each district in South West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ListBullet"/>
      </w:pPr>
      <w:r>
        <w:rPr>
          <w:rFonts w:ascii="Arial" w:hAnsi="Arial"/>
          <w:b/>
          <w:i w:val="0"/>
          <w:color w:val="1B2610"/>
          <w:sz w:val="20"/>
        </w:rPr>
        <w:t xml:space="preserve">Intercity: </w:t>
      </w:r>
      <w:r>
        <w:rPr>
          <w:rFonts w:ascii="Arial" w:hAnsi="Arial"/>
          <w:b w:val="0"/>
          <w:i w:val="0"/>
          <w:color w:val="1B2610"/>
          <w:sz w:val="20"/>
        </w:rPr>
        <w:t>transport between locations where the ceremony site required travel from another city:</w:t>
      </w:r>
    </w:p>
    <w:p>
      <w:pPr>
        <w:pStyle w:val="ListBullet2"/>
      </w:pPr>
      <w:r>
        <w:rPr>
          <w:rFonts w:ascii="Arial" w:hAnsi="Arial"/>
          <w:b w:val="0"/>
          <w:i w:val="0"/>
          <w:color w:val="1B2610"/>
          <w:sz w:val="20"/>
        </w:rPr>
        <w:t>Mogadishu – Afgoye – Mogadishu</w:t>
      </w:r>
    </w:p>
    <w:p>
      <w:pPr>
        <w:pStyle w:val="Heading2"/>
      </w:pPr>
      <w:r>
        <w:t>5.2 Catering</w:t>
      </w:r>
    </w:p>
    <w:p>
      <w:r>
        <w:rPr>
          <w:rFonts w:ascii="Arial" w:hAnsi="Arial"/>
          <w:b w:val="0"/>
          <w:i w:val="0"/>
          <w:color w:val="1B2610"/>
          <w:sz w:val="20"/>
        </w:rPr>
        <w:t>Catering was provided in Afgoye only, as set out in the contract. No catering was provided in Baidoa.</w:t>
      </w:r>
    </w:p>
    <w:p>
      <w:pPr>
        <w:pStyle w:val="Heading2"/>
      </w:pPr>
      <w:r>
        <w:t>5.3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South West;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5.4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all 2 ceremonies in South West. The full media files are available at: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District</w:t>
            </w:r>
          </w:p>
        </w:tc>
        <w:tc>
          <w:tcPr>
            <w:tcW w:type="dxa" w:w="6520"/>
            <w:tcBorders>
              <w:bottom w:val="single" w:sz="12" w:space="0" w:color="55891A"/>
            </w:tcBorders>
          </w:tcPr>
          <w:p>
            <w:pPr>
              <w:keepNext/>
              <w:spacing w:after="0"/>
            </w:pPr>
            <w:r>
              <w:rPr>
                <w:rFonts w:ascii="Arial" w:hAnsi="Arial"/>
                <w:b/>
                <w:i w:val="0"/>
                <w:color w:val="55891A"/>
                <w:sz w:val="17"/>
              </w:rPr>
              <w:t>Media link / folder (photos and videos)</w:t>
            </w:r>
          </w:p>
        </w:tc>
      </w:tr>
      <w:tr>
        <w:trPr>
          <w:cantSplit/>
        </w:trPr>
        <w:tc>
          <w:tcPr>
            <w:tcW w:type="dxa" w:w="2268"/>
          </w:tcPr>
          <w:p>
            <w:pPr>
              <w:keepNext/>
              <w:spacing w:after="0"/>
            </w:pPr>
            <w:r>
              <w:rPr>
                <w:rFonts w:ascii="Arial" w:hAnsi="Arial"/>
                <w:b w:val="0"/>
                <w:i w:val="0"/>
                <w:color w:val="1B2610"/>
                <w:sz w:val="18"/>
              </w:rPr>
              <w:t>Afgoye</w:t>
            </w:r>
          </w:p>
        </w:tc>
        <w:tc>
          <w:tcPr>
            <w:tcW w:type="dxa" w:w="6520"/>
          </w:tcPr>
          <w:p>
            <w:pPr>
              <w:keepNext/>
              <w:spacing w:after="0"/>
            </w:pPr>
            <w:r>
              <w:rPr>
                <w:rFonts w:ascii="Arial" w:hAnsi="Arial"/>
                <w:b w:val="0"/>
                <w:i w:val="0"/>
                <w:color w:val="1B2610"/>
                <w:sz w:val="18"/>
              </w:rPr>
              <w:t>[link]</w:t>
            </w:r>
          </w:p>
        </w:tc>
      </w:tr>
      <w:tr>
        <w:trPr>
          <w:cantSplit/>
        </w:trPr>
        <w:tc>
          <w:tcPr>
            <w:tcW w:type="dxa" w:w="2268"/>
          </w:tcPr>
          <w:p>
            <w:pPr>
              <w:spacing w:after="0"/>
            </w:pPr>
            <w:r>
              <w:rPr>
                <w:rFonts w:ascii="Arial" w:hAnsi="Arial"/>
                <w:b w:val="0"/>
                <w:i w:val="0"/>
                <w:color w:val="1B2610"/>
                <w:sz w:val="18"/>
              </w:rPr>
              <w:t>Baidoa</w:t>
            </w:r>
          </w:p>
        </w:tc>
        <w:tc>
          <w:tcPr>
            <w:tcW w:type="dxa" w:w="6520"/>
          </w:tcPr>
          <w:p>
            <w:pPr>
              <w:spacing w:after="0"/>
            </w:pPr>
            <w:r>
              <w:rPr>
                <w:rFonts w:ascii="Arial" w:hAnsi="Arial"/>
                <w:b w:val="0"/>
                <w:i w:val="0"/>
                <w:color w:val="1B2610"/>
                <w:sz w:val="18"/>
              </w:rPr>
              <w:t>[link]</w:t>
            </w:r>
          </w:p>
        </w:tc>
      </w:tr>
    </w:tbl>
    <w:p>
      <w:pPr>
        <w:spacing w:after="40"/>
      </w:pP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South West,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Prepared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South West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SOUTH WEST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