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Jubaland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Jubaland: 1 district (Kismayo)</w:t>
            </w:r>
          </w:p>
        </w:tc>
      </w:tr>
      <w:tr>
        <w:trPr>
          <w:cantSplit/>
        </w:trPr>
        <w:tc>
          <w:tcPr>
            <w:tcW w:type="dxa" w:w="2268"/>
          </w:tcPr>
          <w:p>
            <w:pPr>
              <w:spacing w:after="0"/>
            </w:pPr>
            <w:r>
              <w:rPr>
                <w:rFonts w:ascii="Arial" w:hAnsi="Arial"/>
                <w:b/>
                <w:i w:val="0"/>
                <w:color w:val="FD6902"/>
                <w:sz w:val="19"/>
              </w:rPr>
              <w:t>Ceremony dates</w:t>
            </w:r>
          </w:p>
        </w:tc>
        <w:tc>
          <w:tcPr>
            <w:tcW w:type="dxa" w:w="6520"/>
          </w:tcPr>
          <w:p>
            <w:pPr>
              <w:spacing w:after="0"/>
            </w:pPr>
            <w:r>
              <w:rPr>
                <w:rFonts w:ascii="Arial" w:hAnsi="Arial"/>
                <w:b w:val="0"/>
                <w:i w:val="0"/>
                <w:color w:val="1B2610"/>
                <w:sz w:val="19"/>
              </w:rPr>
              <w:t>Kismayo: 23 Sep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Jubaland: Kismayo.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Jubaland, Rasmi Logistic Service supported fridge handover ceremonies in </w:t>
      </w:r>
      <w:r>
        <w:rPr>
          <w:rFonts w:ascii="Arial" w:hAnsi="Arial"/>
          <w:b/>
          <w:i w:val="0"/>
          <w:color w:val="1B2610"/>
          <w:sz w:val="20"/>
        </w:rPr>
        <w:t>1 district</w:t>
      </w:r>
      <w:r>
        <w:rPr>
          <w:rFonts w:ascii="Arial" w:hAnsi="Arial"/>
          <w:b w:val="0"/>
          <w:i w:val="0"/>
          <w:color w:val="1B2610"/>
          <w:sz w:val="20"/>
        </w:rPr>
        <w:t xml:space="preserve"> (ceremony dates: Kismayo: 23 Sep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Dates</w:t>
            </w:r>
          </w:p>
        </w:tc>
      </w:tr>
      <w:tr>
        <w:tc>
          <w:tcPr>
            <w:tcW w:type="dxa" w:w="2353"/>
          </w:tcPr>
          <w:p>
            <w:pPr>
              <w:spacing w:after="40"/>
              <w:jc w:val="center"/>
            </w:pPr>
            <w:r>
              <w:rPr>
                <w:rFonts w:ascii="Arial" w:hAnsi="Arial"/>
                <w:b/>
                <w:i w:val="0"/>
                <w:color w:val="55891A"/>
                <w:sz w:val="32"/>
              </w:rPr>
              <w:t>1</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Jubaland</w:t>
            </w:r>
          </w:p>
        </w:tc>
        <w:tc>
          <w:tcPr>
            <w:tcW w:type="dxa" w:w="2353"/>
          </w:tcPr>
          <w:p>
            <w:pPr>
              <w:spacing w:after="40"/>
              <w:jc w:val="center"/>
            </w:pPr>
            <w:r>
              <w:rPr>
                <w:rFonts w:ascii="Arial" w:hAnsi="Arial"/>
                <w:b/>
                <w:i w:val="0"/>
                <w:color w:val="55891A"/>
                <w:sz w:val="22"/>
              </w:rPr>
              <w:t>23 Sep 2026</w:t>
            </w:r>
          </w:p>
        </w:tc>
      </w:tr>
    </w:tbl>
    <w:p/>
    <w:p>
      <w:r>
        <w:rPr>
          <w:rFonts w:ascii="Arial" w:hAnsi="Arial"/>
          <w:b/>
          <w:i w:val="0"/>
          <w:color w:val="1B2610"/>
          <w:sz w:val="20"/>
        </w:rPr>
        <w:t>Services delivered in Jubaland:</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the district.</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in the district.</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the district.</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Kismayo</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for the team, materials and fridges.</w:t>
            </w:r>
          </w:p>
        </w:tc>
        <w:tc>
          <w:tcPr>
            <w:tcW w:type="dxa" w:w="1701"/>
          </w:tcPr>
          <w:p>
            <w:pPr>
              <w:keepNext/>
              <w:spacing w:after="0"/>
            </w:pPr>
            <w:r>
              <w:rPr>
                <w:rFonts w:ascii="Arial" w:hAnsi="Arial"/>
                <w:b w:val="0"/>
                <w:i w:val="0"/>
                <w:color w:val="1B2610"/>
                <w:sz w:val="18"/>
              </w:rPr>
              <w:t>Kismayo</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Kismayo</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Kismayo</w:t>
            </w:r>
          </w:p>
        </w:tc>
        <w:tc>
          <w:tcPr>
            <w:tcW w:type="dxa" w:w="1701"/>
          </w:tcPr>
          <w:p>
            <w:pPr>
              <w:keepNext/>
              <w:spacing w:after="0"/>
            </w:pPr>
            <w:r>
              <w:rPr>
                <w:rFonts w:ascii="Arial" w:hAnsi="Arial"/>
                <w:b w:val="0"/>
                <w:i w:val="0"/>
                <w:color w:val="1B2610"/>
                <w:sz w:val="18"/>
              </w:rPr>
              <w:t>23 Sep 2026</w:t>
            </w:r>
          </w:p>
        </w:tc>
        <w:tc>
          <w:tcPr>
            <w:tcW w:type="dxa" w:w="1247"/>
          </w:tcPr>
          <w:p>
            <w:pPr>
              <w:keepNext/>
              <w:spacing w:after="0"/>
              <w:jc w:val="center"/>
            </w:pPr>
            <w:r>
              <w:rPr>
                <w:rFonts w:ascii="Arial" w:hAnsi="Arial"/>
                <w:b w:val="0"/>
                <w:i w:val="0"/>
                <w:color w:val="1B2610"/>
                <w:sz w:val="18"/>
              </w:rPr>
              <w:t>200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1</w:t>
            </w:r>
          </w:p>
        </w:tc>
        <w:tc>
          <w:tcPr>
            <w:tcW w:type="dxa" w:w="1134"/>
            <w:tcBorders>
              <w:top w:val="single" w:sz="8" w:space="0" w:color="55891A"/>
            </w:tcBorders>
          </w:tcPr>
          <w:p>
            <w:pPr>
              <w:spacing w:after="0"/>
              <w:jc w:val="center"/>
            </w:pPr>
            <w:r>
              <w:rPr>
                <w:rFonts w:ascii="Arial" w:hAnsi="Arial"/>
                <w:b/>
                <w:i w:val="0"/>
                <w:color w:val="1B2610"/>
                <w:sz w:val="18"/>
              </w:rPr>
              <w:t>1</w:t>
            </w:r>
          </w:p>
        </w:tc>
        <w:tc>
          <w:tcPr>
            <w:tcW w:type="dxa" w:w="964"/>
            <w:tcBorders>
              <w:top w:val="single" w:sz="8" w:space="0" w:color="55891A"/>
            </w:tcBorders>
          </w:tcPr>
          <w:p>
            <w:pPr>
              <w:spacing w:after="0"/>
              <w:jc w:val="center"/>
            </w:pPr>
            <w:r>
              <w:rPr>
                <w:rFonts w:ascii="Arial" w:hAnsi="Arial"/>
                <w:b/>
                <w:i w:val="0"/>
                <w:color w:val="1B2610"/>
                <w:sz w:val="18"/>
              </w:rPr>
              <w:t>1</w:t>
            </w:r>
          </w:p>
        </w:tc>
      </w:tr>
    </w:tbl>
    <w:p>
      <w:pPr>
        <w:spacing w:after="40"/>
      </w:pPr>
    </w:p>
    <w:p>
      <w:pPr>
        <w:pStyle w:val="Heading1"/>
      </w:pPr>
      <w:r>
        <w:t>5. Logistics and Coordination</w:t>
      </w:r>
    </w:p>
    <w:p>
      <w:r>
        <w:rPr>
          <w:rFonts w:ascii="Arial" w:hAnsi="Arial"/>
          <w:b w:val="0"/>
          <w:i w:val="0"/>
          <w:color w:val="1B2610"/>
          <w:sz w:val="20"/>
        </w:rPr>
        <w:t>Each district in Jubaland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Jubaland;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the ceremony in Jubaland.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Jubaland,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Jubaland</w:t>
      </w:r>
    </w:p>
    <w:p>
      <w:r>
        <w:rPr>
          <w:rFonts w:ascii="Arial" w:hAnsi="Arial"/>
          <w:b w:val="0"/>
          <w:i w:val="0"/>
          <w:color w:val="1B2610"/>
          <w:sz w:val="20"/>
        </w:rPr>
        <w:t>Photo and video coverage of the ceremonies in Jubaland, by media house, with the city, the channel, the views and the link to each post. Views were checked on 14 October 2026 and will change.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396"/>
        <w:gridCol w:w="1530"/>
        <w:gridCol w:w="2438"/>
        <w:gridCol w:w="1020"/>
        <w:gridCol w:w="793"/>
        <w:gridCol w:w="2664"/>
      </w:tblGrid>
      <w:tr>
        <w:trPr>
          <w:cantSplit/>
          <w:tblHeader/>
        </w:trPr>
        <w:tc>
          <w:tcPr>
            <w:tcW w:type="dxa" w:w="397"/>
            <w:tcBorders>
              <w:bottom w:val="single" w:sz="12" w:space="0" w:color="55891A"/>
            </w:tcBorders>
          </w:tcPr>
          <w:p>
            <w:pPr>
              <w:keepNext/>
              <w:spacing w:after="0"/>
            </w:pPr>
            <w:r>
              <w:rPr>
                <w:rFonts w:ascii="Arial" w:hAnsi="Arial"/>
                <w:b/>
                <w:i w:val="0"/>
                <w:color w:val="55891A"/>
                <w:sz w:val="17"/>
              </w:rPr>
              <w:t>#</w:t>
            </w:r>
          </w:p>
        </w:tc>
        <w:tc>
          <w:tcPr>
            <w:tcW w:type="dxa" w:w="1531"/>
            <w:tcBorders>
              <w:bottom w:val="single" w:sz="12" w:space="0" w:color="55891A"/>
            </w:tcBorders>
          </w:tcPr>
          <w:p>
            <w:pPr>
              <w:keepNext/>
              <w:spacing w:after="0"/>
            </w:pPr>
            <w:r>
              <w:rPr>
                <w:rFonts w:ascii="Arial" w:hAnsi="Arial"/>
                <w:b/>
                <w:i w:val="0"/>
                <w:color w:val="55891A"/>
                <w:sz w:val="17"/>
              </w:rPr>
              <w:t>City</w:t>
            </w:r>
          </w:p>
        </w:tc>
        <w:tc>
          <w:tcPr>
            <w:tcW w:type="dxa" w:w="2438"/>
            <w:tcBorders>
              <w:bottom w:val="single" w:sz="12" w:space="0" w:color="55891A"/>
            </w:tcBorders>
          </w:tcPr>
          <w:p>
            <w:pPr>
              <w:keepNext/>
              <w:spacing w:after="0"/>
            </w:pPr>
            <w:r>
              <w:rPr>
                <w:rFonts w:ascii="Arial" w:hAnsi="Arial"/>
                <w:b/>
                <w:i w:val="0"/>
                <w:color w:val="55891A"/>
                <w:sz w:val="17"/>
              </w:rPr>
              <w:t>Media house / outlet</w:t>
            </w:r>
          </w:p>
        </w:tc>
        <w:tc>
          <w:tcPr>
            <w:tcW w:type="dxa" w:w="1020"/>
            <w:tcBorders>
              <w:bottom w:val="single" w:sz="12" w:space="0" w:color="55891A"/>
            </w:tcBorders>
          </w:tcPr>
          <w:p>
            <w:pPr>
              <w:keepNext/>
              <w:spacing w:after="0"/>
            </w:pPr>
            <w:r>
              <w:rPr>
                <w:rFonts w:ascii="Arial" w:hAnsi="Arial"/>
                <w:b/>
                <w:i w:val="0"/>
                <w:color w:val="55891A"/>
                <w:sz w:val="17"/>
              </w:rPr>
              <w:t>Channel</w:t>
            </w:r>
          </w:p>
        </w:tc>
        <w:tc>
          <w:tcPr>
            <w:tcW w:type="dxa" w:w="794"/>
            <w:tcBorders>
              <w:bottom w:val="single" w:sz="12" w:space="0" w:color="55891A"/>
            </w:tcBorders>
          </w:tcPr>
          <w:p>
            <w:pPr>
              <w:keepNext/>
              <w:spacing w:after="0"/>
              <w:jc w:val="center"/>
            </w:pPr>
            <w:r>
              <w:rPr>
                <w:rFonts w:ascii="Arial" w:hAnsi="Arial"/>
                <w:b/>
                <w:i w:val="0"/>
                <w:color w:val="55891A"/>
                <w:sz w:val="17"/>
              </w:rPr>
              <w:t>Views</w:t>
            </w:r>
          </w:p>
        </w:tc>
        <w:tc>
          <w:tcPr>
            <w:tcW w:type="dxa" w:w="2665"/>
            <w:tcBorders>
              <w:bottom w:val="single" w:sz="12" w:space="0" w:color="55891A"/>
            </w:tcBorders>
          </w:tcPr>
          <w:p>
            <w:pPr>
              <w:keepNext/>
              <w:spacing w:after="0"/>
            </w:pPr>
            <w:r>
              <w:rPr>
                <w:rFonts w:ascii="Arial" w:hAnsi="Arial"/>
                <w:b/>
                <w:i w:val="0"/>
                <w:color w:val="55891A"/>
                <w:sz w:val="17"/>
              </w:rPr>
              <w:t>Link</w:t>
            </w:r>
          </w:p>
        </w:tc>
      </w:tr>
      <w:tr>
        <w:trPr>
          <w:cantSplit/>
        </w:trPr>
        <w:tc>
          <w:tcPr>
            <w:tcW w:type="dxa" w:w="397"/>
          </w:tcPr>
          <w:p>
            <w:pPr>
              <w:keepNext/>
              <w:spacing w:after="0"/>
            </w:pPr>
            <w:r>
              <w:rPr>
                <w:rFonts w:ascii="Arial" w:hAnsi="Arial"/>
                <w:b w:val="0"/>
                <w:i w:val="0"/>
                <w:color w:val="1B2610"/>
                <w:sz w:val="18"/>
              </w:rPr>
              <w:t>1</w:t>
            </w:r>
          </w:p>
        </w:tc>
        <w:tc>
          <w:tcPr>
            <w:tcW w:type="dxa" w:w="1531"/>
          </w:tcPr>
          <w:p>
            <w:pPr>
              <w:keepNext/>
              <w:spacing w:after="0"/>
            </w:pPr>
            <w:r>
              <w:rPr>
                <w:rFonts w:ascii="Arial" w:hAnsi="Arial"/>
                <w:b w:val="0"/>
                <w:i w:val="0"/>
                <w:color w:val="1B2610"/>
                <w:sz w:val="18"/>
              </w:rPr>
              <w:t>Kismayo</w:t>
            </w:r>
          </w:p>
        </w:tc>
        <w:tc>
          <w:tcPr>
            <w:tcW w:type="dxa" w:w="2438"/>
          </w:tcPr>
          <w:p>
            <w:pPr>
              <w:keepNext/>
              <w:spacing w:after="0"/>
            </w:pPr>
            <w:r>
              <w:rPr>
                <w:rFonts w:ascii="Arial" w:hAnsi="Arial"/>
                <w:b w:val="0"/>
                <w:i w:val="0"/>
                <w:color w:val="1B2610"/>
                <w:sz w:val="18"/>
              </w:rPr>
              <w:t>Radio Kismayo</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w:t>
            </w:r>
          </w:p>
        </w:tc>
        <w:tc>
          <w:tcPr>
            <w:tcW w:type="dxa" w:w="2665"/>
          </w:tcPr>
          <w:p>
            <w:pPr>
              <w:keepNext/>
              <w:spacing w:after="0"/>
            </w:pPr>
            <w:hyperlink r:id="rId15">
              <w:r>
                <w:rPr>
                  <w:rFonts w:ascii="Arial" w:hAnsi="Arial" w:cs="Arial"/>
                  <w:color w:val="55891A"/>
                  <w:sz w:val="17"/>
                  <w:u w:val="single"/>
                </w:rPr>
                <w:t>facebook.com/share/v/1C1BYiQ3f8/</w:t>
              </w:r>
            </w:hyperlink>
          </w:p>
        </w:tc>
      </w:tr>
      <w:tr>
        <w:trPr>
          <w:cantSplit/>
        </w:trPr>
        <w:tc>
          <w:tcPr>
            <w:tcW w:type="dxa" w:w="397"/>
          </w:tcPr>
          <w:p>
            <w:pPr>
              <w:spacing w:after="0"/>
            </w:pPr>
            <w:r>
              <w:rPr>
                <w:rFonts w:ascii="Arial" w:hAnsi="Arial"/>
                <w:b w:val="0"/>
                <w:i w:val="0"/>
                <w:color w:val="1B2610"/>
                <w:sz w:val="18"/>
              </w:rPr>
              <w:t>2</w:t>
            </w:r>
          </w:p>
        </w:tc>
        <w:tc>
          <w:tcPr>
            <w:tcW w:type="dxa" w:w="1531"/>
          </w:tcPr>
          <w:p>
            <w:pPr>
              <w:spacing w:after="0"/>
            </w:pPr>
            <w:r>
              <w:rPr>
                <w:rFonts w:ascii="Arial" w:hAnsi="Arial"/>
                <w:b w:val="0"/>
                <w:i w:val="0"/>
                <w:color w:val="1B2610"/>
                <w:sz w:val="18"/>
              </w:rPr>
              <w:t>Kismayo</w:t>
            </w:r>
          </w:p>
        </w:tc>
        <w:tc>
          <w:tcPr>
            <w:tcW w:type="dxa" w:w="2438"/>
          </w:tcPr>
          <w:p>
            <w:pPr>
              <w:spacing w:after="0"/>
            </w:pPr>
            <w:r>
              <w:rPr>
                <w:rFonts w:ascii="Arial" w:hAnsi="Arial"/>
                <w:b w:val="0"/>
                <w:i w:val="0"/>
                <w:color w:val="1B2610"/>
                <w:sz w:val="18"/>
              </w:rPr>
              <w:t>Jubbaland TV</w:t>
            </w:r>
          </w:p>
        </w:tc>
        <w:tc>
          <w:tcPr>
            <w:tcW w:type="dxa" w:w="1020"/>
          </w:tcPr>
          <w:p>
            <w:pPr>
              <w:spacing w:after="0"/>
            </w:pPr>
            <w:r>
              <w:rPr>
                <w:rFonts w:ascii="Arial" w:hAnsi="Arial"/>
                <w:b w:val="0"/>
                <w:i w:val="0"/>
                <w:color w:val="1B2610"/>
                <w:sz w:val="18"/>
              </w:rPr>
              <w:t>Facebook</w:t>
            </w:r>
          </w:p>
        </w:tc>
        <w:tc>
          <w:tcPr>
            <w:tcW w:type="dxa" w:w="794"/>
          </w:tcPr>
          <w:p>
            <w:pPr>
              <w:spacing w:after="0"/>
              <w:jc w:val="center"/>
            </w:pPr>
            <w:r>
              <w:rPr>
                <w:rFonts w:ascii="Arial" w:hAnsi="Arial"/>
                <w:b w:val="0"/>
                <w:i w:val="0"/>
                <w:color w:val="1B2610"/>
                <w:sz w:val="18"/>
              </w:rPr>
              <w:t>—</w:t>
            </w:r>
          </w:p>
        </w:tc>
        <w:tc>
          <w:tcPr>
            <w:tcW w:type="dxa" w:w="2665"/>
          </w:tcPr>
          <w:p>
            <w:pPr>
              <w:spacing w:after="0"/>
            </w:pPr>
            <w:hyperlink r:id="rId16">
              <w:r>
                <w:rPr>
                  <w:rFonts w:ascii="Arial" w:hAnsi="Arial" w:cs="Arial"/>
                  <w:color w:val="55891A"/>
                  <w:sz w:val="17"/>
                  <w:u w:val="single"/>
                </w:rPr>
                <w:t>facebook.com/share/v/1P8MVcn4z6/</w:t>
              </w:r>
            </w:hyperlink>
          </w:p>
        </w:tc>
      </w:tr>
    </w:tbl>
    <w:p>
      <w:pPr>
        <w:spacing w:after="40"/>
      </w:pPr>
    </w:p>
    <w:p>
      <w:pPr>
        <w:pStyle w:val="Heading2"/>
      </w:pPr>
      <w:r>
        <w:t>Photos</w:t>
      </w:r>
    </w:p>
    <w:tbl>
      <w:tblPr>
        <w:tblW w:type="auto" w:w="0"/>
        <w:jc w:val="center"/>
        <w:tblLayout w:type="fixed"/>
        <w:tblLook w:firstColumn="1" w:firstRow="1" w:lastColumn="0" w:lastRow="0" w:noHBand="0" w:noVBand="1" w:val="04A0"/>
      </w:tblPr>
      <w:tblGrid>
        <w:gridCol w:w="4706"/>
        <w:gridCol w:w="4706"/>
      </w:tblGrid>
      <w:tr>
        <w:trPr>
          <w:cantSplit/>
        </w:trPr>
        <w:tc>
          <w:tcPr>
            <w:tcW w:type="dxa" w:w="4535"/>
          </w:tcPr>
          <w:p>
            <w:pPr>
              <w:keepNext/>
              <w:spacing w:after="40"/>
              <w:jc w:val="center"/>
            </w:pPr>
            <w:r>
              <w:drawing>
                <wp:inline xmlns:a="http://schemas.openxmlformats.org/drawingml/2006/main" xmlns:pic="http://schemas.openxmlformats.org/drawingml/2006/picture">
                  <wp:extent cx="2880000" cy="1868400"/>
                  <wp:docPr id="4" name="Picture 4"/>
                  <wp:cNvGraphicFramePr>
                    <a:graphicFrameLocks noChangeAspect="1"/>
                  </wp:cNvGraphicFramePr>
                  <a:graphic>
                    <a:graphicData uri="http://schemas.openxmlformats.org/drawingml/2006/picture">
                      <pic:pic>
                        <pic:nvPicPr>
                          <pic:cNvPr id="0" name="photo1.jpg"/>
                          <pic:cNvPicPr/>
                        </pic:nvPicPr>
                        <pic:blipFill>
                          <a:blip r:embed="rId17"/>
                          <a:stretch>
                            <a:fillRect/>
                          </a:stretch>
                        </pic:blipFill>
                        <pic:spPr>
                          <a:xfrm>
                            <a:off x="0" y="0"/>
                            <a:ext cx="2880000" cy="1868400"/>
                          </a:xfrm>
                          <a:prstGeom prst="rect"/>
                        </pic:spPr>
                      </pic:pic>
                    </a:graphicData>
                  </a:graphic>
                </wp:inline>
              </w:drawing>
            </w:r>
          </w:p>
          <w:p>
            <w:pPr>
              <w:spacing w:after="160"/>
              <w:jc w:val="center"/>
            </w:pPr>
            <w:r>
              <w:rPr>
                <w:rFonts w:ascii="Arial" w:hAnsi="Arial"/>
                <w:b w:val="0"/>
                <w:i/>
                <w:color w:val="555F4A"/>
                <w:sz w:val="17"/>
              </w:rPr>
              <w:t>Boxed solar freezers, each topped with a plastic-wrapped milk container, set out in rows in a courtyard under the project banner.</w:t>
            </w:r>
          </w:p>
        </w:tc>
        <w:tc>
          <w:tcPr>
            <w:tcW w:type="dxa" w:w="4535"/>
          </w:tcPr>
          <w:p>
            <w:pPr>
              <w:keepNext/>
              <w:spacing w:after="40"/>
              <w:jc w:val="center"/>
            </w:pPr>
            <w:r>
              <w:drawing>
                <wp:inline xmlns:a="http://schemas.openxmlformats.org/drawingml/2006/main" xmlns:pic="http://schemas.openxmlformats.org/drawingml/2006/picture">
                  <wp:extent cx="2880000" cy="1735200"/>
                  <wp:docPr id="5" name="Picture 5"/>
                  <wp:cNvGraphicFramePr>
                    <a:graphicFrameLocks noChangeAspect="1"/>
                  </wp:cNvGraphicFramePr>
                  <a:graphic>
                    <a:graphicData uri="http://schemas.openxmlformats.org/drawingml/2006/picture">
                      <pic:pic>
                        <pic:nvPicPr>
                          <pic:cNvPr id="0" name="photo2.jpg"/>
                          <pic:cNvPicPr/>
                        </pic:nvPicPr>
                        <pic:blipFill>
                          <a:blip r:embed="rId18"/>
                          <a:stretch>
                            <a:fillRect/>
                          </a:stretch>
                        </pic:blipFill>
                        <pic:spPr>
                          <a:xfrm>
                            <a:off x="0" y="0"/>
                            <a:ext cx="2880000" cy="1735200"/>
                          </a:xfrm>
                          <a:prstGeom prst="rect"/>
                        </pic:spPr>
                      </pic:pic>
                    </a:graphicData>
                  </a:graphic>
                </wp:inline>
              </w:drawing>
            </w:r>
          </w:p>
          <w:p>
            <w:pPr>
              <w:spacing w:after="160"/>
              <w:jc w:val="center"/>
            </w:pPr>
            <w:r>
              <w:rPr>
                <w:rFonts w:ascii="Arial" w:hAnsi="Arial"/>
                <w:b w:val="0"/>
                <w:i/>
                <w:color w:val="555F4A"/>
                <w:sz w:val="17"/>
              </w:rPr>
              <w:t>Close view of the rows, with women beneficiaries and staff in the background.</w:t>
            </w:r>
          </w:p>
        </w:tc>
      </w:tr>
    </w:tbl>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Jubaland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JUBALAND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share/v/1C1BYiQ3f8/" TargetMode="External"/><Relationship Id="rId16" Type="http://schemas.openxmlformats.org/officeDocument/2006/relationships/hyperlink" Target="https://www.facebook.com/share/v/1P8MVcn4z6/" TargetMode="External"/><Relationship Id="rId17" Type="http://schemas.openxmlformats.org/officeDocument/2006/relationships/image" Target="media/image4.jpg"/><Relationship Id="rId18"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