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Banadir (Mogadishu)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Banadir (Mogadishu): 1 district (Mogadishu)</w:t>
            </w:r>
          </w:p>
        </w:tc>
      </w:tr>
      <w:tr>
        <w:trPr>
          <w:cantSplit/>
        </w:trPr>
        <w:tc>
          <w:tcPr>
            <w:tcW w:type="dxa" w:w="2268"/>
          </w:tcPr>
          <w:p>
            <w:pPr>
              <w:spacing w:after="0"/>
            </w:pPr>
            <w:r>
              <w:rPr>
                <w:rFonts w:ascii="Arial" w:hAnsi="Arial"/>
                <w:b/>
                <w:i w:val="0"/>
                <w:color w:val="FD6902"/>
                <w:sz w:val="19"/>
              </w:rPr>
              <w:t>Ceremony dates</w:t>
            </w:r>
          </w:p>
        </w:tc>
        <w:tc>
          <w:tcPr>
            <w:tcW w:type="dxa" w:w="6520"/>
          </w:tcPr>
          <w:p>
            <w:pPr>
              <w:spacing w:after="0"/>
            </w:pPr>
            <w:r>
              <w:rPr>
                <w:rFonts w:ascii="Arial" w:hAnsi="Arial"/>
                <w:b w:val="0"/>
                <w:i w:val="0"/>
                <w:color w:val="1B2610"/>
                <w:sz w:val="19"/>
              </w:rPr>
              <w:t>Mogadishu: 7 Sep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Banadir (Mogadishu): Mogadishu.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Banadir (Mogadishu),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(ceremony dates: Mogadishu: 7 Sep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Dates</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Banadir (Mogadishu)</w:t>
            </w:r>
          </w:p>
        </w:tc>
        <w:tc>
          <w:tcPr>
            <w:tcW w:type="dxa" w:w="2353"/>
          </w:tcPr>
          <w:p>
            <w:pPr>
              <w:spacing w:after="40"/>
              <w:jc w:val="center"/>
            </w:pPr>
            <w:r>
              <w:rPr>
                <w:rFonts w:ascii="Arial" w:hAnsi="Arial"/>
                <w:b/>
                <w:i w:val="0"/>
                <w:color w:val="55891A"/>
                <w:sz w:val="22"/>
              </w:rPr>
              <w:t>7 Sep 2026</w:t>
            </w:r>
          </w:p>
        </w:tc>
      </w:tr>
    </w:tbl>
    <w:p/>
    <w:p>
      <w:r>
        <w:rPr>
          <w:rFonts w:ascii="Arial" w:hAnsi="Arial"/>
          <w:b/>
          <w:i w:val="0"/>
          <w:color w:val="1B2610"/>
          <w:sz w:val="20"/>
        </w:rPr>
        <w:t>Services delivered in Banadir (Mogadishu):</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Mogadishu</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Mogadishu</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Mogadishu</w:t>
            </w:r>
          </w:p>
        </w:tc>
        <w:tc>
          <w:tcPr>
            <w:tcW w:type="dxa" w:w="1701"/>
          </w:tcPr>
          <w:p>
            <w:pPr>
              <w:keepNext/>
              <w:spacing w:after="0"/>
            </w:pPr>
            <w:r>
              <w:rPr>
                <w:rFonts w:ascii="Arial" w:hAnsi="Arial"/>
                <w:b w:val="0"/>
                <w:i w:val="0"/>
                <w:color w:val="1B2610"/>
                <w:sz w:val="18"/>
              </w:rPr>
              <w:t>7 Sep 2026</w:t>
            </w:r>
          </w:p>
        </w:tc>
        <w:tc>
          <w:tcPr>
            <w:tcW w:type="dxa" w:w="1247"/>
          </w:tcPr>
          <w:p>
            <w:pPr>
              <w:keepNext/>
              <w:spacing w:after="0"/>
              <w:jc w:val="center"/>
            </w:pPr>
            <w:r>
              <w:rPr>
                <w:rFonts w:ascii="Arial" w:hAnsi="Arial"/>
                <w:b w:val="0"/>
                <w:i w:val="0"/>
                <w:color w:val="1B2610"/>
                <w:sz w:val="18"/>
              </w:rPr>
              <w:t>200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1</w:t>
            </w:r>
          </w:p>
        </w:tc>
        <w:tc>
          <w:tcPr>
            <w:tcW w:type="dxa" w:w="1134"/>
            <w:tcBorders>
              <w:top w:val="single" w:sz="8" w:space="0" w:color="55891A"/>
            </w:tcBorders>
          </w:tcPr>
          <w:p>
            <w:pPr>
              <w:spacing w:after="0"/>
              <w:jc w:val="center"/>
            </w:pPr>
            <w:r>
              <w:rPr>
                <w:rFonts w:ascii="Arial" w:hAnsi="Arial"/>
                <w:b/>
                <w:i w:val="0"/>
                <w:color w:val="1B2610"/>
                <w:sz w:val="18"/>
              </w:rPr>
              <w:t>1</w:t>
            </w:r>
          </w:p>
        </w:tc>
        <w:tc>
          <w:tcPr>
            <w:tcW w:type="dxa" w:w="96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Banadir (Mogadishu)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Banadir (Mogadishu);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Banadir (Mogadishu).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Banadir (Mogadishu),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Banadir (Mogadishu)</w:t>
      </w:r>
    </w:p>
    <w:p>
      <w:r>
        <w:rPr>
          <w:rFonts w:ascii="Arial" w:hAnsi="Arial"/>
          <w:b w:val="0"/>
          <w:i w:val="0"/>
          <w:color w:val="1B2610"/>
          <w:sz w:val="20"/>
        </w:rPr>
        <w:t>Photo and video coverage of the ceremonies in Banadir (Mogadishu), by media house, with the city, the channel, the views and the link to each post. Views were checked on 14 October 2026 and will change.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396"/>
        <w:gridCol w:w="1530"/>
        <w:gridCol w:w="2438"/>
        <w:gridCol w:w="1020"/>
        <w:gridCol w:w="793"/>
        <w:gridCol w:w="2664"/>
      </w:tblGrid>
      <w:tr>
        <w:trPr>
          <w:cantSplit/>
          <w:tblHeader/>
        </w:trPr>
        <w:tc>
          <w:tcPr>
            <w:tcW w:type="dxa" w:w="397"/>
            <w:tcBorders>
              <w:bottom w:val="single" w:sz="12" w:space="0" w:color="55891A"/>
            </w:tcBorders>
          </w:tcPr>
          <w:p>
            <w:pPr>
              <w:keepNext/>
              <w:spacing w:after="0"/>
            </w:pPr>
            <w:r>
              <w:rPr>
                <w:rFonts w:ascii="Arial" w:hAnsi="Arial"/>
                <w:b/>
                <w:i w:val="0"/>
                <w:color w:val="55891A"/>
                <w:sz w:val="17"/>
              </w:rPr>
              <w:t>#</w:t>
            </w:r>
          </w:p>
        </w:tc>
        <w:tc>
          <w:tcPr>
            <w:tcW w:type="dxa" w:w="1531"/>
            <w:tcBorders>
              <w:bottom w:val="single" w:sz="12" w:space="0" w:color="55891A"/>
            </w:tcBorders>
          </w:tcPr>
          <w:p>
            <w:pPr>
              <w:keepNext/>
              <w:spacing w:after="0"/>
            </w:pPr>
            <w:r>
              <w:rPr>
                <w:rFonts w:ascii="Arial" w:hAnsi="Arial"/>
                <w:b/>
                <w:i w:val="0"/>
                <w:color w:val="55891A"/>
                <w:sz w:val="17"/>
              </w:rPr>
              <w:t>City</w:t>
            </w:r>
          </w:p>
        </w:tc>
        <w:tc>
          <w:tcPr>
            <w:tcW w:type="dxa" w:w="2438"/>
            <w:tcBorders>
              <w:bottom w:val="single" w:sz="12" w:space="0" w:color="55891A"/>
            </w:tcBorders>
          </w:tcPr>
          <w:p>
            <w:pPr>
              <w:keepNext/>
              <w:spacing w:after="0"/>
            </w:pPr>
            <w:r>
              <w:rPr>
                <w:rFonts w:ascii="Arial" w:hAnsi="Arial"/>
                <w:b/>
                <w:i w:val="0"/>
                <w:color w:val="55891A"/>
                <w:sz w:val="17"/>
              </w:rPr>
              <w:t>Media house / outlet</w:t>
            </w:r>
          </w:p>
        </w:tc>
        <w:tc>
          <w:tcPr>
            <w:tcW w:type="dxa" w:w="1020"/>
            <w:tcBorders>
              <w:bottom w:val="single" w:sz="12" w:space="0" w:color="55891A"/>
            </w:tcBorders>
          </w:tcPr>
          <w:p>
            <w:pPr>
              <w:keepNext/>
              <w:spacing w:after="0"/>
            </w:pPr>
            <w:r>
              <w:rPr>
                <w:rFonts w:ascii="Arial" w:hAnsi="Arial"/>
                <w:b/>
                <w:i w:val="0"/>
                <w:color w:val="55891A"/>
                <w:sz w:val="17"/>
              </w:rPr>
              <w:t>Channel</w:t>
            </w:r>
          </w:p>
        </w:tc>
        <w:tc>
          <w:tcPr>
            <w:tcW w:type="dxa" w:w="794"/>
            <w:tcBorders>
              <w:bottom w:val="single" w:sz="12" w:space="0" w:color="55891A"/>
            </w:tcBorders>
          </w:tcPr>
          <w:p>
            <w:pPr>
              <w:keepNext/>
              <w:spacing w:after="0"/>
              <w:jc w:val="center"/>
            </w:pPr>
            <w:r>
              <w:rPr>
                <w:rFonts w:ascii="Arial" w:hAnsi="Arial"/>
                <w:b/>
                <w:i w:val="0"/>
                <w:color w:val="55891A"/>
                <w:sz w:val="17"/>
              </w:rPr>
              <w:t>Views</w:t>
            </w:r>
          </w:p>
        </w:tc>
        <w:tc>
          <w:tcPr>
            <w:tcW w:type="dxa" w:w="2665"/>
            <w:tcBorders>
              <w:bottom w:val="single" w:sz="12" w:space="0" w:color="55891A"/>
            </w:tcBorders>
          </w:tcPr>
          <w:p>
            <w:pPr>
              <w:keepNext/>
              <w:spacing w:after="0"/>
            </w:pPr>
            <w:r>
              <w:rPr>
                <w:rFonts w:ascii="Arial" w:hAnsi="Arial"/>
                <w:b/>
                <w:i w:val="0"/>
                <w:color w:val="55891A"/>
                <w:sz w:val="17"/>
              </w:rPr>
              <w:t>Link</w:t>
            </w:r>
          </w:p>
        </w:tc>
      </w:tr>
      <w:tr>
        <w:trPr>
          <w:cantSplit/>
        </w:trPr>
        <w:tc>
          <w:tcPr>
            <w:tcW w:type="dxa" w:w="397"/>
          </w:tcPr>
          <w:p>
            <w:pPr>
              <w:keepNext/>
              <w:spacing w:after="0"/>
            </w:pPr>
            <w:r>
              <w:rPr>
                <w:rFonts w:ascii="Arial" w:hAnsi="Arial"/>
                <w:b w:val="0"/>
                <w:i w:val="0"/>
                <w:color w:val="1B2610"/>
                <w:sz w:val="18"/>
              </w:rPr>
              <w:t>1</w:t>
            </w:r>
          </w:p>
        </w:tc>
        <w:tc>
          <w:tcPr>
            <w:tcW w:type="dxa" w:w="1531"/>
          </w:tcPr>
          <w:p>
            <w:pPr>
              <w:keepNext/>
              <w:spacing w:after="0"/>
            </w:pPr>
            <w:r>
              <w:rPr>
                <w:rFonts w:ascii="Arial" w:hAnsi="Arial"/>
                <w:b w:val="0"/>
                <w:i w:val="0"/>
                <w:color w:val="1B2610"/>
                <w:sz w:val="18"/>
              </w:rPr>
              <w:t>Mogadishu</w:t>
            </w:r>
          </w:p>
        </w:tc>
        <w:tc>
          <w:tcPr>
            <w:tcW w:type="dxa" w:w="2438"/>
          </w:tcPr>
          <w:p>
            <w:pPr>
              <w:keepNext/>
              <w:spacing w:after="0"/>
            </w:pPr>
            <w:r>
              <w:rPr>
                <w:rFonts w:ascii="Arial" w:hAnsi="Arial"/>
                <w:b w:val="0"/>
                <w:i w:val="0"/>
                <w:color w:val="1B2610"/>
                <w:sz w:val="18"/>
              </w:rPr>
              <w:t>Telefishinka Qaranka Soomaaliyeed (SNTV)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37K</w:t>
            </w:r>
          </w:p>
        </w:tc>
        <w:tc>
          <w:tcPr>
            <w:tcW w:type="dxa" w:w="2665"/>
          </w:tcPr>
          <w:p>
            <w:pPr>
              <w:keepNext/>
              <w:spacing w:after="0"/>
            </w:pPr>
            <w:hyperlink r:id="rId15">
              <w:r>
                <w:rPr>
                  <w:rFonts w:ascii="Arial" w:hAnsi="Arial" w:cs="Arial"/>
                  <w:color w:val="55891A"/>
                  <w:sz w:val="17"/>
                  <w:u w:val="single"/>
                </w:rPr>
                <w:t>facebook.com/reel/916665714471740</w:t>
              </w:r>
            </w:hyperlink>
          </w:p>
        </w:tc>
      </w:tr>
      <w:tr>
        <w:trPr>
          <w:cantSplit/>
        </w:trPr>
        <w:tc>
          <w:tcPr>
            <w:tcW w:type="dxa" w:w="397"/>
          </w:tcPr>
          <w:p>
            <w:pPr>
              <w:keepNext/>
              <w:spacing w:after="0"/>
            </w:pPr>
            <w:r>
              <w:rPr>
                <w:rFonts w:ascii="Arial" w:hAnsi="Arial"/>
                <w:b w:val="0"/>
                <w:i w:val="0"/>
                <w:color w:val="1B2610"/>
                <w:sz w:val="18"/>
              </w:rPr>
              <w:t>2</w:t>
            </w:r>
          </w:p>
        </w:tc>
        <w:tc>
          <w:tcPr>
            <w:tcW w:type="dxa" w:w="1531"/>
          </w:tcPr>
          <w:p>
            <w:pPr>
              <w:keepNext/>
              <w:spacing w:after="0"/>
            </w:pPr>
            <w:r>
              <w:rPr>
                <w:rFonts w:ascii="Arial" w:hAnsi="Arial"/>
                <w:b w:val="0"/>
                <w:i w:val="0"/>
                <w:color w:val="1B2610"/>
                <w:sz w:val="18"/>
              </w:rPr>
              <w:t>Mogadishu</w:t>
            </w:r>
          </w:p>
        </w:tc>
        <w:tc>
          <w:tcPr>
            <w:tcW w:type="dxa" w:w="2438"/>
          </w:tcPr>
          <w:p>
            <w:pPr>
              <w:keepNext/>
              <w:spacing w:after="0"/>
            </w:pPr>
            <w:r>
              <w:rPr>
                <w:rFonts w:ascii="Arial" w:hAnsi="Arial"/>
                <w:b w:val="0"/>
                <w:i w:val="0"/>
                <w:color w:val="1B2610"/>
                <w:sz w:val="18"/>
              </w:rPr>
              <w:t>Somali National Television (SNTV)</w:t>
            </w:r>
          </w:p>
        </w:tc>
        <w:tc>
          <w:tcPr>
            <w:tcW w:type="dxa" w:w="1020"/>
          </w:tcPr>
          <w:p>
            <w:pPr>
              <w:keepNext/>
              <w:spacing w:after="0"/>
            </w:pPr>
            <w:r>
              <w:rPr>
                <w:rFonts w:ascii="Arial" w:hAnsi="Arial"/>
                <w:b w:val="0"/>
                <w:i w:val="0"/>
                <w:color w:val="1B2610"/>
                <w:sz w:val="18"/>
              </w:rPr>
              <w:t>YouTube</w:t>
            </w:r>
          </w:p>
        </w:tc>
        <w:tc>
          <w:tcPr>
            <w:tcW w:type="dxa" w:w="794"/>
          </w:tcPr>
          <w:p>
            <w:pPr>
              <w:keepNext/>
              <w:spacing w:after="0"/>
              <w:jc w:val="center"/>
            </w:pPr>
            <w:r>
              <w:rPr>
                <w:rFonts w:ascii="Arial" w:hAnsi="Arial"/>
                <w:b w:val="0"/>
                <w:i w:val="0"/>
                <w:color w:val="1B2610"/>
                <w:sz w:val="18"/>
              </w:rPr>
              <w:t>—</w:t>
            </w:r>
          </w:p>
        </w:tc>
        <w:tc>
          <w:tcPr>
            <w:tcW w:type="dxa" w:w="2665"/>
          </w:tcPr>
          <w:p>
            <w:pPr>
              <w:keepNext/>
              <w:spacing w:after="0"/>
            </w:pPr>
            <w:hyperlink r:id="rId16">
              <w:r>
                <w:rPr>
                  <w:rFonts w:ascii="Arial" w:hAnsi="Arial" w:cs="Arial"/>
                  <w:color w:val="55891A"/>
                  <w:sz w:val="17"/>
                  <w:u w:val="single"/>
                </w:rPr>
                <w:t>youtu.be/r6KLf6HcRBw?si=y_cvvihn6hT…</w:t>
              </w:r>
            </w:hyperlink>
          </w:p>
        </w:tc>
      </w:tr>
      <w:tr>
        <w:trPr>
          <w:cantSplit/>
        </w:trPr>
        <w:tc>
          <w:tcPr>
            <w:tcW w:type="dxa" w:w="397"/>
          </w:tcPr>
          <w:p>
            <w:pPr>
              <w:spacing w:after="0"/>
            </w:pPr>
            <w:r>
              <w:rPr>
                <w:rFonts w:ascii="Arial" w:hAnsi="Arial"/>
                <w:b w:val="0"/>
                <w:i w:val="0"/>
                <w:color w:val="1B2610"/>
                <w:sz w:val="18"/>
              </w:rPr>
              <w:t>3</w:t>
            </w:r>
          </w:p>
        </w:tc>
        <w:tc>
          <w:tcPr>
            <w:tcW w:type="dxa" w:w="1531"/>
          </w:tcPr>
          <w:p>
            <w:pPr>
              <w:spacing w:after="0"/>
            </w:pPr>
            <w:r>
              <w:rPr>
                <w:rFonts w:ascii="Arial" w:hAnsi="Arial"/>
                <w:b w:val="0"/>
                <w:i w:val="0"/>
                <w:color w:val="1B2610"/>
                <w:sz w:val="18"/>
              </w:rPr>
              <w:t>Mogadishu</w:t>
            </w:r>
          </w:p>
        </w:tc>
        <w:tc>
          <w:tcPr>
            <w:tcW w:type="dxa" w:w="2438"/>
          </w:tcPr>
          <w:p>
            <w:pPr>
              <w:spacing w:after="0"/>
            </w:pPr>
            <w:r>
              <w:rPr>
                <w:rFonts w:ascii="Arial" w:hAnsi="Arial"/>
                <w:b w:val="0"/>
                <w:i w:val="0"/>
                <w:color w:val="1B2610"/>
                <w:sz w:val="18"/>
              </w:rPr>
              <w:t>SNTV (@sntvnews1)</w:t>
            </w:r>
          </w:p>
        </w:tc>
        <w:tc>
          <w:tcPr>
            <w:tcW w:type="dxa" w:w="1020"/>
          </w:tcPr>
          <w:p>
            <w:pPr>
              <w:spacing w:after="0"/>
            </w:pPr>
            <w:r>
              <w:rPr>
                <w:rFonts w:ascii="Arial" w:hAnsi="Arial"/>
                <w:b w:val="0"/>
                <w:i w:val="0"/>
                <w:color w:val="1B2610"/>
                <w:sz w:val="18"/>
              </w:rPr>
              <w:t>TikTok</w:t>
            </w:r>
          </w:p>
        </w:tc>
        <w:tc>
          <w:tcPr>
            <w:tcW w:type="dxa" w:w="794"/>
          </w:tcPr>
          <w:p>
            <w:pPr>
              <w:spacing w:after="0"/>
              <w:jc w:val="center"/>
            </w:pPr>
            <w:r>
              <w:rPr>
                <w:rFonts w:ascii="Arial" w:hAnsi="Arial"/>
                <w:b w:val="0"/>
                <w:i w:val="0"/>
                <w:color w:val="1B2610"/>
                <w:sz w:val="18"/>
              </w:rPr>
              <w:t>50.4K plays</w:t>
            </w:r>
          </w:p>
        </w:tc>
        <w:tc>
          <w:tcPr>
            <w:tcW w:type="dxa" w:w="2665"/>
          </w:tcPr>
          <w:p>
            <w:pPr>
              <w:spacing w:after="0"/>
            </w:pPr>
            <w:hyperlink r:id="rId17">
              <w:r>
                <w:rPr>
                  <w:rFonts w:ascii="Arial" w:hAnsi="Arial" w:cs="Arial"/>
                  <w:color w:val="55891A"/>
                  <w:sz w:val="17"/>
                  <w:u w:val="single"/>
                </w:rPr>
                <w:t>vt.tiktok.com/ZSqhyFG6W/</w:t>
              </w:r>
            </w:hyperlink>
          </w:p>
        </w:tc>
      </w:tr>
    </w:tbl>
    <w:p>
      <w:pPr>
        <w:spacing w:after="40"/>
      </w:pPr>
    </w:p>
    <w:p>
      <w:pPr>
        <w:pStyle w:val="Heading2"/>
      </w:pPr>
      <w:r>
        <w:t>Photos</w:t>
      </w:r>
    </w:p>
    <w:tbl>
      <w:tblPr>
        <w:tblW w:type="auto" w:w="0"/>
        <w:jc w:val="center"/>
        <w:tblLayout w:type="fixed"/>
        <w:tblLook w:firstColumn="1" w:firstRow="1" w:lastColumn="0" w:lastRow="0" w:noHBand="0" w:noVBand="1" w:val="04A0"/>
      </w:tblPr>
      <w:tblGrid>
        <w:gridCol w:w="4706"/>
        <w:gridCol w:w="4706"/>
      </w:tblGrid>
      <w:tr>
        <w:trPr>
          <w:cantSplit/>
        </w:trPr>
        <w:tc>
          <w:tcPr>
            <w:tcW w:type="dxa" w:w="4535"/>
          </w:tcPr>
          <w:p>
            <w:pPr>
              <w:keepNext/>
              <w:spacing w:after="40"/>
              <w:jc w:val="center"/>
            </w:pPr>
            <w:r>
              <w:drawing>
                <wp:inline xmlns:a="http://schemas.openxmlformats.org/drawingml/2006/main" xmlns:pic="http://schemas.openxmlformats.org/drawingml/2006/picture">
                  <wp:extent cx="2808000" cy="1353713"/>
                  <wp:docPr id="4" name="Picture 4"/>
                  <wp:cNvGraphicFramePr>
                    <a:graphicFrameLocks noChangeAspect="1"/>
                  </wp:cNvGraphicFramePr>
                  <a:graphic>
                    <a:graphicData uri="http://schemas.openxmlformats.org/drawingml/2006/picture">
                      <pic:pic>
                        <pic:nvPicPr>
                          <pic:cNvPr id="0" name="photo1.jpg"/>
                          <pic:cNvPicPr/>
                        </pic:nvPicPr>
                        <pic:blipFill>
                          <a:blip r:embed="rId18"/>
                          <a:stretch>
                            <a:fillRect/>
                          </a:stretch>
                        </pic:blipFill>
                        <pic:spPr>
                          <a:xfrm>
                            <a:off x="0" y="0"/>
                            <a:ext cx="2808000" cy="1353713"/>
                          </a:xfrm>
                          <a:prstGeom prst="rect"/>
                        </pic:spPr>
                      </pic:pic>
                    </a:graphicData>
                  </a:graphic>
                </wp:inline>
              </w:drawing>
            </w:r>
          </w:p>
          <w:p>
            <w:pPr>
              <w:spacing w:after="160"/>
              <w:jc w:val="center"/>
            </w:pPr>
            <w:r>
              <w:rPr>
                <w:rFonts w:ascii="Arial" w:hAnsi="Arial"/>
                <w:b w:val="0"/>
                <w:i/>
                <w:color w:val="555F4A"/>
                <w:sz w:val="17"/>
              </w:rPr>
              <w:t>Solar fridge units lined up beside solar panels laid out on the ground.</w:t>
            </w:r>
          </w:p>
        </w:tc>
        <w:tc>
          <w:tcPr>
            <w:tcW w:type="dxa" w:w="4535"/>
          </w:tcPr>
          <w:p>
            <w:pPr>
              <w:keepNext/>
              <w:spacing w:after="40"/>
              <w:jc w:val="center"/>
            </w:pPr>
            <w:r>
              <w:drawing>
                <wp:inline xmlns:a="http://schemas.openxmlformats.org/drawingml/2006/main" xmlns:pic="http://schemas.openxmlformats.org/drawingml/2006/picture">
                  <wp:extent cx="2808000" cy="1384656"/>
                  <wp:docPr id="5" name="Picture 5"/>
                  <wp:cNvGraphicFramePr>
                    <a:graphicFrameLocks noChangeAspect="1"/>
                  </wp:cNvGraphicFramePr>
                  <a:graphic>
                    <a:graphicData uri="http://schemas.openxmlformats.org/drawingml/2006/picture">
                      <pic:pic>
                        <pic:nvPicPr>
                          <pic:cNvPr id="0" name="photo2.jpg"/>
                          <pic:cNvPicPr/>
                        </pic:nvPicPr>
                        <pic:blipFill>
                          <a:blip r:embed="rId19"/>
                          <a:stretch>
                            <a:fillRect/>
                          </a:stretch>
                        </pic:blipFill>
                        <pic:spPr>
                          <a:xfrm>
                            <a:off x="0" y="0"/>
                            <a:ext cx="2808000" cy="1384656"/>
                          </a:xfrm>
                          <a:prstGeom prst="rect"/>
                        </pic:spPr>
                      </pic:pic>
                    </a:graphicData>
                  </a:graphic>
                </wp:inline>
              </w:drawing>
            </w:r>
          </w:p>
          <w:p>
            <w:pPr>
              <w:spacing w:after="160"/>
              <w:jc w:val="center"/>
            </w:pPr>
            <w:r>
              <w:rPr>
                <w:rFonts w:ascii="Arial" w:hAnsi="Arial"/>
                <w:b w:val="0"/>
                <w:i/>
                <w:color w:val="555F4A"/>
                <w:sz w:val="17"/>
              </w:rPr>
              <w:t>Solar panels laid out on cardboard, with their cables.</w:t>
            </w:r>
          </w:p>
        </w:tc>
      </w:tr>
      <w:tr>
        <w:trPr>
          <w:cantSplit/>
        </w:trPr>
        <w:tc>
          <w:tcPr>
            <w:tcW w:type="dxa" w:w="4535"/>
          </w:tcPr>
          <w:p>
            <w:pPr>
              <w:keepNext/>
              <w:spacing w:after="40"/>
              <w:jc w:val="center"/>
            </w:pPr>
            <w:r>
              <w:drawing>
                <wp:inline xmlns:a="http://schemas.openxmlformats.org/drawingml/2006/main" xmlns:pic="http://schemas.openxmlformats.org/drawingml/2006/picture">
                  <wp:extent cx="1944000" cy="1586898"/>
                  <wp:docPr id="6" name="Picture 6"/>
                  <wp:cNvGraphicFramePr>
                    <a:graphicFrameLocks noChangeAspect="1"/>
                  </wp:cNvGraphicFramePr>
                  <a:graphic>
                    <a:graphicData uri="http://schemas.openxmlformats.org/drawingml/2006/picture">
                      <pic:pic>
                        <pic:nvPicPr>
                          <pic:cNvPr id="0" name="photo3.jpg"/>
                          <pic:cNvPicPr/>
                        </pic:nvPicPr>
                        <pic:blipFill>
                          <a:blip r:embed="rId20"/>
                          <a:stretch>
                            <a:fillRect/>
                          </a:stretch>
                        </pic:blipFill>
                        <pic:spPr>
                          <a:xfrm>
                            <a:off x="0" y="0"/>
                            <a:ext cx="1944000" cy="1586898"/>
                          </a:xfrm>
                          <a:prstGeom prst="rect"/>
                        </pic:spPr>
                      </pic:pic>
                    </a:graphicData>
                  </a:graphic>
                </wp:inline>
              </w:drawing>
            </w:r>
          </w:p>
          <w:p>
            <w:pPr>
              <w:spacing w:after="160"/>
              <w:jc w:val="center"/>
            </w:pPr>
            <w:r>
              <w:rPr>
                <w:rFonts w:ascii="Arial" w:hAnsi="Arial"/>
                <w:b w:val="0"/>
                <w:i/>
                <w:color w:val="555F4A"/>
                <w:sz w:val="17"/>
              </w:rPr>
              <w:t>Two stainless steel 20-litre milk cans on their box.</w:t>
            </w:r>
          </w:p>
        </w:tc>
        <w:tc>
          <w:tcPr>
            <w:tcW w:type="dxa" w:w="4535"/>
          </w:tcPr>
          <w:p>
            <w:pPr>
              <w:keepNext/>
              <w:spacing w:after="40"/>
              <w:jc w:val="center"/>
            </w:pPr>
            <w:r>
              <w:drawing>
                <wp:inline xmlns:a="http://schemas.openxmlformats.org/drawingml/2006/main" xmlns:pic="http://schemas.openxmlformats.org/drawingml/2006/picture">
                  <wp:extent cx="2808000" cy="1309756"/>
                  <wp:docPr id="7" name="Picture 7"/>
                  <wp:cNvGraphicFramePr>
                    <a:graphicFrameLocks noChangeAspect="1"/>
                  </wp:cNvGraphicFramePr>
                  <a:graphic>
                    <a:graphicData uri="http://schemas.openxmlformats.org/drawingml/2006/picture">
                      <pic:pic>
                        <pic:nvPicPr>
                          <pic:cNvPr id="0" name="photo4.jpg"/>
                          <pic:cNvPicPr/>
                        </pic:nvPicPr>
                        <pic:blipFill>
                          <a:blip r:embed="rId21"/>
                          <a:stretch>
                            <a:fillRect/>
                          </a:stretch>
                        </pic:blipFill>
                        <pic:spPr>
                          <a:xfrm>
                            <a:off x="0" y="0"/>
                            <a:ext cx="2808000" cy="1309756"/>
                          </a:xfrm>
                          <a:prstGeom prst="rect"/>
                        </pic:spPr>
                      </pic:pic>
                    </a:graphicData>
                  </a:graphic>
                </wp:inline>
              </w:drawing>
            </w:r>
          </w:p>
          <w:p>
            <w:pPr>
              <w:spacing w:after="160"/>
              <w:jc w:val="center"/>
            </w:pPr>
            <w:r>
              <w:rPr>
                <w:rFonts w:ascii="Arial" w:hAnsi="Arial"/>
                <w:b w:val="0"/>
                <w:i/>
                <w:color w:val="555F4A"/>
                <w:sz w:val="17"/>
              </w:rPr>
              <w:t>Boxed solar fridges, batteries and milk cans staged in rows in a yard.</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Banadir (Mogadishu)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BANADIR (MOGADISHU)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reel/916665714471740" TargetMode="External"/><Relationship Id="rId16" Type="http://schemas.openxmlformats.org/officeDocument/2006/relationships/hyperlink" Target="https://youtu.be/r6KLf6HcRBw?si=y_cvvihn6hTwlOGP" TargetMode="External"/><Relationship Id="rId17" Type="http://schemas.openxmlformats.org/officeDocument/2006/relationships/hyperlink" Target="https://vt.tiktok.com/ZSqhyFG6W/" TargetMode="External"/><Relationship Id="rId18" Type="http://schemas.openxmlformats.org/officeDocument/2006/relationships/image" Target="media/image4.jpg"/><Relationship Id="rId19" Type="http://schemas.openxmlformats.org/officeDocument/2006/relationships/image" Target="media/image5.jpg"/><Relationship Id="rId20" Type="http://schemas.openxmlformats.org/officeDocument/2006/relationships/image" Target="media/image6.jpg"/><Relationship Id="rId21"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